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jc w:val="center"/>
        <w:textAlignment w:val="auto"/>
        <w:rPr>
          <w:rStyle w:val="9"/>
          <w:rFonts w:hint="eastAsia" w:ascii="方正小标宋简体" w:hAnsi="方正小标宋简体" w:eastAsia="方正小标宋简体" w:cs="方正小标宋简体"/>
          <w:b w:val="0"/>
          <w:bCs w:val="0"/>
          <w:sz w:val="44"/>
          <w:szCs w:val="44"/>
        </w:rPr>
      </w:pPr>
      <w:r>
        <w:rPr>
          <w:rStyle w:val="9"/>
          <w:rFonts w:hint="eastAsia" w:ascii="方正小标宋简体" w:hAnsi="方正小标宋简体" w:eastAsia="方正小标宋简体" w:cs="方正小标宋简体"/>
          <w:b w:val="0"/>
          <w:bCs w:val="0"/>
          <w:sz w:val="44"/>
          <w:szCs w:val="44"/>
        </w:rPr>
        <w:t>西安市阎良区北屯街道办事处</w:t>
      </w:r>
    </w:p>
    <w:p>
      <w:pPr>
        <w:pStyle w:val="5"/>
        <w:keepNext w:val="0"/>
        <w:keepLines w:val="0"/>
        <w:pageBreakBefore w:val="0"/>
        <w:widowControl/>
        <w:shd w:val="clear" w:color="auto"/>
        <w:kinsoku/>
        <w:wordWrap/>
        <w:overflowPunct/>
        <w:topLinePunct w:val="0"/>
        <w:autoSpaceDE/>
        <w:autoSpaceDN/>
        <w:bidi w:val="0"/>
        <w:adjustRightInd/>
        <w:snapToGrid/>
        <w:spacing w:before="0" w:beforeAutospacing="0" w:after="313" w:afterLines="100" w:afterAutospacing="0" w:line="560" w:lineRule="exact"/>
        <w:jc w:val="center"/>
        <w:textAlignment w:val="auto"/>
        <w:rPr>
          <w:rStyle w:val="9"/>
          <w:rFonts w:ascii="仿宋" w:hAnsi="仿宋" w:eastAsia="仿宋" w:cs="华文仿宋"/>
          <w:b w:val="0"/>
          <w:bCs w:val="0"/>
          <w:color w:val="000000"/>
          <w:sz w:val="44"/>
          <w:szCs w:val="44"/>
        </w:rPr>
      </w:pPr>
      <w:r>
        <w:rPr>
          <w:rStyle w:val="9"/>
          <w:rFonts w:hint="eastAsia" w:ascii="方正小标宋简体" w:hAnsi="方正小标宋简体" w:eastAsia="方正小标宋简体" w:cs="方正小标宋简体"/>
          <w:b w:val="0"/>
          <w:bCs w:val="0"/>
          <w:color w:val="000000"/>
          <w:sz w:val="44"/>
          <w:szCs w:val="44"/>
          <w:lang w:eastAsia="zh-CN"/>
        </w:rPr>
        <w:t>2018</w:t>
      </w:r>
      <w:r>
        <w:rPr>
          <w:rStyle w:val="9"/>
          <w:rFonts w:hint="eastAsia" w:ascii="方正小标宋简体" w:hAnsi="方正小标宋简体" w:eastAsia="方正小标宋简体" w:cs="方正小标宋简体"/>
          <w:b w:val="0"/>
          <w:bCs w:val="0"/>
          <w:color w:val="000000"/>
          <w:sz w:val="44"/>
          <w:szCs w:val="44"/>
        </w:rPr>
        <w:t>年度部门决算说明</w:t>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黑体" w:hAnsi="黑体" w:eastAsia="黑体" w:cs="黑体"/>
          <w:color w:val="000000"/>
          <w:sz w:val="32"/>
          <w:szCs w:val="32"/>
        </w:rPr>
      </w:pPr>
      <w:r>
        <w:rPr>
          <w:rStyle w:val="9"/>
          <w:rFonts w:hint="eastAsia" w:ascii="黑体" w:hAnsi="黑体" w:eastAsia="黑体" w:cs="黑体"/>
          <w:b w:val="0"/>
          <w:bCs w:val="0"/>
          <w:color w:val="000000"/>
          <w:sz w:val="32"/>
          <w:szCs w:val="32"/>
        </w:rPr>
        <w:t>一、</w:t>
      </w:r>
      <w:r>
        <w:rPr>
          <w:rFonts w:hint="eastAsia" w:ascii="黑体" w:hAnsi="黑体" w:eastAsia="黑体" w:cs="黑体"/>
          <w:color w:val="000000"/>
          <w:sz w:val="32"/>
          <w:szCs w:val="32"/>
        </w:rPr>
        <w:t>部门主要职责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w:t>
      </w:r>
      <w:r>
        <w:rPr>
          <w:rFonts w:hint="eastAsia" w:ascii="仿宋" w:hAnsi="仿宋" w:eastAsia="仿宋"/>
          <w:sz w:val="32"/>
          <w:szCs w:val="32"/>
        </w:rPr>
        <w:t>贯彻执行党和国家的路线、方针、政策和上级人民政府关于街道工作方面的决定，制定具体的管理办法并组织实施；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val="en-US" w:eastAsia="zh-CN"/>
        </w:rPr>
        <w:t>.</w:t>
      </w:r>
      <w:r>
        <w:rPr>
          <w:rFonts w:hint="eastAsia" w:ascii="仿宋" w:hAnsi="仿宋" w:eastAsia="仿宋"/>
          <w:sz w:val="32"/>
          <w:szCs w:val="32"/>
        </w:rPr>
        <w:t>执行本辖区内经济和社会发展计划、财政预算,管理本辖区内的社会事务管理、劳动和社会保障、计划生育、环境保护、文化、卫生、安全生产等行政工作；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val="en-US" w:eastAsia="zh-CN"/>
        </w:rPr>
        <w:t>.</w:t>
      </w:r>
      <w:r>
        <w:rPr>
          <w:rFonts w:hint="eastAsia" w:ascii="仿宋" w:hAnsi="仿宋" w:eastAsia="仿宋"/>
          <w:sz w:val="32"/>
          <w:szCs w:val="32"/>
        </w:rPr>
        <w:t>负责维护本辖区内社会秩序稳定，做好社会治安综合治理和人民调解工作；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4</w:t>
      </w:r>
      <w:r>
        <w:rPr>
          <w:rFonts w:hint="eastAsia" w:ascii="仿宋" w:hAnsi="仿宋" w:eastAsia="仿宋"/>
          <w:sz w:val="32"/>
          <w:szCs w:val="32"/>
          <w:lang w:val="en-US" w:eastAsia="zh-CN"/>
        </w:rPr>
        <w:t>.</w:t>
      </w:r>
      <w:r>
        <w:rPr>
          <w:rFonts w:hint="eastAsia" w:ascii="仿宋" w:hAnsi="仿宋" w:eastAsia="仿宋"/>
          <w:sz w:val="32"/>
          <w:szCs w:val="32"/>
        </w:rPr>
        <w:t>维护老年人、未成年人、妇女、残疾人等的合法权益；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5</w:t>
      </w:r>
      <w:r>
        <w:rPr>
          <w:rFonts w:hint="eastAsia" w:ascii="仿宋" w:hAnsi="仿宋" w:eastAsia="仿宋"/>
          <w:sz w:val="32"/>
          <w:szCs w:val="32"/>
          <w:lang w:val="en-US" w:eastAsia="zh-CN"/>
        </w:rPr>
        <w:t>.</w:t>
      </w:r>
      <w:r>
        <w:rPr>
          <w:rFonts w:hint="eastAsia" w:ascii="仿宋" w:hAnsi="仿宋" w:eastAsia="仿宋"/>
          <w:sz w:val="32"/>
          <w:szCs w:val="32"/>
        </w:rPr>
        <w:t>开展拥军优属，做好国防动员和兵役工作；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6</w:t>
      </w:r>
      <w:r>
        <w:rPr>
          <w:rFonts w:hint="eastAsia" w:ascii="仿宋" w:hAnsi="仿宋" w:eastAsia="仿宋"/>
          <w:sz w:val="32"/>
          <w:szCs w:val="32"/>
          <w:lang w:val="en-US" w:eastAsia="zh-CN"/>
        </w:rPr>
        <w:t>.</w:t>
      </w:r>
      <w:r>
        <w:rPr>
          <w:rFonts w:hint="eastAsia" w:ascii="仿宋" w:hAnsi="仿宋" w:eastAsia="仿宋"/>
          <w:sz w:val="32"/>
          <w:szCs w:val="32"/>
        </w:rPr>
        <w:t>配合做好防灾救灾工作；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7</w:t>
      </w:r>
      <w:r>
        <w:rPr>
          <w:rFonts w:hint="eastAsia" w:ascii="仿宋" w:hAnsi="仿宋" w:eastAsia="仿宋"/>
          <w:sz w:val="32"/>
          <w:szCs w:val="32"/>
          <w:lang w:val="en-US" w:eastAsia="zh-CN"/>
        </w:rPr>
        <w:t>.</w:t>
      </w:r>
      <w:r>
        <w:rPr>
          <w:rFonts w:hint="eastAsia" w:ascii="仿宋" w:hAnsi="仿宋" w:eastAsia="仿宋"/>
          <w:sz w:val="32"/>
          <w:szCs w:val="32"/>
        </w:rPr>
        <w:t>向区人民政府反映居民的意见和要求，处理群众来信来访事项；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8</w:t>
      </w:r>
      <w:r>
        <w:rPr>
          <w:rFonts w:hint="eastAsia" w:ascii="仿宋" w:hAnsi="仿宋" w:eastAsia="仿宋"/>
          <w:sz w:val="32"/>
          <w:szCs w:val="32"/>
          <w:lang w:val="en-US" w:eastAsia="zh-CN"/>
        </w:rPr>
        <w:t>.</w:t>
      </w:r>
      <w:r>
        <w:rPr>
          <w:rFonts w:hint="eastAsia" w:ascii="仿宋" w:hAnsi="仿宋" w:eastAsia="仿宋"/>
          <w:sz w:val="32"/>
          <w:szCs w:val="32"/>
        </w:rPr>
        <w:t>办理区人民政府交办的其他事项。</w:t>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9"/>
          <w:rFonts w:hint="eastAsia" w:ascii="黑体" w:hAnsi="黑体" w:eastAsia="黑体" w:cs="黑体"/>
          <w:b w:val="0"/>
          <w:bCs w:val="0"/>
          <w:color w:val="000000"/>
          <w:sz w:val="32"/>
          <w:szCs w:val="32"/>
        </w:rPr>
      </w:pPr>
      <w:r>
        <w:rPr>
          <w:rStyle w:val="9"/>
          <w:rFonts w:hint="eastAsia" w:ascii="黑体" w:hAnsi="黑体" w:eastAsia="黑体" w:cs="黑体"/>
          <w:b w:val="0"/>
          <w:bCs w:val="0"/>
          <w:color w:val="000000"/>
          <w:sz w:val="32"/>
          <w:szCs w:val="32"/>
        </w:rPr>
        <w:t>二、部门决算单位构成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从决算单位构成看，本部门的部门决算为部门本级（机关）决算。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华文仿宋"/>
          <w:sz w:val="32"/>
          <w:szCs w:val="32"/>
        </w:rPr>
      </w:pPr>
      <w:r>
        <w:rPr>
          <w:rFonts w:hint="eastAsia" w:ascii="仿宋" w:hAnsi="仿宋" w:eastAsia="仿宋" w:cs="华文仿宋"/>
          <w:sz w:val="32"/>
          <w:szCs w:val="32"/>
        </w:rPr>
        <w:t>纳入本部门</w:t>
      </w:r>
      <w:r>
        <w:rPr>
          <w:rFonts w:hint="eastAsia" w:ascii="仿宋" w:hAnsi="仿宋" w:eastAsia="仿宋" w:cs="华文仿宋"/>
          <w:sz w:val="32"/>
          <w:szCs w:val="32"/>
          <w:lang w:eastAsia="zh-CN"/>
        </w:rPr>
        <w:t>2018</w:t>
      </w:r>
      <w:r>
        <w:rPr>
          <w:rFonts w:hint="eastAsia" w:ascii="仿宋" w:hAnsi="仿宋" w:eastAsia="仿宋" w:cs="华文仿宋"/>
          <w:sz w:val="32"/>
          <w:szCs w:val="32"/>
        </w:rPr>
        <w:t>年部门决算编制范围的二级决算单位共有0个，包括：</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华文仿宋"/>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华文仿宋"/>
          <w:sz w:val="32"/>
          <w:szCs w:val="32"/>
        </w:rPr>
      </w:pP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序号</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1</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西安市阎良区北屯街道办事处本级（机关）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2</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3</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w:t>
            </w:r>
          </w:p>
        </w:tc>
      </w:tr>
    </w:tbl>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内设机构：党政办公室、经济发展办公室、社会事务管理办公室、城市管理办公室、计划生育办公室、安全生产监管办公室、社会治安综合治理办公室。事业机构：财政农税所、司法所、农业服务中心、市场服务中心、文化服务中心、治污减霾网格化管理办公室、扶贫开发办公室。</w:t>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9"/>
          <w:rFonts w:hint="eastAsia" w:ascii="黑体" w:hAnsi="黑体" w:eastAsia="黑体" w:cs="黑体"/>
          <w:b w:val="0"/>
          <w:bCs w:val="0"/>
          <w:color w:val="000000"/>
          <w:sz w:val="32"/>
          <w:szCs w:val="32"/>
        </w:rPr>
      </w:pPr>
      <w:r>
        <w:rPr>
          <w:rStyle w:val="9"/>
          <w:rFonts w:hint="eastAsia" w:ascii="黑体" w:hAnsi="黑体" w:eastAsia="黑体" w:cs="黑体"/>
          <w:b w:val="0"/>
          <w:bCs w:val="0"/>
          <w:color w:val="000000"/>
          <w:sz w:val="32"/>
          <w:szCs w:val="32"/>
        </w:rPr>
        <w:t>三、部门人员情况说明</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sz w:val="32"/>
          <w:szCs w:val="32"/>
        </w:rPr>
        <w:t>截止</w:t>
      </w:r>
      <w:r>
        <w:rPr>
          <w:rFonts w:hint="eastAsia" w:ascii="仿宋" w:hAnsi="仿宋" w:eastAsia="仿宋"/>
          <w:sz w:val="32"/>
          <w:szCs w:val="32"/>
          <w:lang w:eastAsia="zh-CN"/>
        </w:rPr>
        <w:t>2018</w:t>
      </w:r>
      <w:r>
        <w:rPr>
          <w:rFonts w:hint="eastAsia" w:ascii="仿宋" w:hAnsi="仿宋" w:eastAsia="仿宋"/>
          <w:sz w:val="32"/>
          <w:szCs w:val="32"/>
        </w:rPr>
        <w:t>年底，行政编制数19人，事业编制数38人。现有行政人员</w:t>
      </w:r>
      <w:r>
        <w:rPr>
          <w:rFonts w:hint="eastAsia" w:ascii="仿宋" w:hAnsi="仿宋" w:eastAsia="仿宋"/>
          <w:sz w:val="32"/>
          <w:szCs w:val="32"/>
          <w:lang w:val="en-US" w:eastAsia="zh-CN"/>
        </w:rPr>
        <w:t>20</w:t>
      </w:r>
      <w:r>
        <w:rPr>
          <w:rFonts w:hint="eastAsia" w:ascii="仿宋" w:hAnsi="仿宋" w:eastAsia="仿宋"/>
          <w:sz w:val="32"/>
          <w:szCs w:val="32"/>
        </w:rPr>
        <w:t>人，事业人员</w:t>
      </w:r>
      <w:r>
        <w:rPr>
          <w:rFonts w:hint="eastAsia" w:ascii="仿宋" w:hAnsi="仿宋" w:eastAsia="仿宋"/>
          <w:sz w:val="32"/>
          <w:szCs w:val="32"/>
          <w:lang w:val="en-US" w:eastAsia="zh-CN"/>
        </w:rPr>
        <w:t>30</w:t>
      </w:r>
      <w:r>
        <w:rPr>
          <w:rFonts w:hint="eastAsia" w:ascii="仿宋" w:hAnsi="仿宋" w:eastAsia="仿宋"/>
          <w:sz w:val="32"/>
          <w:szCs w:val="32"/>
        </w:rPr>
        <w:t>人</w:t>
      </w:r>
    </w:p>
    <w:p>
      <w:pPr>
        <w:spacing w:line="240" w:lineRule="atLeast"/>
        <w:ind w:firstLine="640" w:firstLineChars="200"/>
        <w:rPr>
          <w:rFonts w:ascii="仿宋" w:hAnsi="仿宋" w:eastAsia="仿宋" w:cs="黑体"/>
          <w:sz w:val="32"/>
          <w:szCs w:val="32"/>
        </w:rPr>
      </w:pPr>
      <w:r>
        <w:rPr>
          <w:rFonts w:ascii="仿宋" w:hAnsi="仿宋" w:eastAsia="仿宋" w:cs="黑体"/>
          <w:sz w:val="32"/>
          <w:szCs w:val="32"/>
        </w:rPr>
        <w:drawing>
          <wp:inline distT="0" distB="0" distL="0" distR="0">
            <wp:extent cx="5274310" cy="3076575"/>
            <wp:effectExtent l="5080" t="4445" r="16510" b="508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9"/>
          <w:rFonts w:hint="eastAsia" w:ascii="黑体" w:hAnsi="黑体" w:eastAsia="黑体" w:cs="黑体"/>
          <w:b w:val="0"/>
          <w:bCs w:val="0"/>
          <w:color w:val="000000"/>
          <w:sz w:val="32"/>
          <w:szCs w:val="32"/>
        </w:rPr>
      </w:pP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9"/>
          <w:rFonts w:hint="eastAsia" w:ascii="黑体" w:hAnsi="黑体" w:eastAsia="黑体" w:cs="黑体"/>
          <w:b w:val="0"/>
          <w:bCs w:val="0"/>
          <w:color w:val="000000"/>
          <w:sz w:val="32"/>
          <w:szCs w:val="32"/>
        </w:rPr>
      </w:pP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9"/>
          <w:rFonts w:hint="eastAsia" w:ascii="黑体" w:hAnsi="黑体" w:eastAsia="黑体" w:cs="黑体"/>
          <w:b w:val="0"/>
          <w:bCs w:val="0"/>
          <w:color w:val="000000"/>
          <w:sz w:val="32"/>
          <w:szCs w:val="32"/>
        </w:rPr>
      </w:pPr>
      <w:r>
        <w:rPr>
          <w:rStyle w:val="9"/>
          <w:rFonts w:hint="eastAsia" w:ascii="黑体" w:hAnsi="黑体" w:eastAsia="黑体" w:cs="黑体"/>
          <w:b w:val="0"/>
          <w:bCs w:val="0"/>
          <w:color w:val="000000"/>
          <w:sz w:val="32"/>
          <w:szCs w:val="32"/>
        </w:rPr>
        <w:t>四、</w:t>
      </w:r>
      <w:r>
        <w:rPr>
          <w:rStyle w:val="9"/>
          <w:rFonts w:hint="eastAsia" w:ascii="黑体" w:hAnsi="黑体" w:eastAsia="黑体" w:cs="黑体"/>
          <w:b w:val="0"/>
          <w:bCs w:val="0"/>
          <w:color w:val="000000"/>
          <w:sz w:val="32"/>
          <w:szCs w:val="32"/>
          <w:lang w:eastAsia="zh-CN"/>
        </w:rPr>
        <w:t>2018</w:t>
      </w:r>
      <w:r>
        <w:rPr>
          <w:rStyle w:val="9"/>
          <w:rFonts w:hint="eastAsia" w:ascii="黑体" w:hAnsi="黑体" w:eastAsia="黑体" w:cs="黑体"/>
          <w:b w:val="0"/>
          <w:bCs w:val="0"/>
          <w:color w:val="000000"/>
          <w:sz w:val="32"/>
          <w:szCs w:val="32"/>
        </w:rPr>
        <w:t>年度部门工作完成情况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kern w:val="21"/>
          <w:sz w:val="32"/>
          <w:szCs w:val="32"/>
        </w:rPr>
      </w:pPr>
      <w:r>
        <w:rPr>
          <w:rFonts w:hint="eastAsia" w:ascii="仿宋" w:hAnsi="仿宋" w:eastAsia="仿宋" w:cs="仿宋"/>
          <w:kern w:val="21"/>
          <w:sz w:val="32"/>
          <w:szCs w:val="32"/>
          <w:lang w:eastAsia="zh-CN"/>
        </w:rPr>
        <w:t>2018</w:t>
      </w:r>
      <w:r>
        <w:rPr>
          <w:rFonts w:hint="eastAsia" w:ascii="仿宋" w:hAnsi="仿宋" w:eastAsia="仿宋" w:cs="仿宋"/>
          <w:kern w:val="21"/>
          <w:sz w:val="32"/>
          <w:szCs w:val="32"/>
        </w:rPr>
        <w:t>年，在区委、区政府的正确领导下，我办认真贯彻党的十八届六中全会、十九大精神，牢固树立“创新、协调、绿色、开放、共享”的发展理念，</w:t>
      </w:r>
      <w:r>
        <w:rPr>
          <w:rFonts w:hint="eastAsia" w:ascii="仿宋" w:hAnsi="仿宋" w:eastAsia="仿宋" w:cs="仿宋"/>
          <w:kern w:val="21"/>
          <w:sz w:val="32"/>
          <w:szCs w:val="32"/>
          <w:shd w:val="clear" w:color="auto" w:fill="FFFFFF"/>
        </w:rPr>
        <w:t>按照建设阎良南部航空产业聚集区的总体思路，以“五张报表”为主线，推动北屯经济社会各项事业全面发展</w:t>
      </w:r>
      <w:r>
        <w:rPr>
          <w:rFonts w:hint="eastAsia" w:ascii="仿宋" w:hAnsi="仿宋" w:eastAsia="仿宋" w:cs="仿宋"/>
          <w:kern w:val="21"/>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w:t>
      </w:r>
      <w:r>
        <w:rPr>
          <w:rFonts w:hint="eastAsia" w:ascii="楷体_GB2312" w:hAnsi="宋体" w:eastAsia="楷体_GB2312" w:cs="宋体"/>
          <w:b/>
          <w:kern w:val="0"/>
          <w:sz w:val="32"/>
          <w:szCs w:val="32"/>
        </w:rPr>
        <w:t>确保征地拆迁工作资金到位。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2018年北屯街道办承担大量的基地二期征地任务，综合保税区、汉能新能源、清河治理等二十个国家、省、市重点项目，时间紧、任务重，资金流量巨大。为做好服务保障工作，财政所积极参与协调航空产业基地、区协作办建设资金筹备工作并且在节假日安排专人不休息进行项目的存单制取和资金赔付事宜。为做好征地款的分配工作，财政所在西安银行、农业银行设立专用征地拆迁账户，以存单的形式统一发放到户，确保资金及时兑付到失地农民手中。</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2.</w:t>
      </w:r>
      <w:r>
        <w:rPr>
          <w:rFonts w:hint="eastAsia" w:ascii="楷体_GB2312" w:hAnsi="宋体" w:eastAsia="楷体_GB2312" w:cs="宋体"/>
          <w:b/>
          <w:kern w:val="0"/>
          <w:sz w:val="32"/>
          <w:szCs w:val="32"/>
        </w:rPr>
        <w:t>强化税收征管，狠抓财政收入。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根据区政府确定的收入目标任务，我办积极摸排税源，强化税收管理工作重点，与税务部门紧密联系，及时交流信息，分析税源结构，齐抓共管。一是加强管理力度，深入企业开展调研式检查，掌握企业纳税第一手资料，并建立台账，全程管理，为税务部门提供一个真实、准确的征收依据。二是坚持税收形势分析制度，加强对重点税源和重点税种的跟踪监控，较好的保证了重点税源的及时、均衡入库工作。三是强化了对零散税收的管理，加强检查监管力度，做到应收尽收、足额入库。四是加大契税征管力度，保持与国土部门联系，挖掘税源，及时征缴入库，超额完成区政府下达的征收任务。截止2018年</w:t>
      </w:r>
      <w:r>
        <w:rPr>
          <w:rFonts w:hint="eastAsia" w:ascii="仿宋_GB2312" w:hAnsi="宋体" w:eastAsia="仿宋_GB2312" w:cs="宋体"/>
          <w:kern w:val="0"/>
          <w:sz w:val="32"/>
          <w:szCs w:val="32"/>
          <w:lang w:val="en-US" w:eastAsia="zh-CN"/>
        </w:rPr>
        <w:t>12</w:t>
      </w:r>
      <w:r>
        <w:rPr>
          <w:rFonts w:hint="eastAsia" w:ascii="仿宋_GB2312" w:hAnsi="宋体" w:eastAsia="仿宋_GB2312" w:cs="宋体"/>
          <w:kern w:val="0"/>
          <w:sz w:val="32"/>
          <w:szCs w:val="32"/>
        </w:rPr>
        <w:t>月底我办完成任务976.96万元。</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宋体" w:eastAsia="楷体_GB2312" w:cs="宋体"/>
          <w:b/>
          <w:kern w:val="0"/>
          <w:sz w:val="32"/>
          <w:szCs w:val="32"/>
        </w:rPr>
      </w:pPr>
      <w:r>
        <w:rPr>
          <w:rFonts w:hint="eastAsia" w:ascii="楷体_GB2312" w:eastAsia="楷体_GB2312"/>
          <w:b/>
          <w:sz w:val="32"/>
          <w:szCs w:val="32"/>
          <w:lang w:val="en-US" w:eastAsia="zh-CN"/>
        </w:rPr>
        <w:t>3.</w:t>
      </w:r>
      <w:r>
        <w:rPr>
          <w:rFonts w:hint="eastAsia" w:ascii="楷体_GB2312" w:hAnsi="宋体" w:eastAsia="楷体_GB2312" w:cs="宋体"/>
          <w:b/>
          <w:kern w:val="0"/>
          <w:sz w:val="32"/>
          <w:szCs w:val="32"/>
        </w:rPr>
        <w:t>加强资金管理，严格控制经费支出。</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
          <w:kern w:val="0"/>
          <w:sz w:val="32"/>
          <w:szCs w:val="32"/>
        </w:rPr>
      </w:pPr>
      <w:r>
        <w:rPr>
          <w:rFonts w:hint="eastAsia" w:ascii="仿宋_GB2312" w:hAnsi="宋体" w:eastAsia="仿宋_GB2312" w:cs="宋体"/>
          <w:kern w:val="0"/>
          <w:sz w:val="32"/>
          <w:szCs w:val="32"/>
        </w:rPr>
        <w:t>通过严把“三关”即制度执行关、票据审核关、资金拨付关，进一步规范支出范围、支出标准和审批程序，对公务接待、公务用车、培训等方面实行严格控制，会议费、招待费等费用同比下降。今年，审计局对我办2015-2017年财政支出进行了审计，财政所积极配合检查，对检查组提出的问题及时整改，检查单位肯定了我办财务报账“先审后批”和村级报账“三审三签”制度在压缩三公经费支出方面取得的效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eastAsia="楷体_GB2312"/>
          <w:b/>
          <w:sz w:val="32"/>
          <w:szCs w:val="32"/>
        </w:rPr>
      </w:pPr>
      <w:r>
        <w:rPr>
          <w:rFonts w:hint="eastAsia" w:ascii="楷体_GB2312" w:eastAsia="楷体_GB2312"/>
          <w:b/>
          <w:sz w:val="32"/>
          <w:szCs w:val="32"/>
          <w:lang w:val="en-US" w:eastAsia="zh-CN"/>
        </w:rPr>
        <w:t>4.</w:t>
      </w:r>
      <w:r>
        <w:rPr>
          <w:rFonts w:hint="eastAsia" w:ascii="楷体_GB2312" w:eastAsia="楷体_GB2312"/>
          <w:b/>
          <w:sz w:val="32"/>
          <w:szCs w:val="32"/>
        </w:rPr>
        <w:t>积极做好一事一议财政奖补申报、建设和验收工作。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今年我办申报两个一事一议项目，分别为桥东村南北马组道路硬化及排水工程、李桥村合众组道路硬化及广场工程，共计申报奖补资金</w:t>
      </w:r>
      <w:r>
        <w:rPr>
          <w:rFonts w:hint="eastAsia" w:ascii="仿宋_GB2312" w:hAnsi="宋体" w:eastAsia="仿宋_GB2312" w:cs="宋体"/>
          <w:kern w:val="0"/>
          <w:sz w:val="32"/>
          <w:szCs w:val="32"/>
          <w:lang w:val="en-US" w:eastAsia="zh-CN"/>
        </w:rPr>
        <w:t>50</w:t>
      </w:r>
      <w:r>
        <w:rPr>
          <w:rFonts w:hint="eastAsia" w:ascii="仿宋_GB2312" w:hAnsi="宋体" w:eastAsia="仿宋_GB2312" w:cs="宋体"/>
          <w:kern w:val="0"/>
          <w:sz w:val="32"/>
          <w:szCs w:val="32"/>
        </w:rPr>
        <w:t>万元。各村项目正在紧锣密鼓的施工中，</w:t>
      </w:r>
      <w:r>
        <w:rPr>
          <w:rFonts w:hint="eastAsia" w:ascii="仿宋_GB2312" w:hAnsi="宋体" w:eastAsia="仿宋_GB2312" w:cs="宋体"/>
          <w:kern w:val="0"/>
          <w:sz w:val="32"/>
          <w:szCs w:val="32"/>
          <w:lang w:val="en-US" w:eastAsia="zh-CN"/>
        </w:rPr>
        <w:t>2018年12</w:t>
      </w:r>
      <w:r>
        <w:rPr>
          <w:rFonts w:hint="eastAsia" w:ascii="仿宋_GB2312" w:hAnsi="宋体" w:eastAsia="仿宋_GB2312" w:cs="宋体"/>
          <w:kern w:val="0"/>
          <w:sz w:val="32"/>
          <w:szCs w:val="32"/>
        </w:rPr>
        <w:t>月底基本完工。财政所将在“一事一议”项目申报、招标、建设、验收和资金拨付上认真把关，严格做好监督工作，确保资金落到实处，真正把公益性事业落实到实处、惠及到群众。</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宋体"/>
          <w:kern w:val="0"/>
          <w:sz w:val="32"/>
          <w:szCs w:val="32"/>
        </w:rPr>
      </w:pPr>
      <w:r>
        <w:rPr>
          <w:rFonts w:hint="eastAsia" w:ascii="楷体_GB2312" w:eastAsia="楷体_GB2312"/>
          <w:b/>
          <w:sz w:val="32"/>
          <w:szCs w:val="32"/>
          <w:lang w:val="en-US" w:eastAsia="zh-CN"/>
        </w:rPr>
        <w:t>5.</w:t>
      </w:r>
      <w:r>
        <w:rPr>
          <w:rFonts w:hint="eastAsia" w:ascii="楷体_GB2312" w:eastAsia="楷体_GB2312"/>
          <w:b/>
          <w:sz w:val="32"/>
          <w:szCs w:val="32"/>
        </w:rPr>
        <w:t>村级财务公开落实到位。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hAnsi="宋体" w:eastAsia="仿宋_GB2312" w:cs="宋体"/>
          <w:kern w:val="0"/>
          <w:sz w:val="32"/>
          <w:szCs w:val="32"/>
        </w:rPr>
        <w:t>村务公开中的重点就是财务公开，做好财务公开工作，让村民了解“家情”，摸清“家底”，以促使村委会正确、合理理财，充分发挥村级现有资产、资源经营效益。村级财务公开涉及我办8个行政村，公开方式包括张贴公告、录入村务公开系统以及手机客户端公众查询。财政所</w:t>
      </w:r>
      <w:r>
        <w:rPr>
          <w:rFonts w:hint="eastAsia" w:ascii="仿宋_GB2312" w:eastAsia="仿宋_GB2312"/>
          <w:sz w:val="32"/>
          <w:szCs w:val="32"/>
        </w:rPr>
        <w:t>对各村财务管理和财会工作人员进行了培训，增强他们的工作责任感，从维护财经纪律，促进经济建设和维护社会稳定的大局出发，认真做好财务管理工作，确保财务公开真实、客观、公平、公正。日常经费支出每月公开，重点项目内容随时公开，如一事一议项目经费的管理与使用，拆迁补偿等。</w:t>
      </w:r>
    </w:p>
    <w:p>
      <w:pPr>
        <w:spacing w:line="560" w:lineRule="exact"/>
        <w:ind w:firstLine="640" w:firstLineChars="200"/>
        <w:rPr>
          <w:rFonts w:hint="eastAsia" w:ascii="仿宋_GB2312" w:eastAsia="仿宋_GB2312"/>
          <w:sz w:val="32"/>
          <w:szCs w:val="32"/>
        </w:rPr>
      </w:pPr>
      <w:r>
        <w:rPr>
          <w:rFonts w:hint="eastAsia" w:ascii="黑体" w:hAnsi="黑体" w:eastAsia="黑体" w:cs="黑体"/>
          <w:sz w:val="32"/>
          <w:szCs w:val="32"/>
        </w:rPr>
        <w:t>五、部门决算收支情况说明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_GB2312"/>
          <w:b/>
          <w:bCs/>
          <w:sz w:val="32"/>
          <w:szCs w:val="32"/>
        </w:rPr>
      </w:pPr>
      <w:r>
        <w:rPr>
          <w:rFonts w:hint="eastAsia" w:ascii="仿宋" w:hAnsi="仿宋" w:eastAsia="仿宋" w:cs="楷体_GB2312"/>
          <w:b/>
          <w:bCs/>
          <w:sz w:val="32"/>
          <w:szCs w:val="32"/>
        </w:rPr>
        <w:t>（一）</w:t>
      </w:r>
      <w:r>
        <w:rPr>
          <w:rFonts w:hint="eastAsia" w:ascii="仿宋" w:hAnsi="仿宋" w:eastAsia="仿宋" w:cs="楷体_GB2312"/>
          <w:b/>
          <w:bCs/>
          <w:sz w:val="32"/>
          <w:szCs w:val="32"/>
          <w:lang w:eastAsia="zh-CN"/>
        </w:rPr>
        <w:t>2018</w:t>
      </w:r>
      <w:r>
        <w:rPr>
          <w:rFonts w:hint="eastAsia" w:ascii="仿宋" w:hAnsi="仿宋" w:eastAsia="仿宋" w:cs="楷体_GB2312"/>
          <w:b/>
          <w:bCs/>
          <w:sz w:val="32"/>
          <w:szCs w:val="32"/>
        </w:rPr>
        <w:t>年度收入支出总体情况说明</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1.本年度收入支出总体情况</w:t>
      </w:r>
    </w:p>
    <w:p>
      <w:pPr>
        <w:spacing w:line="220" w:lineRule="atLeast"/>
        <w:ind w:firstLine="480" w:firstLineChars="150"/>
        <w:rPr>
          <w:rFonts w:hint="eastAsia" w:ascii="仿宋" w:hAnsi="仿宋" w:eastAsia="仿宋"/>
          <w:sz w:val="30"/>
          <w:szCs w:val="30"/>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）2018</w:t>
      </w:r>
      <w:r>
        <w:rPr>
          <w:rFonts w:hint="eastAsia" w:ascii="仿宋" w:hAnsi="仿宋" w:eastAsia="仿宋"/>
          <w:sz w:val="32"/>
          <w:szCs w:val="32"/>
        </w:rPr>
        <w:t>年度本年收入合计</w:t>
      </w:r>
      <w:r>
        <w:rPr>
          <w:rFonts w:hint="eastAsia" w:ascii="仿宋" w:hAnsi="仿宋" w:eastAsia="仿宋"/>
          <w:sz w:val="32"/>
          <w:szCs w:val="32"/>
          <w:lang w:val="en-US" w:eastAsia="zh-CN"/>
        </w:rPr>
        <w:t>960.48</w:t>
      </w:r>
      <w:r>
        <w:rPr>
          <w:rFonts w:hint="eastAsia" w:ascii="仿宋" w:hAnsi="仿宋" w:eastAsia="仿宋"/>
          <w:sz w:val="32"/>
          <w:szCs w:val="32"/>
          <w:lang w:eastAsia="zh-CN"/>
        </w:rPr>
        <w:t>万</w:t>
      </w:r>
      <w:r>
        <w:rPr>
          <w:rFonts w:hint="eastAsia" w:ascii="仿宋" w:hAnsi="仿宋" w:eastAsia="仿宋"/>
          <w:sz w:val="32"/>
          <w:szCs w:val="32"/>
        </w:rPr>
        <w:t>元，较上年</w:t>
      </w:r>
      <w:r>
        <w:rPr>
          <w:rFonts w:hint="eastAsia" w:ascii="仿宋" w:hAnsi="仿宋" w:eastAsia="仿宋"/>
          <w:sz w:val="32"/>
          <w:szCs w:val="32"/>
          <w:lang w:eastAsia="zh-CN"/>
        </w:rPr>
        <w:t>减少</w:t>
      </w:r>
      <w:r>
        <w:rPr>
          <w:rFonts w:hint="eastAsia" w:ascii="仿宋" w:hAnsi="仿宋" w:eastAsia="仿宋"/>
          <w:sz w:val="32"/>
          <w:szCs w:val="32"/>
          <w:lang w:val="en-US" w:eastAsia="zh-CN"/>
        </w:rPr>
        <w:t>210.39</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原因是</w:t>
      </w:r>
      <w:r>
        <w:rPr>
          <w:rFonts w:hint="eastAsia" w:ascii="仿宋" w:hAnsi="仿宋" w:eastAsia="仿宋"/>
          <w:sz w:val="30"/>
          <w:szCs w:val="30"/>
        </w:rPr>
        <w:t>主要原因是</w:t>
      </w:r>
      <w:r>
        <w:rPr>
          <w:rFonts w:hint="eastAsia" w:ascii="仿宋" w:hAnsi="仿宋" w:eastAsia="仿宋"/>
          <w:sz w:val="30"/>
          <w:szCs w:val="30"/>
          <w:lang w:eastAsia="zh-CN"/>
        </w:rPr>
        <w:t>减少</w:t>
      </w:r>
      <w:r>
        <w:rPr>
          <w:rFonts w:hint="eastAsia" w:ascii="仿宋" w:hAnsi="仿宋" w:eastAsia="仿宋"/>
          <w:sz w:val="30"/>
          <w:szCs w:val="30"/>
        </w:rPr>
        <w:t>一事一议</w:t>
      </w:r>
      <w:r>
        <w:rPr>
          <w:rFonts w:hint="eastAsia" w:ascii="仿宋" w:hAnsi="仿宋" w:eastAsia="仿宋"/>
          <w:sz w:val="30"/>
          <w:szCs w:val="30"/>
          <w:lang w:eastAsia="zh-CN"/>
        </w:rPr>
        <w:t>项目</w:t>
      </w:r>
      <w:r>
        <w:rPr>
          <w:rFonts w:hint="eastAsia" w:ascii="仿宋" w:hAnsi="仿宋" w:eastAsia="仿宋"/>
          <w:sz w:val="30"/>
          <w:szCs w:val="30"/>
        </w:rPr>
        <w:t>资金</w:t>
      </w:r>
      <w:r>
        <w:rPr>
          <w:rFonts w:hint="eastAsia" w:ascii="仿宋" w:hAnsi="仿宋" w:eastAsia="仿宋"/>
          <w:sz w:val="30"/>
          <w:szCs w:val="30"/>
          <w:lang w:eastAsia="zh-CN"/>
        </w:rPr>
        <w:t>，办公经费。</w:t>
      </w:r>
    </w:p>
    <w:p>
      <w:pPr>
        <w:spacing w:line="220" w:lineRule="atLeast"/>
        <w:ind w:firstLine="480" w:firstLineChars="150"/>
        <w:rPr>
          <w:rFonts w:hint="eastAsia" w:ascii="仿宋" w:hAnsi="仿宋" w:eastAsia="仿宋"/>
          <w:sz w:val="32"/>
          <w:szCs w:val="32"/>
          <w:lang w:val="en-US"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2</w:t>
      </w:r>
      <w:r>
        <w:rPr>
          <w:rFonts w:hint="eastAsia" w:ascii="仿宋" w:hAnsi="仿宋" w:eastAsia="仿宋"/>
          <w:sz w:val="32"/>
          <w:szCs w:val="32"/>
          <w:lang w:eastAsia="zh-CN"/>
        </w:rPr>
        <w:t>）2018</w:t>
      </w:r>
      <w:r>
        <w:rPr>
          <w:rFonts w:hint="eastAsia" w:ascii="仿宋" w:hAnsi="仿宋" w:eastAsia="仿宋"/>
          <w:sz w:val="32"/>
          <w:szCs w:val="32"/>
        </w:rPr>
        <w:t>年度支出合计</w:t>
      </w:r>
      <w:r>
        <w:rPr>
          <w:rFonts w:hint="eastAsia" w:ascii="仿宋" w:hAnsi="仿宋" w:eastAsia="仿宋"/>
          <w:sz w:val="32"/>
          <w:szCs w:val="32"/>
          <w:lang w:val="en-US" w:eastAsia="zh-CN"/>
        </w:rPr>
        <w:t>1118.18</w:t>
      </w:r>
      <w:r>
        <w:rPr>
          <w:rFonts w:hint="eastAsia" w:ascii="仿宋" w:hAnsi="仿宋" w:eastAsia="仿宋"/>
          <w:sz w:val="32"/>
          <w:szCs w:val="32"/>
        </w:rPr>
        <w:t>万元，比上年</w:t>
      </w:r>
      <w:r>
        <w:rPr>
          <w:rFonts w:hint="eastAsia" w:ascii="仿宋" w:hAnsi="仿宋" w:eastAsia="仿宋"/>
          <w:sz w:val="32"/>
          <w:szCs w:val="32"/>
          <w:lang w:eastAsia="zh-CN"/>
        </w:rPr>
        <w:t>增加</w:t>
      </w:r>
      <w:r>
        <w:rPr>
          <w:rFonts w:hint="eastAsia" w:ascii="仿宋" w:hAnsi="仿宋" w:eastAsia="仿宋"/>
          <w:sz w:val="32"/>
          <w:szCs w:val="32"/>
          <w:lang w:val="en-US" w:eastAsia="zh-CN"/>
        </w:rPr>
        <w:t>190.7</w:t>
      </w:r>
      <w:r>
        <w:rPr>
          <w:rFonts w:hint="eastAsia" w:ascii="仿宋" w:hAnsi="仿宋" w:eastAsia="仿宋"/>
          <w:sz w:val="32"/>
          <w:szCs w:val="32"/>
        </w:rPr>
        <w:t>万元，主要原因是</w:t>
      </w:r>
      <w:r>
        <w:rPr>
          <w:rFonts w:hint="eastAsia" w:ascii="仿宋" w:hAnsi="仿宋" w:eastAsia="仿宋"/>
          <w:sz w:val="32"/>
          <w:szCs w:val="32"/>
          <w:lang w:val="en-US" w:eastAsia="zh-CN"/>
        </w:rPr>
        <w:t>2017年</w:t>
      </w:r>
      <w:r>
        <w:rPr>
          <w:rFonts w:hint="eastAsia" w:ascii="仿宋" w:hAnsi="仿宋" w:eastAsia="仿宋"/>
          <w:sz w:val="32"/>
          <w:szCs w:val="32"/>
        </w:rPr>
        <w:t>一事一议项目资金190.7万元结转至 2018年，</w:t>
      </w:r>
      <w:r>
        <w:rPr>
          <w:rFonts w:hint="eastAsia" w:ascii="仿宋" w:hAnsi="仿宋" w:eastAsia="仿宋"/>
          <w:sz w:val="32"/>
          <w:szCs w:val="32"/>
          <w:lang w:eastAsia="zh-CN"/>
        </w:rPr>
        <w:t>并于</w:t>
      </w:r>
      <w:r>
        <w:rPr>
          <w:rFonts w:hint="eastAsia" w:ascii="仿宋" w:hAnsi="仿宋" w:eastAsia="仿宋"/>
          <w:sz w:val="32"/>
          <w:szCs w:val="32"/>
          <w:lang w:val="en-US" w:eastAsia="zh-CN"/>
        </w:rPr>
        <w:t>2018年</w:t>
      </w:r>
      <w:r>
        <w:rPr>
          <w:rFonts w:hint="eastAsia" w:ascii="仿宋" w:hAnsi="仿宋" w:eastAsia="仿宋"/>
          <w:sz w:val="32"/>
          <w:szCs w:val="32"/>
        </w:rPr>
        <w:t>计入支出。</w:t>
      </w:r>
      <w:r>
        <w:rPr>
          <w:rFonts w:hint="eastAsia" w:ascii="仿宋" w:hAnsi="仿宋" w:eastAsia="仿宋"/>
          <w:sz w:val="32"/>
          <w:szCs w:val="32"/>
          <w:lang w:val="en-US" w:eastAsia="zh-CN"/>
        </w:rPr>
        <w:t>2018年</w:t>
      </w:r>
      <w:r>
        <w:rPr>
          <w:rFonts w:hint="eastAsia" w:ascii="仿宋" w:hAnsi="仿宋" w:eastAsia="仿宋"/>
          <w:sz w:val="32"/>
          <w:szCs w:val="32"/>
          <w:lang w:eastAsia="zh-CN"/>
        </w:rPr>
        <w:t>一事一议项目资金</w:t>
      </w:r>
      <w:r>
        <w:rPr>
          <w:rFonts w:hint="eastAsia" w:ascii="仿宋" w:hAnsi="仿宋" w:eastAsia="仿宋"/>
          <w:sz w:val="32"/>
          <w:szCs w:val="32"/>
          <w:lang w:val="en-US" w:eastAsia="zh-CN"/>
        </w:rPr>
        <w:t>33万元结转至2019年，2018年不计入支出。</w:t>
      </w:r>
    </w:p>
    <w:p>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r>
        <w:rPr>
          <w:rFonts w:hint="eastAsia" w:ascii="仿宋" w:hAnsi="仿宋" w:eastAsia="仿宋" w:cs="仿宋"/>
          <w:b/>
          <w:i w:val="0"/>
          <w:caps w:val="0"/>
          <w:color w:val="333333"/>
          <w:spacing w:val="0"/>
          <w:sz w:val="32"/>
          <w:szCs w:val="32"/>
          <w:shd w:val="clear" w:color="auto" w:fill="FFFFFF"/>
          <w:lang w:val="en-US" w:eastAsia="zh-CN"/>
        </w:rPr>
        <w:t>2017、2018年度财政拨款收入支出总体情况表（万元）</w:t>
      </w:r>
    </w:p>
    <w:tbl>
      <w:tblPr>
        <w:tblStyle w:val="13"/>
        <w:tblW w:w="9150" w:type="dxa"/>
        <w:tblInd w:w="0" w:type="dxa"/>
        <w:tblLayout w:type="fixed"/>
        <w:tblCellMar>
          <w:top w:w="0" w:type="dxa"/>
          <w:left w:w="108" w:type="dxa"/>
          <w:bottom w:w="0" w:type="dxa"/>
          <w:right w:w="108" w:type="dxa"/>
        </w:tblCellMar>
      </w:tblPr>
      <w:tblGrid>
        <w:gridCol w:w="3011"/>
        <w:gridCol w:w="3334"/>
        <w:gridCol w:w="2805"/>
      </w:tblGrid>
      <w:tr>
        <w:tblPrEx>
          <w:tblCellMar>
            <w:top w:w="0" w:type="dxa"/>
            <w:left w:w="108" w:type="dxa"/>
            <w:bottom w:w="0" w:type="dxa"/>
            <w:right w:w="108" w:type="dxa"/>
          </w:tblCellMar>
        </w:tblPrEx>
        <w:tc>
          <w:tcPr>
            <w:tcW w:w="3011" w:type="dxa"/>
            <w:tcBorders>
              <w:top w:val="single" w:color="auto" w:sz="12" w:space="0"/>
              <w:left w:val="nil"/>
              <w:bottom w:val="single" w:color="auto" w:sz="6" w:space="0"/>
              <w:right w:val="single" w:color="7F7F7F" w:sz="4" w:space="0"/>
            </w:tcBorders>
            <w:noWrap w:val="0"/>
            <w:vAlign w:val="center"/>
          </w:tcPr>
          <w:p>
            <w:pPr>
              <w:jc w:val="center"/>
              <w:rPr>
                <w:rFonts w:hint="eastAsia" w:eastAsia="等线"/>
                <w:b/>
                <w:bCs/>
                <w:caps/>
                <w:kern w:val="0"/>
                <w:sz w:val="20"/>
                <w:szCs w:val="20"/>
                <w:lang w:eastAsia="zh-CN"/>
              </w:rPr>
            </w:pPr>
            <w:r>
              <w:rPr>
                <w:rFonts w:hint="eastAsia"/>
                <w:b/>
                <w:bCs/>
                <w:caps/>
                <w:kern w:val="0"/>
                <w:sz w:val="20"/>
                <w:szCs w:val="20"/>
                <w:lang w:eastAsia="zh-CN"/>
              </w:rPr>
              <w:t>年</w:t>
            </w:r>
            <w:r>
              <w:rPr>
                <w:rFonts w:hint="eastAsia"/>
                <w:b/>
                <w:bCs/>
                <w:caps/>
                <w:kern w:val="0"/>
                <w:sz w:val="20"/>
                <w:szCs w:val="20"/>
                <w:lang w:val="en-US" w:eastAsia="zh-CN"/>
              </w:rPr>
              <w:t xml:space="preserve">  </w:t>
            </w:r>
            <w:r>
              <w:rPr>
                <w:rFonts w:hint="eastAsia"/>
                <w:b/>
                <w:bCs/>
                <w:caps/>
                <w:kern w:val="0"/>
                <w:sz w:val="20"/>
                <w:szCs w:val="20"/>
                <w:lang w:eastAsia="zh-CN"/>
              </w:rPr>
              <w:t>份</w:t>
            </w:r>
          </w:p>
        </w:tc>
        <w:tc>
          <w:tcPr>
            <w:tcW w:w="3334" w:type="dxa"/>
            <w:tcBorders>
              <w:top w:val="single" w:color="auto" w:sz="12" w:space="0"/>
              <w:left w:val="nil"/>
              <w:bottom w:val="single" w:color="auto" w:sz="6" w:space="0"/>
              <w:right w:val="nil"/>
            </w:tcBorders>
            <w:noWrap w:val="0"/>
            <w:vAlign w:val="center"/>
          </w:tcPr>
          <w:p>
            <w:pPr>
              <w:jc w:val="center"/>
              <w:rPr>
                <w:rFonts w:hint="eastAsia" w:eastAsia="等线"/>
                <w:b/>
                <w:caps/>
                <w:kern w:val="0"/>
                <w:sz w:val="20"/>
                <w:szCs w:val="20"/>
                <w:lang w:eastAsia="zh-CN"/>
              </w:rPr>
            </w:pPr>
            <w:r>
              <w:rPr>
                <w:rFonts w:hint="eastAsia"/>
                <w:b/>
                <w:caps/>
                <w:kern w:val="0"/>
                <w:sz w:val="20"/>
                <w:szCs w:val="20"/>
                <w:lang w:eastAsia="zh-CN"/>
              </w:rPr>
              <w:t>收</w:t>
            </w:r>
            <w:r>
              <w:rPr>
                <w:rFonts w:hint="eastAsia"/>
                <w:b/>
                <w:caps/>
                <w:kern w:val="0"/>
                <w:sz w:val="20"/>
                <w:szCs w:val="20"/>
                <w:lang w:val="en-US" w:eastAsia="zh-CN"/>
              </w:rPr>
              <w:t xml:space="preserve">  </w:t>
            </w:r>
            <w:r>
              <w:rPr>
                <w:rFonts w:hint="eastAsia"/>
                <w:b/>
                <w:caps/>
                <w:kern w:val="0"/>
                <w:sz w:val="20"/>
                <w:szCs w:val="20"/>
                <w:lang w:eastAsia="zh-CN"/>
              </w:rPr>
              <w:t>入</w:t>
            </w:r>
          </w:p>
        </w:tc>
        <w:tc>
          <w:tcPr>
            <w:tcW w:w="2805" w:type="dxa"/>
            <w:tcBorders>
              <w:top w:val="single" w:color="auto" w:sz="12" w:space="0"/>
              <w:left w:val="nil"/>
              <w:bottom w:val="single" w:color="auto" w:sz="6" w:space="0"/>
              <w:right w:val="nil"/>
            </w:tcBorders>
            <w:noWrap w:val="0"/>
            <w:vAlign w:val="center"/>
          </w:tcPr>
          <w:p>
            <w:pPr>
              <w:jc w:val="center"/>
              <w:rPr>
                <w:rFonts w:hint="eastAsia" w:eastAsia="等线"/>
                <w:b/>
                <w:caps/>
                <w:kern w:val="0"/>
                <w:sz w:val="20"/>
                <w:szCs w:val="20"/>
                <w:lang w:eastAsia="zh-CN"/>
              </w:rPr>
            </w:pPr>
            <w:r>
              <w:rPr>
                <w:rFonts w:hint="eastAsia"/>
                <w:b/>
                <w:caps/>
                <w:kern w:val="0"/>
                <w:sz w:val="20"/>
                <w:szCs w:val="20"/>
                <w:lang w:eastAsia="zh-CN"/>
              </w:rPr>
              <w:t>支</w:t>
            </w:r>
            <w:r>
              <w:rPr>
                <w:rFonts w:hint="eastAsia"/>
                <w:b/>
                <w:caps/>
                <w:kern w:val="0"/>
                <w:sz w:val="20"/>
                <w:szCs w:val="20"/>
                <w:lang w:val="en-US" w:eastAsia="zh-CN"/>
              </w:rPr>
              <w:t xml:space="preserve">  </w:t>
            </w:r>
            <w:r>
              <w:rPr>
                <w:rFonts w:hint="eastAsia"/>
                <w:b/>
                <w:caps/>
                <w:kern w:val="0"/>
                <w:sz w:val="20"/>
                <w:szCs w:val="20"/>
                <w:lang w:eastAsia="zh-CN"/>
              </w:rPr>
              <w:t>出</w:t>
            </w:r>
          </w:p>
        </w:tc>
      </w:tr>
      <w:tr>
        <w:tblPrEx>
          <w:tblCellMar>
            <w:top w:w="0" w:type="dxa"/>
            <w:left w:w="108" w:type="dxa"/>
            <w:bottom w:w="0" w:type="dxa"/>
            <w:right w:w="108" w:type="dxa"/>
          </w:tblCellMar>
        </w:tblPrEx>
        <w:tc>
          <w:tcPr>
            <w:tcW w:w="3011" w:type="dxa"/>
            <w:tcBorders>
              <w:top w:val="single" w:color="auto" w:sz="6" w:space="0"/>
              <w:left w:val="nil"/>
              <w:bottom w:val="nil"/>
              <w:right w:val="single" w:color="7F7F7F" w:sz="4" w:space="0"/>
            </w:tcBorders>
            <w:noWrap w:val="0"/>
            <w:vAlign w:val="center"/>
          </w:tcPr>
          <w:p>
            <w:pPr>
              <w:jc w:val="center"/>
              <w:rPr>
                <w:rFonts w:hint="default" w:eastAsia="等线"/>
                <w:b w:val="0"/>
                <w:bCs/>
                <w:caps w:val="0"/>
                <w:kern w:val="0"/>
                <w:sz w:val="20"/>
                <w:szCs w:val="20"/>
                <w:lang w:val="en-US" w:eastAsia="zh-CN"/>
              </w:rPr>
            </w:pPr>
            <w:r>
              <w:rPr>
                <w:rFonts w:hint="eastAsia" w:ascii="等线" w:hAnsi="等线" w:eastAsia="等线" w:cs="Times New Roman"/>
                <w:b/>
                <w:bCs/>
                <w:caps/>
                <w:kern w:val="0"/>
                <w:sz w:val="20"/>
                <w:szCs w:val="20"/>
                <w:lang w:val="en-US" w:eastAsia="zh-CN" w:bidi="ar"/>
              </w:rPr>
              <w:t>2017</w:t>
            </w:r>
          </w:p>
        </w:tc>
        <w:tc>
          <w:tcPr>
            <w:tcW w:w="3334" w:type="dxa"/>
            <w:tcBorders>
              <w:top w:val="single" w:color="auto" w:sz="6" w:space="0"/>
              <w:left w:val="nil"/>
              <w:bottom w:val="nil"/>
              <w:right w:val="nil"/>
            </w:tcBorders>
            <w:noWrap w:val="0"/>
            <w:vAlign w:val="center"/>
          </w:tcPr>
          <w:p>
            <w:pPr>
              <w:jc w:val="center"/>
              <w:rPr>
                <w:rFonts w:hint="default" w:eastAsia="等线"/>
                <w:kern w:val="0"/>
                <w:sz w:val="20"/>
                <w:szCs w:val="20"/>
                <w:lang w:val="en-US" w:eastAsia="zh-CN"/>
              </w:rPr>
            </w:pPr>
            <w:r>
              <w:rPr>
                <w:rFonts w:hint="eastAsia"/>
                <w:kern w:val="0"/>
                <w:sz w:val="20"/>
                <w:szCs w:val="20"/>
                <w:lang w:val="en-US" w:eastAsia="zh-CN"/>
              </w:rPr>
              <w:t>1070.8</w:t>
            </w:r>
          </w:p>
        </w:tc>
        <w:tc>
          <w:tcPr>
            <w:tcW w:w="2805" w:type="dxa"/>
            <w:tcBorders>
              <w:top w:val="single" w:color="auto" w:sz="6" w:space="0"/>
              <w:left w:val="nil"/>
              <w:bottom w:val="nil"/>
              <w:right w:val="nil"/>
            </w:tcBorders>
            <w:noWrap w:val="0"/>
            <w:vAlign w:val="center"/>
          </w:tcPr>
          <w:p>
            <w:pPr>
              <w:jc w:val="center"/>
              <w:rPr>
                <w:rFonts w:hint="default" w:eastAsia="等线"/>
                <w:kern w:val="0"/>
                <w:sz w:val="20"/>
                <w:szCs w:val="20"/>
                <w:lang w:val="en-US" w:eastAsia="zh-CN"/>
              </w:rPr>
            </w:pPr>
            <w:r>
              <w:rPr>
                <w:rFonts w:hint="eastAsia"/>
                <w:kern w:val="0"/>
                <w:sz w:val="20"/>
                <w:szCs w:val="20"/>
                <w:lang w:val="en-US" w:eastAsia="zh-CN"/>
              </w:rPr>
              <w:t>980.17</w:t>
            </w:r>
          </w:p>
        </w:tc>
      </w:tr>
      <w:tr>
        <w:tblPrEx>
          <w:tblCellMar>
            <w:top w:w="0" w:type="dxa"/>
            <w:left w:w="108" w:type="dxa"/>
            <w:bottom w:w="0" w:type="dxa"/>
            <w:right w:w="108" w:type="dxa"/>
          </w:tblCellMar>
        </w:tblPrEx>
        <w:tc>
          <w:tcPr>
            <w:tcW w:w="3011" w:type="dxa"/>
            <w:tcBorders>
              <w:top w:val="nil"/>
              <w:left w:val="nil"/>
              <w:bottom w:val="nil"/>
              <w:right w:val="single" w:color="7F7F7F" w:sz="4" w:space="0"/>
            </w:tcBorders>
            <w:noWrap w:val="0"/>
            <w:vAlign w:val="center"/>
          </w:tcPr>
          <w:p>
            <w:pPr>
              <w:jc w:val="center"/>
              <w:rPr>
                <w:rFonts w:hint="default"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2018</w:t>
            </w:r>
          </w:p>
        </w:tc>
        <w:tc>
          <w:tcPr>
            <w:tcW w:w="3334"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960.47</w:t>
            </w:r>
          </w:p>
        </w:tc>
        <w:tc>
          <w:tcPr>
            <w:tcW w:w="280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1118.18</w:t>
            </w:r>
          </w:p>
        </w:tc>
      </w:tr>
      <w:tr>
        <w:tblPrEx>
          <w:tblCellMar>
            <w:top w:w="0" w:type="dxa"/>
            <w:left w:w="108" w:type="dxa"/>
            <w:bottom w:w="0" w:type="dxa"/>
            <w:right w:w="108" w:type="dxa"/>
          </w:tblCellMar>
        </w:tblPrEx>
        <w:tc>
          <w:tcPr>
            <w:tcW w:w="3011" w:type="dxa"/>
            <w:tcBorders>
              <w:top w:val="nil"/>
              <w:left w:val="nil"/>
              <w:bottom w:val="single" w:color="auto" w:sz="12" w:space="0"/>
              <w:right w:val="single" w:color="7F7F7F" w:sz="4" w:space="0"/>
            </w:tcBorders>
            <w:noWrap w:val="0"/>
            <w:vAlign w:val="center"/>
          </w:tcPr>
          <w:p>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增幅</w:t>
            </w:r>
          </w:p>
        </w:tc>
        <w:tc>
          <w:tcPr>
            <w:tcW w:w="3334" w:type="dxa"/>
            <w:tcBorders>
              <w:top w:val="nil"/>
              <w:left w:val="nil"/>
              <w:bottom w:val="single" w:color="auto" w:sz="12" w:space="0"/>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-190.7</w:t>
            </w:r>
          </w:p>
        </w:tc>
        <w:tc>
          <w:tcPr>
            <w:tcW w:w="2805" w:type="dxa"/>
            <w:tcBorders>
              <w:top w:val="nil"/>
              <w:left w:val="nil"/>
              <w:bottom w:val="single" w:color="auto" w:sz="12" w:space="0"/>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138.01</w:t>
            </w:r>
          </w:p>
        </w:tc>
      </w:tr>
    </w:tbl>
    <w:p>
      <w:pPr>
        <w:pStyle w:val="5"/>
        <w:spacing w:before="0" w:beforeAutospacing="0" w:after="0" w:afterAutospacing="0" w:line="540" w:lineRule="exact"/>
        <w:rPr>
          <w:rFonts w:hint="eastAsia" w:ascii="仿宋" w:hAnsi="仿宋" w:eastAsia="仿宋"/>
          <w:sz w:val="32"/>
          <w:szCs w:val="32"/>
        </w:rPr>
      </w:pPr>
    </w:p>
    <w:p>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p>
    <w:p>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r>
        <w:rPr>
          <w:rFonts w:hint="eastAsia" w:ascii="仿宋" w:hAnsi="仿宋" w:eastAsia="仿宋" w:cs="仿宋"/>
          <w:b/>
          <w:i w:val="0"/>
          <w:caps w:val="0"/>
          <w:color w:val="333333"/>
          <w:spacing w:val="0"/>
          <w:sz w:val="32"/>
          <w:szCs w:val="32"/>
          <w:shd w:val="clear" w:color="auto" w:fill="FFFFFF"/>
          <w:lang w:val="en-US" w:eastAsia="zh-CN"/>
        </w:rPr>
        <w:t>2018年度收入支出年初预算数与决算数总体对比表（万元）</w:t>
      </w:r>
    </w:p>
    <w:tbl>
      <w:tblPr>
        <w:tblStyle w:val="13"/>
        <w:tblW w:w="9150" w:type="dxa"/>
        <w:tblInd w:w="0" w:type="dxa"/>
        <w:tblLayout w:type="fixed"/>
        <w:tblCellMar>
          <w:top w:w="0" w:type="dxa"/>
          <w:left w:w="108" w:type="dxa"/>
          <w:bottom w:w="0" w:type="dxa"/>
          <w:right w:w="108" w:type="dxa"/>
        </w:tblCellMar>
      </w:tblPr>
      <w:tblGrid>
        <w:gridCol w:w="2495"/>
        <w:gridCol w:w="2365"/>
        <w:gridCol w:w="2115"/>
        <w:gridCol w:w="2175"/>
      </w:tblGrid>
      <w:tr>
        <w:tblPrEx>
          <w:tblCellMar>
            <w:top w:w="0" w:type="dxa"/>
            <w:left w:w="108" w:type="dxa"/>
            <w:bottom w:w="0" w:type="dxa"/>
            <w:right w:w="108" w:type="dxa"/>
          </w:tblCellMar>
        </w:tblPrEx>
        <w:trPr>
          <w:trHeight w:val="370" w:hRule="atLeast"/>
        </w:trPr>
        <w:tc>
          <w:tcPr>
            <w:tcW w:w="2495" w:type="dxa"/>
            <w:tcBorders>
              <w:top w:val="single" w:color="auto" w:sz="12" w:space="0"/>
              <w:left w:val="nil"/>
              <w:bottom w:val="single" w:color="auto" w:sz="6" w:space="0"/>
              <w:right w:val="single" w:color="7F7F7F" w:sz="4" w:space="0"/>
            </w:tcBorders>
            <w:noWrap w:val="0"/>
            <w:vAlign w:val="center"/>
          </w:tcPr>
          <w:p>
            <w:pPr>
              <w:jc w:val="center"/>
              <w:rPr>
                <w:rFonts w:hint="eastAsia" w:eastAsia="等线"/>
                <w:b/>
                <w:bCs/>
                <w:caps/>
                <w:kern w:val="0"/>
                <w:sz w:val="20"/>
                <w:szCs w:val="20"/>
                <w:lang w:eastAsia="zh-CN"/>
              </w:rPr>
            </w:pPr>
            <w:r>
              <w:rPr>
                <w:rFonts w:hint="eastAsia" w:eastAsia="等线"/>
                <w:b/>
                <w:bCs/>
                <w:caps/>
                <w:kern w:val="0"/>
                <w:sz w:val="20"/>
                <w:szCs w:val="20"/>
                <w:lang w:eastAsia="zh-CN"/>
              </w:rPr>
              <w:t>预决算</w:t>
            </w:r>
          </w:p>
        </w:tc>
        <w:tc>
          <w:tcPr>
            <w:tcW w:w="2365" w:type="dxa"/>
            <w:tcBorders>
              <w:top w:val="single" w:color="auto" w:sz="12" w:space="0"/>
              <w:left w:val="nil"/>
              <w:bottom w:val="single" w:color="auto" w:sz="6" w:space="0"/>
              <w:right w:val="nil"/>
            </w:tcBorders>
            <w:noWrap w:val="0"/>
            <w:vAlign w:val="center"/>
          </w:tcPr>
          <w:p>
            <w:pPr>
              <w:jc w:val="center"/>
              <w:rPr>
                <w:rFonts w:hint="eastAsia" w:eastAsia="等线"/>
                <w:b/>
                <w:caps/>
                <w:kern w:val="0"/>
                <w:sz w:val="20"/>
                <w:szCs w:val="20"/>
                <w:lang w:eastAsia="zh-CN"/>
              </w:rPr>
            </w:pPr>
            <w:r>
              <w:rPr>
                <w:rFonts w:hint="eastAsia"/>
                <w:b/>
                <w:caps/>
                <w:kern w:val="0"/>
                <w:sz w:val="20"/>
                <w:szCs w:val="20"/>
                <w:lang w:eastAsia="zh-CN"/>
              </w:rPr>
              <w:t>收</w:t>
            </w:r>
            <w:r>
              <w:rPr>
                <w:rFonts w:hint="eastAsia"/>
                <w:b/>
                <w:caps/>
                <w:kern w:val="0"/>
                <w:sz w:val="20"/>
                <w:szCs w:val="20"/>
                <w:lang w:val="en-US" w:eastAsia="zh-CN"/>
              </w:rPr>
              <w:t xml:space="preserve">  </w:t>
            </w:r>
            <w:r>
              <w:rPr>
                <w:rFonts w:hint="eastAsia"/>
                <w:b/>
                <w:caps/>
                <w:kern w:val="0"/>
                <w:sz w:val="20"/>
                <w:szCs w:val="20"/>
                <w:lang w:eastAsia="zh-CN"/>
              </w:rPr>
              <w:t>入</w:t>
            </w:r>
          </w:p>
        </w:tc>
        <w:tc>
          <w:tcPr>
            <w:tcW w:w="2115" w:type="dxa"/>
            <w:tcBorders>
              <w:top w:val="single" w:color="auto" w:sz="12" w:space="0"/>
              <w:left w:val="nil"/>
              <w:bottom w:val="single" w:color="auto" w:sz="6" w:space="0"/>
              <w:right w:val="nil"/>
            </w:tcBorders>
            <w:noWrap w:val="0"/>
            <w:vAlign w:val="center"/>
          </w:tcPr>
          <w:p>
            <w:pPr>
              <w:jc w:val="center"/>
              <w:rPr>
                <w:rFonts w:hint="eastAsia" w:eastAsia="等线"/>
                <w:b/>
                <w:caps/>
                <w:kern w:val="0"/>
                <w:sz w:val="20"/>
                <w:szCs w:val="20"/>
                <w:lang w:eastAsia="zh-CN"/>
              </w:rPr>
            </w:pPr>
            <w:r>
              <w:rPr>
                <w:rFonts w:hint="eastAsia"/>
                <w:b/>
                <w:caps/>
                <w:kern w:val="0"/>
                <w:sz w:val="20"/>
                <w:szCs w:val="20"/>
                <w:lang w:eastAsia="zh-CN"/>
              </w:rPr>
              <w:t>支</w:t>
            </w:r>
            <w:r>
              <w:rPr>
                <w:rFonts w:hint="eastAsia"/>
                <w:b/>
                <w:caps/>
                <w:kern w:val="0"/>
                <w:sz w:val="20"/>
                <w:szCs w:val="20"/>
                <w:lang w:val="en-US" w:eastAsia="zh-CN"/>
              </w:rPr>
              <w:t xml:space="preserve">  </w:t>
            </w:r>
            <w:r>
              <w:rPr>
                <w:rFonts w:hint="eastAsia"/>
                <w:b/>
                <w:caps/>
                <w:kern w:val="0"/>
                <w:sz w:val="20"/>
                <w:szCs w:val="20"/>
                <w:lang w:eastAsia="zh-CN"/>
              </w:rPr>
              <w:t>出</w:t>
            </w:r>
          </w:p>
        </w:tc>
        <w:tc>
          <w:tcPr>
            <w:tcW w:w="2175" w:type="dxa"/>
            <w:tcBorders>
              <w:top w:val="single" w:color="auto" w:sz="12" w:space="0"/>
              <w:left w:val="nil"/>
              <w:bottom w:val="single" w:color="auto" w:sz="6" w:space="0"/>
              <w:right w:val="nil"/>
            </w:tcBorders>
            <w:noWrap w:val="0"/>
            <w:vAlign w:val="center"/>
          </w:tcPr>
          <w:p>
            <w:pPr>
              <w:jc w:val="center"/>
              <w:rPr>
                <w:rFonts w:hint="eastAsia"/>
                <w:b/>
                <w:caps/>
                <w:kern w:val="0"/>
                <w:sz w:val="20"/>
                <w:szCs w:val="20"/>
                <w:lang w:eastAsia="zh-CN"/>
              </w:rPr>
            </w:pPr>
            <w:r>
              <w:rPr>
                <w:rFonts w:hint="eastAsia"/>
                <w:b/>
                <w:caps/>
                <w:kern w:val="0"/>
                <w:sz w:val="20"/>
                <w:szCs w:val="20"/>
                <w:lang w:eastAsia="zh-CN"/>
              </w:rPr>
              <w:t>上年（本年）结转结余</w:t>
            </w:r>
          </w:p>
        </w:tc>
      </w:tr>
      <w:tr>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pPr>
              <w:jc w:val="center"/>
              <w:rPr>
                <w:rFonts w:hint="default"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年初预算数</w:t>
            </w:r>
          </w:p>
        </w:tc>
        <w:tc>
          <w:tcPr>
            <w:tcW w:w="236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949.95</w:t>
            </w:r>
          </w:p>
        </w:tc>
        <w:tc>
          <w:tcPr>
            <w:tcW w:w="211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1140.65</w:t>
            </w:r>
          </w:p>
        </w:tc>
        <w:tc>
          <w:tcPr>
            <w:tcW w:w="217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190.7</w:t>
            </w:r>
          </w:p>
        </w:tc>
      </w:tr>
      <w:tr>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调整预算数</w:t>
            </w:r>
          </w:p>
        </w:tc>
        <w:tc>
          <w:tcPr>
            <w:tcW w:w="236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960.48</w:t>
            </w:r>
          </w:p>
        </w:tc>
        <w:tc>
          <w:tcPr>
            <w:tcW w:w="211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1151.18</w:t>
            </w:r>
          </w:p>
        </w:tc>
        <w:tc>
          <w:tcPr>
            <w:tcW w:w="217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190.7</w:t>
            </w:r>
          </w:p>
        </w:tc>
      </w:tr>
      <w:tr>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决算数</w:t>
            </w:r>
          </w:p>
        </w:tc>
        <w:tc>
          <w:tcPr>
            <w:tcW w:w="236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960.48</w:t>
            </w:r>
          </w:p>
        </w:tc>
        <w:tc>
          <w:tcPr>
            <w:tcW w:w="211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1096.59</w:t>
            </w:r>
          </w:p>
        </w:tc>
        <w:tc>
          <w:tcPr>
            <w:tcW w:w="217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260</w:t>
            </w:r>
          </w:p>
        </w:tc>
      </w:tr>
      <w:tr>
        <w:tblPrEx>
          <w:tblCellMar>
            <w:top w:w="0" w:type="dxa"/>
            <w:left w:w="108" w:type="dxa"/>
            <w:bottom w:w="0" w:type="dxa"/>
            <w:right w:w="108" w:type="dxa"/>
          </w:tblCellMar>
        </w:tblPrEx>
        <w:trPr>
          <w:trHeight w:val="370" w:hRule="atLeast"/>
        </w:trPr>
        <w:tc>
          <w:tcPr>
            <w:tcW w:w="2495" w:type="dxa"/>
            <w:tcBorders>
              <w:top w:val="nil"/>
              <w:left w:val="nil"/>
              <w:bottom w:val="single" w:color="auto" w:sz="12" w:space="0"/>
              <w:right w:val="single" w:color="7F7F7F" w:sz="4" w:space="0"/>
            </w:tcBorders>
            <w:noWrap w:val="0"/>
            <w:vAlign w:val="center"/>
          </w:tcPr>
          <w:p>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完成比率</w:t>
            </w:r>
          </w:p>
        </w:tc>
        <w:tc>
          <w:tcPr>
            <w:tcW w:w="2365" w:type="dxa"/>
            <w:tcBorders>
              <w:top w:val="nil"/>
              <w:left w:val="nil"/>
              <w:bottom w:val="single" w:color="auto" w:sz="12" w:space="0"/>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100%</w:t>
            </w:r>
          </w:p>
        </w:tc>
        <w:tc>
          <w:tcPr>
            <w:tcW w:w="2115" w:type="dxa"/>
            <w:tcBorders>
              <w:top w:val="nil"/>
              <w:left w:val="nil"/>
              <w:bottom w:val="single" w:color="auto" w:sz="12" w:space="0"/>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80.82%</w:t>
            </w:r>
          </w:p>
        </w:tc>
        <w:tc>
          <w:tcPr>
            <w:tcW w:w="2175" w:type="dxa"/>
            <w:tcBorders>
              <w:top w:val="nil"/>
              <w:left w:val="nil"/>
              <w:bottom w:val="single" w:color="auto" w:sz="12" w:space="0"/>
              <w:right w:val="nil"/>
            </w:tcBorders>
            <w:noWrap w:val="0"/>
            <w:vAlign w:val="center"/>
          </w:tcPr>
          <w:p>
            <w:pPr>
              <w:jc w:val="center"/>
              <w:rPr>
                <w:rFonts w:hint="eastAsia" w:ascii="等线" w:hAnsi="等线" w:eastAsia="等线" w:cs="Times New Roman"/>
                <w:kern w:val="0"/>
                <w:sz w:val="20"/>
                <w:szCs w:val="20"/>
                <w:lang w:val="en-US" w:eastAsia="zh-CN" w:bidi="ar"/>
              </w:rPr>
            </w:pPr>
          </w:p>
        </w:tc>
      </w:tr>
    </w:tbl>
    <w:p>
      <w:pPr>
        <w:spacing w:line="220" w:lineRule="atLeast"/>
        <w:ind w:firstLine="480" w:firstLineChars="150"/>
        <w:rPr>
          <w:rFonts w:hint="default" w:ascii="仿宋" w:hAnsi="仿宋" w:eastAsia="仿宋"/>
          <w:sz w:val="32"/>
          <w:szCs w:val="32"/>
          <w:lang w:val="en-US" w:eastAsia="zh-CN"/>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华文仿宋"/>
          <w:sz w:val="32"/>
          <w:szCs w:val="32"/>
        </w:rPr>
      </w:pPr>
      <w:r>
        <w:rPr>
          <w:rFonts w:hint="eastAsia" w:ascii="仿宋" w:hAnsi="仿宋" w:eastAsia="仿宋" w:cs="华文仿宋"/>
          <w:sz w:val="32"/>
          <w:szCs w:val="32"/>
        </w:rPr>
        <w:t>2.本年收入构成情况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年本年收入合计</w:t>
      </w:r>
      <w:r>
        <w:rPr>
          <w:rFonts w:hint="eastAsia" w:ascii="仿宋" w:hAnsi="仿宋" w:eastAsia="仿宋"/>
          <w:sz w:val="32"/>
          <w:szCs w:val="32"/>
          <w:lang w:val="en-US" w:eastAsia="zh-CN"/>
        </w:rPr>
        <w:t>960.48</w:t>
      </w:r>
      <w:r>
        <w:rPr>
          <w:rFonts w:hint="eastAsia" w:ascii="仿宋" w:hAnsi="仿宋" w:eastAsia="仿宋"/>
          <w:sz w:val="32"/>
          <w:szCs w:val="32"/>
        </w:rPr>
        <w:t>万元。其中: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w:t>
      </w:r>
      <w:r>
        <w:rPr>
          <w:rFonts w:hint="eastAsia" w:ascii="仿宋" w:hAnsi="仿宋" w:eastAsia="仿宋"/>
          <w:sz w:val="32"/>
          <w:szCs w:val="32"/>
        </w:rPr>
        <w:t>财政拨款</w:t>
      </w:r>
      <w:r>
        <w:rPr>
          <w:rFonts w:hint="eastAsia" w:ascii="仿宋" w:hAnsi="仿宋" w:eastAsia="仿宋"/>
          <w:sz w:val="32"/>
          <w:szCs w:val="32"/>
          <w:lang w:val="en-US" w:eastAsia="zh-CN"/>
        </w:rPr>
        <w:t>960.48</w:t>
      </w:r>
      <w:r>
        <w:rPr>
          <w:rFonts w:hint="eastAsia" w:ascii="仿宋" w:hAnsi="仿宋" w:eastAsia="仿宋"/>
          <w:sz w:val="32"/>
          <w:szCs w:val="32"/>
        </w:rPr>
        <w:t>万元，占总收入的100%，为一般公共预算财政拨款</w:t>
      </w:r>
      <w:r>
        <w:rPr>
          <w:rFonts w:hint="eastAsia" w:ascii="仿宋" w:hAnsi="仿宋" w:eastAsia="仿宋"/>
          <w:sz w:val="32"/>
          <w:szCs w:val="32"/>
          <w:lang w:val="en-US" w:eastAsia="zh-CN"/>
        </w:rPr>
        <w:t>960.48</w:t>
      </w:r>
      <w:r>
        <w:rPr>
          <w:rFonts w:hint="eastAsia" w:ascii="仿宋" w:hAnsi="仿宋" w:eastAsia="仿宋"/>
          <w:sz w:val="32"/>
          <w:szCs w:val="32"/>
        </w:rPr>
        <w:t>万元、政府性基金预算财政拨款无。</w:t>
      </w:r>
    </w:p>
    <w:p>
      <w:pPr>
        <w:spacing w:line="220" w:lineRule="atLeast"/>
        <w:ind w:firstLine="480" w:firstLineChars="150"/>
        <w:rPr>
          <w:rFonts w:ascii="仿宋" w:hAnsi="仿宋" w:eastAsia="仿宋"/>
          <w:sz w:val="32"/>
          <w:szCs w:val="32"/>
        </w:rPr>
      </w:pPr>
      <w:r>
        <w:rPr>
          <w:rFonts w:ascii="仿宋" w:hAnsi="仿宋" w:eastAsia="仿宋"/>
          <w:sz w:val="32"/>
          <w:szCs w:val="32"/>
        </w:rPr>
        <w:drawing>
          <wp:inline distT="0" distB="0" distL="0" distR="0">
            <wp:extent cx="5274310" cy="3076575"/>
            <wp:effectExtent l="19050" t="0" r="2159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3.本年支出构成情况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年本年支出合计</w:t>
      </w:r>
      <w:r>
        <w:rPr>
          <w:rFonts w:hint="eastAsia" w:ascii="仿宋" w:hAnsi="仿宋" w:eastAsia="仿宋"/>
          <w:sz w:val="32"/>
          <w:szCs w:val="32"/>
          <w:lang w:val="en-US" w:eastAsia="zh-CN"/>
        </w:rPr>
        <w:t>1118.18</w:t>
      </w:r>
      <w:r>
        <w:rPr>
          <w:rFonts w:hint="eastAsia" w:ascii="仿宋" w:hAnsi="仿宋" w:eastAsia="仿宋"/>
          <w:sz w:val="32"/>
          <w:szCs w:val="32"/>
        </w:rPr>
        <w:t>万元。其中:</w:t>
      </w:r>
    </w:p>
    <w:p>
      <w:pPr>
        <w:keepNext w:val="0"/>
        <w:keepLines w:val="0"/>
        <w:pageBreakBefore w:val="0"/>
        <w:kinsoku/>
        <w:wordWrap/>
        <w:overflowPunct/>
        <w:topLinePunct w:val="0"/>
        <w:autoSpaceDE/>
        <w:autoSpaceDN/>
        <w:bidi w:val="0"/>
        <w:adjustRightInd/>
        <w:snapToGrid/>
        <w:spacing w:line="560" w:lineRule="exact"/>
        <w:ind w:firstLine="480" w:firstLineChars="150"/>
        <w:textAlignment w:val="auto"/>
        <w:rPr>
          <w:rFonts w:ascii="仿宋" w:hAnsi="仿宋" w:eastAsia="仿宋"/>
          <w:sz w:val="32"/>
          <w:szCs w:val="32"/>
        </w:rPr>
      </w:pPr>
      <w:r>
        <w:rPr>
          <w:rFonts w:hint="eastAsia" w:ascii="仿宋" w:hAnsi="仿宋" w:eastAsia="仿宋"/>
          <w:sz w:val="32"/>
          <w:szCs w:val="32"/>
        </w:rPr>
        <w:t>（1）基本支出</w:t>
      </w:r>
      <w:r>
        <w:rPr>
          <w:rFonts w:hint="eastAsia" w:ascii="仿宋" w:hAnsi="仿宋" w:eastAsia="仿宋"/>
          <w:sz w:val="32"/>
          <w:szCs w:val="32"/>
          <w:lang w:val="en-US" w:eastAsia="zh-CN"/>
        </w:rPr>
        <w:t>782.86</w:t>
      </w:r>
      <w:r>
        <w:rPr>
          <w:rFonts w:hint="eastAsia" w:ascii="仿宋" w:hAnsi="仿宋" w:eastAsia="仿宋"/>
          <w:sz w:val="32"/>
          <w:szCs w:val="32"/>
        </w:rPr>
        <w:t>万元，占总支出的</w:t>
      </w:r>
      <w:r>
        <w:rPr>
          <w:rFonts w:hint="eastAsia" w:ascii="仿宋" w:hAnsi="仿宋" w:eastAsia="仿宋"/>
          <w:sz w:val="32"/>
          <w:szCs w:val="32"/>
          <w:lang w:val="en-US" w:eastAsia="zh-CN"/>
        </w:rPr>
        <w:t>70</w:t>
      </w:r>
      <w:r>
        <w:rPr>
          <w:rFonts w:hint="eastAsia" w:ascii="仿宋" w:hAnsi="仿宋" w:eastAsia="仿宋"/>
          <w:sz w:val="32"/>
          <w:szCs w:val="32"/>
        </w:rPr>
        <w:t>%，是为保障机构正常运转、完成日常工作任务而发生的各项支出，包括人员经费</w:t>
      </w:r>
      <w:r>
        <w:rPr>
          <w:rFonts w:hint="eastAsia" w:ascii="仿宋" w:hAnsi="仿宋" w:eastAsia="仿宋"/>
          <w:sz w:val="32"/>
          <w:szCs w:val="32"/>
          <w:lang w:val="en-US" w:eastAsia="zh-CN"/>
        </w:rPr>
        <w:t>697.14</w:t>
      </w:r>
      <w:r>
        <w:rPr>
          <w:rFonts w:hint="eastAsia" w:ascii="仿宋" w:hAnsi="仿宋" w:eastAsia="仿宋"/>
          <w:sz w:val="32"/>
          <w:szCs w:val="32"/>
        </w:rPr>
        <w:t>万元和公用经费</w:t>
      </w:r>
      <w:r>
        <w:rPr>
          <w:rFonts w:hint="eastAsia" w:ascii="仿宋" w:hAnsi="仿宋" w:eastAsia="仿宋"/>
          <w:sz w:val="32"/>
          <w:szCs w:val="32"/>
          <w:lang w:val="en-US" w:eastAsia="zh-CN"/>
        </w:rPr>
        <w:t>85.72</w:t>
      </w:r>
      <w:r>
        <w:rPr>
          <w:rFonts w:hint="eastAsia" w:ascii="仿宋" w:hAnsi="仿宋" w:eastAsia="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480" w:firstLineChars="150"/>
        <w:textAlignment w:val="auto"/>
        <w:rPr>
          <w:rFonts w:ascii="仿宋" w:hAnsi="仿宋" w:eastAsia="仿宋"/>
          <w:sz w:val="32"/>
          <w:szCs w:val="32"/>
        </w:rPr>
      </w:pPr>
      <w:r>
        <w:rPr>
          <w:rFonts w:hint="eastAsia" w:ascii="仿宋" w:hAnsi="仿宋" w:eastAsia="仿宋"/>
          <w:sz w:val="32"/>
          <w:szCs w:val="32"/>
        </w:rPr>
        <w:t>（2）项目支出</w:t>
      </w:r>
      <w:r>
        <w:rPr>
          <w:rFonts w:hint="eastAsia" w:ascii="仿宋" w:hAnsi="仿宋" w:eastAsia="仿宋"/>
          <w:sz w:val="32"/>
          <w:szCs w:val="32"/>
          <w:lang w:val="en-US" w:eastAsia="zh-CN"/>
        </w:rPr>
        <w:t>335.32</w:t>
      </w:r>
      <w:r>
        <w:rPr>
          <w:rFonts w:hint="eastAsia" w:ascii="仿宋" w:hAnsi="仿宋" w:eastAsia="仿宋"/>
          <w:sz w:val="32"/>
          <w:szCs w:val="32"/>
        </w:rPr>
        <w:t>万元，占总支出的</w:t>
      </w:r>
      <w:r>
        <w:rPr>
          <w:rFonts w:hint="eastAsia" w:ascii="仿宋" w:hAnsi="仿宋" w:eastAsia="仿宋"/>
          <w:sz w:val="32"/>
          <w:szCs w:val="32"/>
          <w:lang w:val="en-US" w:eastAsia="zh-CN"/>
        </w:rPr>
        <w:t>30</w:t>
      </w:r>
      <w:r>
        <w:rPr>
          <w:rFonts w:hint="eastAsia" w:ascii="仿宋" w:hAnsi="仿宋" w:eastAsia="仿宋"/>
          <w:sz w:val="32"/>
          <w:szCs w:val="32"/>
        </w:rPr>
        <w:t>%，是为完成特定的工作任务或事业发展目标，在基本支出之外发生的支出。主要包括一般行政管理事务支出</w:t>
      </w:r>
      <w:r>
        <w:rPr>
          <w:rFonts w:hint="eastAsia" w:ascii="仿宋" w:hAnsi="仿宋" w:eastAsia="仿宋"/>
          <w:sz w:val="32"/>
          <w:szCs w:val="32"/>
          <w:lang w:val="en-US" w:eastAsia="zh-CN"/>
        </w:rPr>
        <w:t>17.04</w:t>
      </w:r>
      <w:r>
        <w:rPr>
          <w:rFonts w:hint="eastAsia" w:ascii="仿宋" w:hAnsi="仿宋" w:eastAsia="仿宋"/>
          <w:sz w:val="32"/>
          <w:szCs w:val="32"/>
        </w:rPr>
        <w:t>万元，其他一般公共服务支出5万元，城乡社区环境卫生</w:t>
      </w:r>
      <w:r>
        <w:rPr>
          <w:rFonts w:hint="eastAsia" w:ascii="仿宋" w:hAnsi="仿宋" w:eastAsia="仿宋"/>
          <w:sz w:val="32"/>
          <w:szCs w:val="32"/>
          <w:lang w:val="en-US" w:eastAsia="zh-CN"/>
        </w:rPr>
        <w:t>72.58</w:t>
      </w:r>
      <w:r>
        <w:rPr>
          <w:rFonts w:hint="eastAsia" w:ascii="仿宋" w:hAnsi="仿宋" w:eastAsia="仿宋"/>
          <w:sz w:val="32"/>
          <w:szCs w:val="32"/>
        </w:rPr>
        <w:t>万元，对村级一事一议的补助</w:t>
      </w:r>
      <w:r>
        <w:rPr>
          <w:rFonts w:hint="eastAsia" w:ascii="仿宋" w:hAnsi="仿宋" w:eastAsia="仿宋"/>
          <w:sz w:val="32"/>
          <w:szCs w:val="32"/>
          <w:lang w:val="en-US" w:eastAsia="zh-CN"/>
        </w:rPr>
        <w:t>240.7</w:t>
      </w:r>
      <w:r>
        <w:rPr>
          <w:rFonts w:hint="eastAsia" w:ascii="仿宋" w:hAnsi="仿宋" w:eastAsia="仿宋"/>
          <w:sz w:val="32"/>
          <w:szCs w:val="32"/>
        </w:rPr>
        <w:t>万元。</w:t>
      </w:r>
    </w:p>
    <w:p>
      <w:pPr>
        <w:spacing w:line="220" w:lineRule="atLeast"/>
        <w:ind w:firstLine="480" w:firstLineChars="150"/>
        <w:rPr>
          <w:rFonts w:ascii="仿宋" w:hAnsi="仿宋" w:eastAsia="仿宋"/>
          <w:sz w:val="32"/>
          <w:szCs w:val="32"/>
        </w:rPr>
      </w:pPr>
      <w:r>
        <w:rPr>
          <w:rFonts w:ascii="仿宋" w:hAnsi="仿宋" w:eastAsia="仿宋"/>
          <w:sz w:val="32"/>
          <w:szCs w:val="32"/>
        </w:rPr>
        <w:drawing>
          <wp:inline distT="0" distB="0" distL="0" distR="0">
            <wp:extent cx="5274310" cy="3076575"/>
            <wp:effectExtent l="19050" t="0" r="2159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5"/>
        <w:spacing w:before="0" w:beforeAutospacing="0" w:after="0" w:afterAutospacing="0" w:line="560" w:lineRule="exact"/>
        <w:ind w:firstLine="482" w:firstLineChars="150"/>
        <w:rPr>
          <w:rFonts w:ascii="仿宋" w:hAnsi="仿宋" w:eastAsia="仿宋" w:cs="华文仿宋"/>
          <w:b/>
          <w:sz w:val="32"/>
          <w:szCs w:val="32"/>
        </w:rPr>
      </w:pPr>
      <w:r>
        <w:rPr>
          <w:rFonts w:hint="eastAsia" w:ascii="仿宋" w:hAnsi="仿宋" w:eastAsia="仿宋" w:cs="楷体_GB2312"/>
          <w:b/>
          <w:sz w:val="32"/>
          <w:szCs w:val="32"/>
        </w:rPr>
        <w:t>（二）</w:t>
      </w:r>
      <w:r>
        <w:rPr>
          <w:rFonts w:hint="eastAsia" w:ascii="仿宋" w:hAnsi="仿宋" w:eastAsia="仿宋" w:cs="楷体_GB2312"/>
          <w:b/>
          <w:sz w:val="32"/>
          <w:szCs w:val="32"/>
          <w:lang w:eastAsia="zh-CN"/>
        </w:rPr>
        <w:t>2018</w:t>
      </w:r>
      <w:r>
        <w:rPr>
          <w:rFonts w:hint="eastAsia" w:ascii="仿宋" w:hAnsi="仿宋" w:eastAsia="仿宋" w:cs="楷体_GB2312"/>
          <w:b/>
          <w:sz w:val="32"/>
          <w:szCs w:val="32"/>
        </w:rPr>
        <w:t>年度财政拨款收入支出总体情况说明</w:t>
      </w:r>
    </w:p>
    <w:p>
      <w:pPr>
        <w:pStyle w:val="5"/>
        <w:numPr>
          <w:ilvl w:val="0"/>
          <w:numId w:val="1"/>
        </w:numPr>
        <w:spacing w:before="0" w:beforeAutospacing="0" w:after="0" w:afterAutospacing="0" w:line="560" w:lineRule="exact"/>
        <w:ind w:firstLine="640" w:firstLineChars="200"/>
        <w:rPr>
          <w:rFonts w:ascii="仿宋" w:hAnsi="仿宋" w:eastAsia="仿宋" w:cs="华文仿宋"/>
          <w:sz w:val="32"/>
          <w:szCs w:val="32"/>
        </w:rPr>
      </w:pPr>
      <w:r>
        <w:rPr>
          <w:rFonts w:hint="eastAsia" w:ascii="仿宋" w:hAnsi="仿宋" w:eastAsia="仿宋" w:cs="华文仿宋"/>
          <w:sz w:val="32"/>
          <w:szCs w:val="32"/>
        </w:rPr>
        <w:t>财政拨款收入支出总体情况</w:t>
      </w:r>
    </w:p>
    <w:p>
      <w:pPr>
        <w:spacing w:line="220" w:lineRule="atLeast"/>
        <w:ind w:firstLine="480" w:firstLineChars="150"/>
        <w:rPr>
          <w:rFonts w:hint="eastAsia" w:ascii="仿宋_GB2312" w:hAnsi="华文仿宋" w:eastAsia="仿宋_GB2312" w:cs="华文仿宋"/>
          <w:sz w:val="32"/>
          <w:szCs w:val="32"/>
          <w:u w:val="none"/>
          <w:lang w:val="en-US" w:eastAsia="zh-CN"/>
        </w:rPr>
      </w:pPr>
      <w:r>
        <w:rPr>
          <w:rFonts w:hint="eastAsia" w:ascii="仿宋" w:hAnsi="仿宋" w:eastAsia="仿宋" w:cs="华文仿宋"/>
          <w:sz w:val="32"/>
          <w:szCs w:val="32"/>
          <w:lang w:eastAsia="zh-CN"/>
        </w:rPr>
        <w:t>2018</w:t>
      </w:r>
      <w:r>
        <w:rPr>
          <w:rFonts w:hint="eastAsia" w:ascii="仿宋" w:hAnsi="仿宋" w:eastAsia="仿宋" w:cs="华文仿宋"/>
          <w:sz w:val="32"/>
          <w:szCs w:val="32"/>
        </w:rPr>
        <w:t>年财政拨款收入</w:t>
      </w:r>
      <w:r>
        <w:rPr>
          <w:rFonts w:hint="eastAsia" w:ascii="仿宋" w:hAnsi="仿宋" w:eastAsia="仿宋"/>
          <w:sz w:val="32"/>
          <w:szCs w:val="32"/>
          <w:lang w:val="en-US" w:eastAsia="zh-CN"/>
        </w:rPr>
        <w:t>960.48</w:t>
      </w:r>
      <w:r>
        <w:rPr>
          <w:rFonts w:hint="eastAsia" w:ascii="仿宋" w:hAnsi="仿宋" w:eastAsia="仿宋"/>
          <w:sz w:val="32"/>
          <w:szCs w:val="32"/>
        </w:rPr>
        <w:t>万元，较上年</w:t>
      </w:r>
      <w:r>
        <w:rPr>
          <w:rFonts w:hint="eastAsia" w:ascii="仿宋" w:hAnsi="仿宋" w:eastAsia="仿宋"/>
          <w:sz w:val="32"/>
          <w:szCs w:val="32"/>
          <w:lang w:eastAsia="zh-CN"/>
        </w:rPr>
        <w:t>减少</w:t>
      </w:r>
      <w:r>
        <w:rPr>
          <w:rFonts w:hint="eastAsia" w:ascii="仿宋" w:hAnsi="仿宋" w:eastAsia="仿宋"/>
          <w:sz w:val="32"/>
          <w:szCs w:val="32"/>
          <w:lang w:val="en-US" w:eastAsia="zh-CN"/>
        </w:rPr>
        <w:t>210.39</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_GB2312" w:hAnsi="华文仿宋" w:eastAsia="仿宋_GB2312" w:cs="华文仿宋"/>
          <w:sz w:val="32"/>
          <w:szCs w:val="32"/>
        </w:rPr>
        <w:t>2018年财政拨款支出</w:t>
      </w:r>
      <w:r>
        <w:rPr>
          <w:rFonts w:hint="eastAsia" w:ascii="仿宋_GB2312" w:hAnsi="华文仿宋" w:eastAsia="仿宋_GB2312" w:cs="华文仿宋"/>
          <w:sz w:val="32"/>
          <w:szCs w:val="32"/>
          <w:u w:val="none"/>
          <w:lang w:val="en-US" w:eastAsia="zh-CN"/>
        </w:rPr>
        <w:t xml:space="preserve"> 1118.18  </w:t>
      </w:r>
      <w:r>
        <w:rPr>
          <w:rFonts w:hint="eastAsia" w:ascii="仿宋_GB2312" w:hAnsi="华文仿宋" w:eastAsia="仿宋_GB2312" w:cs="华文仿宋"/>
          <w:sz w:val="32"/>
          <w:szCs w:val="32"/>
        </w:rPr>
        <w:t>万元，比上年增加</w:t>
      </w:r>
      <w:r>
        <w:rPr>
          <w:rFonts w:hint="eastAsia" w:ascii="仿宋_GB2312" w:hAnsi="华文仿宋" w:eastAsia="仿宋_GB2312" w:cs="华文仿宋"/>
          <w:sz w:val="32"/>
          <w:szCs w:val="32"/>
          <w:lang w:val="en-US" w:eastAsia="zh-CN"/>
        </w:rPr>
        <w:t>190.7</w:t>
      </w:r>
      <w:r>
        <w:rPr>
          <w:rFonts w:hint="eastAsia" w:ascii="仿宋_GB2312" w:hAnsi="华文仿宋" w:eastAsia="仿宋_GB2312" w:cs="华文仿宋"/>
          <w:sz w:val="32"/>
          <w:szCs w:val="32"/>
        </w:rPr>
        <w:t>万元，</w:t>
      </w:r>
      <w:r>
        <w:rPr>
          <w:rFonts w:hint="eastAsia" w:ascii="仿宋" w:hAnsi="仿宋" w:eastAsia="仿宋"/>
          <w:sz w:val="32"/>
          <w:szCs w:val="32"/>
        </w:rPr>
        <w:t>主要原因是</w:t>
      </w:r>
      <w:r>
        <w:rPr>
          <w:rFonts w:hint="eastAsia" w:ascii="仿宋" w:hAnsi="仿宋" w:eastAsia="仿宋"/>
          <w:sz w:val="32"/>
          <w:szCs w:val="32"/>
          <w:lang w:val="en-US" w:eastAsia="zh-CN"/>
        </w:rPr>
        <w:t>2017年</w:t>
      </w:r>
      <w:r>
        <w:rPr>
          <w:rFonts w:hint="eastAsia" w:ascii="仿宋" w:hAnsi="仿宋" w:eastAsia="仿宋"/>
          <w:sz w:val="32"/>
          <w:szCs w:val="32"/>
        </w:rPr>
        <w:t>一事一议项目资金190.7万元结转至 2018年，</w:t>
      </w:r>
      <w:r>
        <w:rPr>
          <w:rFonts w:hint="eastAsia" w:ascii="仿宋" w:hAnsi="仿宋" w:eastAsia="仿宋"/>
          <w:sz w:val="32"/>
          <w:szCs w:val="32"/>
          <w:lang w:eastAsia="zh-CN"/>
        </w:rPr>
        <w:t>并于</w:t>
      </w:r>
      <w:r>
        <w:rPr>
          <w:rFonts w:hint="eastAsia" w:ascii="仿宋" w:hAnsi="仿宋" w:eastAsia="仿宋"/>
          <w:sz w:val="32"/>
          <w:szCs w:val="32"/>
          <w:lang w:val="en-US" w:eastAsia="zh-CN"/>
        </w:rPr>
        <w:t>2018年</w:t>
      </w:r>
      <w:r>
        <w:rPr>
          <w:rFonts w:hint="eastAsia" w:ascii="仿宋" w:hAnsi="仿宋" w:eastAsia="仿宋"/>
          <w:sz w:val="32"/>
          <w:szCs w:val="32"/>
        </w:rPr>
        <w:t>计入支出。</w:t>
      </w:r>
      <w:r>
        <w:rPr>
          <w:rFonts w:hint="eastAsia" w:ascii="仿宋" w:hAnsi="仿宋" w:eastAsia="仿宋"/>
          <w:sz w:val="32"/>
          <w:szCs w:val="32"/>
          <w:lang w:val="en-US" w:eastAsia="zh-CN"/>
        </w:rPr>
        <w:t>2018年</w:t>
      </w:r>
      <w:r>
        <w:rPr>
          <w:rFonts w:hint="eastAsia" w:ascii="仿宋" w:hAnsi="仿宋" w:eastAsia="仿宋"/>
          <w:sz w:val="32"/>
          <w:szCs w:val="32"/>
          <w:lang w:eastAsia="zh-CN"/>
        </w:rPr>
        <w:t>一事一议项目资金</w:t>
      </w:r>
      <w:r>
        <w:rPr>
          <w:rFonts w:hint="eastAsia" w:ascii="仿宋" w:hAnsi="仿宋" w:eastAsia="仿宋"/>
          <w:sz w:val="32"/>
          <w:szCs w:val="32"/>
          <w:lang w:val="en-US" w:eastAsia="zh-CN"/>
        </w:rPr>
        <w:t>33万元结转至2019年，2018年不计入支出。</w:t>
      </w:r>
      <w:r>
        <w:rPr>
          <w:rFonts w:hint="eastAsia" w:ascii="仿宋_GB2312" w:hAnsi="华文仿宋" w:eastAsia="仿宋_GB2312" w:cs="华文仿宋"/>
          <w:sz w:val="32"/>
          <w:szCs w:val="32"/>
          <w:u w:val="none"/>
          <w:lang w:val="en-US" w:eastAsia="zh-CN"/>
        </w:rPr>
        <w:t xml:space="preserve">   </w:t>
      </w:r>
    </w:p>
    <w:p>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p>
    <w:p>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r>
        <w:rPr>
          <w:rFonts w:hint="eastAsia" w:ascii="仿宋" w:hAnsi="仿宋" w:eastAsia="仿宋" w:cs="仿宋"/>
          <w:b/>
          <w:i w:val="0"/>
          <w:caps w:val="0"/>
          <w:color w:val="333333"/>
          <w:spacing w:val="0"/>
          <w:sz w:val="32"/>
          <w:szCs w:val="32"/>
          <w:shd w:val="clear" w:color="auto" w:fill="FFFFFF"/>
          <w:lang w:val="en-US" w:eastAsia="zh-CN"/>
        </w:rPr>
        <w:t>2017、2018年度财政拨款收入支出总体情况表（万元）</w:t>
      </w:r>
    </w:p>
    <w:tbl>
      <w:tblPr>
        <w:tblStyle w:val="13"/>
        <w:tblW w:w="9150" w:type="dxa"/>
        <w:tblInd w:w="0" w:type="dxa"/>
        <w:tblLayout w:type="fixed"/>
        <w:tblCellMar>
          <w:top w:w="0" w:type="dxa"/>
          <w:left w:w="108" w:type="dxa"/>
          <w:bottom w:w="0" w:type="dxa"/>
          <w:right w:w="108" w:type="dxa"/>
        </w:tblCellMar>
      </w:tblPr>
      <w:tblGrid>
        <w:gridCol w:w="3011"/>
        <w:gridCol w:w="3334"/>
        <w:gridCol w:w="2805"/>
      </w:tblGrid>
      <w:tr>
        <w:tblPrEx>
          <w:tblCellMar>
            <w:top w:w="0" w:type="dxa"/>
            <w:left w:w="108" w:type="dxa"/>
            <w:bottom w:w="0" w:type="dxa"/>
            <w:right w:w="108" w:type="dxa"/>
          </w:tblCellMar>
        </w:tblPrEx>
        <w:tc>
          <w:tcPr>
            <w:tcW w:w="3011" w:type="dxa"/>
            <w:tcBorders>
              <w:top w:val="single" w:color="auto" w:sz="12" w:space="0"/>
              <w:left w:val="nil"/>
              <w:bottom w:val="single" w:color="auto" w:sz="6" w:space="0"/>
              <w:right w:val="single" w:color="7F7F7F" w:sz="4" w:space="0"/>
            </w:tcBorders>
            <w:noWrap w:val="0"/>
            <w:vAlign w:val="center"/>
          </w:tcPr>
          <w:p>
            <w:pPr>
              <w:jc w:val="center"/>
              <w:rPr>
                <w:rFonts w:hint="eastAsia" w:eastAsia="等线"/>
                <w:b/>
                <w:bCs/>
                <w:caps/>
                <w:kern w:val="0"/>
                <w:sz w:val="20"/>
                <w:szCs w:val="20"/>
                <w:lang w:eastAsia="zh-CN"/>
              </w:rPr>
            </w:pPr>
            <w:r>
              <w:rPr>
                <w:rFonts w:hint="eastAsia"/>
                <w:b/>
                <w:bCs/>
                <w:caps/>
                <w:kern w:val="0"/>
                <w:sz w:val="20"/>
                <w:szCs w:val="20"/>
                <w:lang w:eastAsia="zh-CN"/>
              </w:rPr>
              <w:t>年</w:t>
            </w:r>
            <w:r>
              <w:rPr>
                <w:rFonts w:hint="eastAsia"/>
                <w:b/>
                <w:bCs/>
                <w:caps/>
                <w:kern w:val="0"/>
                <w:sz w:val="20"/>
                <w:szCs w:val="20"/>
                <w:lang w:val="en-US" w:eastAsia="zh-CN"/>
              </w:rPr>
              <w:t xml:space="preserve">  </w:t>
            </w:r>
            <w:r>
              <w:rPr>
                <w:rFonts w:hint="eastAsia"/>
                <w:b/>
                <w:bCs/>
                <w:caps/>
                <w:kern w:val="0"/>
                <w:sz w:val="20"/>
                <w:szCs w:val="20"/>
                <w:lang w:eastAsia="zh-CN"/>
              </w:rPr>
              <w:t>份</w:t>
            </w:r>
          </w:p>
        </w:tc>
        <w:tc>
          <w:tcPr>
            <w:tcW w:w="3334" w:type="dxa"/>
            <w:tcBorders>
              <w:top w:val="single" w:color="auto" w:sz="12" w:space="0"/>
              <w:left w:val="nil"/>
              <w:bottom w:val="single" w:color="auto" w:sz="6" w:space="0"/>
              <w:right w:val="nil"/>
            </w:tcBorders>
            <w:noWrap w:val="0"/>
            <w:vAlign w:val="center"/>
          </w:tcPr>
          <w:p>
            <w:pPr>
              <w:jc w:val="center"/>
              <w:rPr>
                <w:rFonts w:hint="eastAsia" w:eastAsia="等线"/>
                <w:b/>
                <w:caps/>
                <w:kern w:val="0"/>
                <w:sz w:val="20"/>
                <w:szCs w:val="20"/>
                <w:lang w:eastAsia="zh-CN"/>
              </w:rPr>
            </w:pPr>
            <w:r>
              <w:rPr>
                <w:rFonts w:hint="eastAsia"/>
                <w:b/>
                <w:caps/>
                <w:kern w:val="0"/>
                <w:sz w:val="20"/>
                <w:szCs w:val="20"/>
                <w:lang w:eastAsia="zh-CN"/>
              </w:rPr>
              <w:t>收</w:t>
            </w:r>
            <w:r>
              <w:rPr>
                <w:rFonts w:hint="eastAsia"/>
                <w:b/>
                <w:caps/>
                <w:kern w:val="0"/>
                <w:sz w:val="20"/>
                <w:szCs w:val="20"/>
                <w:lang w:val="en-US" w:eastAsia="zh-CN"/>
              </w:rPr>
              <w:t xml:space="preserve">  </w:t>
            </w:r>
            <w:r>
              <w:rPr>
                <w:rFonts w:hint="eastAsia"/>
                <w:b/>
                <w:caps/>
                <w:kern w:val="0"/>
                <w:sz w:val="20"/>
                <w:szCs w:val="20"/>
                <w:lang w:eastAsia="zh-CN"/>
              </w:rPr>
              <w:t>入</w:t>
            </w:r>
          </w:p>
        </w:tc>
        <w:tc>
          <w:tcPr>
            <w:tcW w:w="2805" w:type="dxa"/>
            <w:tcBorders>
              <w:top w:val="single" w:color="auto" w:sz="12" w:space="0"/>
              <w:left w:val="nil"/>
              <w:bottom w:val="single" w:color="auto" w:sz="6" w:space="0"/>
              <w:right w:val="nil"/>
            </w:tcBorders>
            <w:noWrap w:val="0"/>
            <w:vAlign w:val="center"/>
          </w:tcPr>
          <w:p>
            <w:pPr>
              <w:jc w:val="center"/>
              <w:rPr>
                <w:rFonts w:hint="eastAsia" w:eastAsia="等线"/>
                <w:b/>
                <w:caps/>
                <w:kern w:val="0"/>
                <w:sz w:val="20"/>
                <w:szCs w:val="20"/>
                <w:lang w:eastAsia="zh-CN"/>
              </w:rPr>
            </w:pPr>
            <w:r>
              <w:rPr>
                <w:rFonts w:hint="eastAsia"/>
                <w:b/>
                <w:caps/>
                <w:kern w:val="0"/>
                <w:sz w:val="20"/>
                <w:szCs w:val="20"/>
                <w:lang w:eastAsia="zh-CN"/>
              </w:rPr>
              <w:t>支</w:t>
            </w:r>
            <w:r>
              <w:rPr>
                <w:rFonts w:hint="eastAsia"/>
                <w:b/>
                <w:caps/>
                <w:kern w:val="0"/>
                <w:sz w:val="20"/>
                <w:szCs w:val="20"/>
                <w:lang w:val="en-US" w:eastAsia="zh-CN"/>
              </w:rPr>
              <w:t xml:space="preserve">  </w:t>
            </w:r>
            <w:r>
              <w:rPr>
                <w:rFonts w:hint="eastAsia"/>
                <w:b/>
                <w:caps/>
                <w:kern w:val="0"/>
                <w:sz w:val="20"/>
                <w:szCs w:val="20"/>
                <w:lang w:eastAsia="zh-CN"/>
              </w:rPr>
              <w:t>出</w:t>
            </w:r>
          </w:p>
        </w:tc>
      </w:tr>
      <w:tr>
        <w:tblPrEx>
          <w:tblCellMar>
            <w:top w:w="0" w:type="dxa"/>
            <w:left w:w="108" w:type="dxa"/>
            <w:bottom w:w="0" w:type="dxa"/>
            <w:right w:w="108" w:type="dxa"/>
          </w:tblCellMar>
        </w:tblPrEx>
        <w:tc>
          <w:tcPr>
            <w:tcW w:w="3011" w:type="dxa"/>
            <w:tcBorders>
              <w:top w:val="single" w:color="auto" w:sz="6" w:space="0"/>
              <w:left w:val="nil"/>
              <w:bottom w:val="nil"/>
              <w:right w:val="single" w:color="7F7F7F" w:sz="4" w:space="0"/>
            </w:tcBorders>
            <w:noWrap w:val="0"/>
            <w:vAlign w:val="center"/>
          </w:tcPr>
          <w:p>
            <w:pPr>
              <w:jc w:val="center"/>
              <w:rPr>
                <w:rFonts w:hint="default" w:eastAsia="等线"/>
                <w:b w:val="0"/>
                <w:bCs/>
                <w:caps w:val="0"/>
                <w:kern w:val="0"/>
                <w:sz w:val="20"/>
                <w:szCs w:val="20"/>
                <w:lang w:val="en-US" w:eastAsia="zh-CN"/>
              </w:rPr>
            </w:pPr>
            <w:r>
              <w:rPr>
                <w:rFonts w:hint="eastAsia" w:ascii="等线" w:hAnsi="等线" w:eastAsia="等线" w:cs="Times New Roman"/>
                <w:b/>
                <w:bCs/>
                <w:caps/>
                <w:kern w:val="0"/>
                <w:sz w:val="20"/>
                <w:szCs w:val="20"/>
                <w:lang w:val="en-US" w:eastAsia="zh-CN" w:bidi="ar"/>
              </w:rPr>
              <w:t>2017</w:t>
            </w:r>
          </w:p>
        </w:tc>
        <w:tc>
          <w:tcPr>
            <w:tcW w:w="3334" w:type="dxa"/>
            <w:tcBorders>
              <w:top w:val="single" w:color="auto" w:sz="6" w:space="0"/>
              <w:left w:val="nil"/>
              <w:bottom w:val="nil"/>
              <w:right w:val="nil"/>
            </w:tcBorders>
            <w:noWrap w:val="0"/>
            <w:vAlign w:val="center"/>
          </w:tcPr>
          <w:p>
            <w:pPr>
              <w:jc w:val="center"/>
              <w:rPr>
                <w:rFonts w:hint="default" w:eastAsia="等线"/>
                <w:kern w:val="0"/>
                <w:sz w:val="20"/>
                <w:szCs w:val="20"/>
                <w:lang w:val="en-US" w:eastAsia="zh-CN"/>
              </w:rPr>
            </w:pPr>
            <w:r>
              <w:rPr>
                <w:rFonts w:hint="eastAsia"/>
                <w:kern w:val="0"/>
                <w:sz w:val="20"/>
                <w:szCs w:val="20"/>
                <w:lang w:val="en-US" w:eastAsia="zh-CN"/>
              </w:rPr>
              <w:t>1070.8</w:t>
            </w:r>
          </w:p>
        </w:tc>
        <w:tc>
          <w:tcPr>
            <w:tcW w:w="2805" w:type="dxa"/>
            <w:tcBorders>
              <w:top w:val="single" w:color="auto" w:sz="6" w:space="0"/>
              <w:left w:val="nil"/>
              <w:bottom w:val="nil"/>
              <w:right w:val="nil"/>
            </w:tcBorders>
            <w:noWrap w:val="0"/>
            <w:vAlign w:val="center"/>
          </w:tcPr>
          <w:p>
            <w:pPr>
              <w:jc w:val="center"/>
              <w:rPr>
                <w:rFonts w:hint="default" w:eastAsia="等线"/>
                <w:kern w:val="0"/>
                <w:sz w:val="20"/>
                <w:szCs w:val="20"/>
                <w:lang w:val="en-US" w:eastAsia="zh-CN"/>
              </w:rPr>
            </w:pPr>
            <w:r>
              <w:rPr>
                <w:rFonts w:hint="eastAsia"/>
                <w:kern w:val="0"/>
                <w:sz w:val="20"/>
                <w:szCs w:val="20"/>
                <w:lang w:val="en-US" w:eastAsia="zh-CN"/>
              </w:rPr>
              <w:t>980.17</w:t>
            </w:r>
          </w:p>
        </w:tc>
      </w:tr>
      <w:tr>
        <w:tblPrEx>
          <w:tblCellMar>
            <w:top w:w="0" w:type="dxa"/>
            <w:left w:w="108" w:type="dxa"/>
            <w:bottom w:w="0" w:type="dxa"/>
            <w:right w:w="108" w:type="dxa"/>
          </w:tblCellMar>
        </w:tblPrEx>
        <w:tc>
          <w:tcPr>
            <w:tcW w:w="3011" w:type="dxa"/>
            <w:tcBorders>
              <w:top w:val="nil"/>
              <w:left w:val="nil"/>
              <w:bottom w:val="nil"/>
              <w:right w:val="single" w:color="7F7F7F" w:sz="4" w:space="0"/>
            </w:tcBorders>
            <w:noWrap w:val="0"/>
            <w:vAlign w:val="center"/>
          </w:tcPr>
          <w:p>
            <w:pPr>
              <w:jc w:val="center"/>
              <w:rPr>
                <w:rFonts w:hint="default"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2018</w:t>
            </w:r>
          </w:p>
        </w:tc>
        <w:tc>
          <w:tcPr>
            <w:tcW w:w="3334"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960.47</w:t>
            </w:r>
          </w:p>
        </w:tc>
        <w:tc>
          <w:tcPr>
            <w:tcW w:w="280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1118.18</w:t>
            </w:r>
          </w:p>
        </w:tc>
      </w:tr>
      <w:tr>
        <w:tblPrEx>
          <w:tblCellMar>
            <w:top w:w="0" w:type="dxa"/>
            <w:left w:w="108" w:type="dxa"/>
            <w:bottom w:w="0" w:type="dxa"/>
            <w:right w:w="108" w:type="dxa"/>
          </w:tblCellMar>
        </w:tblPrEx>
        <w:tc>
          <w:tcPr>
            <w:tcW w:w="3011" w:type="dxa"/>
            <w:tcBorders>
              <w:top w:val="nil"/>
              <w:left w:val="nil"/>
              <w:bottom w:val="single" w:color="auto" w:sz="12" w:space="0"/>
              <w:right w:val="single" w:color="7F7F7F" w:sz="4" w:space="0"/>
            </w:tcBorders>
            <w:noWrap w:val="0"/>
            <w:vAlign w:val="center"/>
          </w:tcPr>
          <w:p>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增幅</w:t>
            </w:r>
          </w:p>
        </w:tc>
        <w:tc>
          <w:tcPr>
            <w:tcW w:w="3334" w:type="dxa"/>
            <w:tcBorders>
              <w:top w:val="nil"/>
              <w:left w:val="nil"/>
              <w:bottom w:val="single" w:color="auto" w:sz="12" w:space="0"/>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-190.7</w:t>
            </w:r>
          </w:p>
        </w:tc>
        <w:tc>
          <w:tcPr>
            <w:tcW w:w="2805" w:type="dxa"/>
            <w:tcBorders>
              <w:top w:val="nil"/>
              <w:left w:val="nil"/>
              <w:bottom w:val="single" w:color="auto" w:sz="12" w:space="0"/>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138.01</w:t>
            </w:r>
          </w:p>
        </w:tc>
      </w:tr>
    </w:tbl>
    <w:p>
      <w:pPr>
        <w:pStyle w:val="5"/>
        <w:spacing w:before="0" w:beforeAutospacing="0" w:after="0" w:afterAutospacing="0" w:line="540" w:lineRule="exact"/>
        <w:rPr>
          <w:rFonts w:hint="eastAsia" w:ascii="仿宋" w:hAnsi="仿宋" w:eastAsia="仿宋"/>
          <w:sz w:val="32"/>
          <w:szCs w:val="32"/>
        </w:rPr>
      </w:pPr>
    </w:p>
    <w:p>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p>
    <w:p>
      <w:pPr>
        <w:spacing w:line="540" w:lineRule="exact"/>
        <w:jc w:val="center"/>
        <w:rPr>
          <w:rFonts w:hint="eastAsia" w:ascii="仿宋" w:hAnsi="仿宋" w:eastAsia="仿宋" w:cs="仿宋"/>
          <w:b/>
          <w:i w:val="0"/>
          <w:caps w:val="0"/>
          <w:color w:val="333333"/>
          <w:spacing w:val="0"/>
          <w:sz w:val="32"/>
          <w:szCs w:val="32"/>
          <w:shd w:val="clear" w:color="auto" w:fill="FFFFFF"/>
          <w:lang w:val="en-US" w:eastAsia="zh-CN"/>
        </w:rPr>
      </w:pPr>
      <w:r>
        <w:rPr>
          <w:rFonts w:hint="eastAsia" w:ascii="仿宋" w:hAnsi="仿宋" w:eastAsia="仿宋" w:cs="仿宋"/>
          <w:b/>
          <w:i w:val="0"/>
          <w:caps w:val="0"/>
          <w:color w:val="333333"/>
          <w:spacing w:val="0"/>
          <w:sz w:val="32"/>
          <w:szCs w:val="32"/>
          <w:shd w:val="clear" w:color="auto" w:fill="FFFFFF"/>
          <w:lang w:val="en-US" w:eastAsia="zh-CN"/>
        </w:rPr>
        <w:t>2018年度收入支出年初预算数与决算数总体对比表（万元）</w:t>
      </w:r>
    </w:p>
    <w:tbl>
      <w:tblPr>
        <w:tblStyle w:val="13"/>
        <w:tblW w:w="9150" w:type="dxa"/>
        <w:tblInd w:w="0" w:type="dxa"/>
        <w:tblLayout w:type="fixed"/>
        <w:tblCellMar>
          <w:top w:w="0" w:type="dxa"/>
          <w:left w:w="108" w:type="dxa"/>
          <w:bottom w:w="0" w:type="dxa"/>
          <w:right w:w="108" w:type="dxa"/>
        </w:tblCellMar>
      </w:tblPr>
      <w:tblGrid>
        <w:gridCol w:w="2495"/>
        <w:gridCol w:w="2365"/>
        <w:gridCol w:w="2115"/>
        <w:gridCol w:w="2175"/>
      </w:tblGrid>
      <w:tr>
        <w:tblPrEx>
          <w:tblCellMar>
            <w:top w:w="0" w:type="dxa"/>
            <w:left w:w="108" w:type="dxa"/>
            <w:bottom w:w="0" w:type="dxa"/>
            <w:right w:w="108" w:type="dxa"/>
          </w:tblCellMar>
        </w:tblPrEx>
        <w:trPr>
          <w:trHeight w:val="370" w:hRule="atLeast"/>
        </w:trPr>
        <w:tc>
          <w:tcPr>
            <w:tcW w:w="2495" w:type="dxa"/>
            <w:tcBorders>
              <w:top w:val="single" w:color="auto" w:sz="12" w:space="0"/>
              <w:left w:val="nil"/>
              <w:bottom w:val="single" w:color="auto" w:sz="6" w:space="0"/>
              <w:right w:val="single" w:color="7F7F7F" w:sz="4" w:space="0"/>
            </w:tcBorders>
            <w:noWrap w:val="0"/>
            <w:vAlign w:val="center"/>
          </w:tcPr>
          <w:p>
            <w:pPr>
              <w:jc w:val="center"/>
              <w:rPr>
                <w:rFonts w:hint="eastAsia" w:eastAsia="等线"/>
                <w:b/>
                <w:bCs/>
                <w:caps/>
                <w:kern w:val="0"/>
                <w:sz w:val="20"/>
                <w:szCs w:val="20"/>
                <w:lang w:eastAsia="zh-CN"/>
              </w:rPr>
            </w:pPr>
            <w:r>
              <w:rPr>
                <w:rFonts w:hint="eastAsia" w:eastAsia="等线"/>
                <w:b/>
                <w:bCs/>
                <w:caps/>
                <w:kern w:val="0"/>
                <w:sz w:val="20"/>
                <w:szCs w:val="20"/>
                <w:lang w:eastAsia="zh-CN"/>
              </w:rPr>
              <w:t>预决算</w:t>
            </w:r>
          </w:p>
        </w:tc>
        <w:tc>
          <w:tcPr>
            <w:tcW w:w="2365" w:type="dxa"/>
            <w:tcBorders>
              <w:top w:val="single" w:color="auto" w:sz="12" w:space="0"/>
              <w:left w:val="nil"/>
              <w:bottom w:val="single" w:color="auto" w:sz="6" w:space="0"/>
              <w:right w:val="nil"/>
            </w:tcBorders>
            <w:noWrap w:val="0"/>
            <w:vAlign w:val="center"/>
          </w:tcPr>
          <w:p>
            <w:pPr>
              <w:jc w:val="center"/>
              <w:rPr>
                <w:rFonts w:hint="eastAsia" w:eastAsia="等线"/>
                <w:b/>
                <w:caps/>
                <w:kern w:val="0"/>
                <w:sz w:val="20"/>
                <w:szCs w:val="20"/>
                <w:lang w:eastAsia="zh-CN"/>
              </w:rPr>
            </w:pPr>
            <w:r>
              <w:rPr>
                <w:rFonts w:hint="eastAsia"/>
                <w:b/>
                <w:caps/>
                <w:kern w:val="0"/>
                <w:sz w:val="20"/>
                <w:szCs w:val="20"/>
                <w:lang w:eastAsia="zh-CN"/>
              </w:rPr>
              <w:t>收</w:t>
            </w:r>
            <w:r>
              <w:rPr>
                <w:rFonts w:hint="eastAsia"/>
                <w:b/>
                <w:caps/>
                <w:kern w:val="0"/>
                <w:sz w:val="20"/>
                <w:szCs w:val="20"/>
                <w:lang w:val="en-US" w:eastAsia="zh-CN"/>
              </w:rPr>
              <w:t xml:space="preserve">  </w:t>
            </w:r>
            <w:r>
              <w:rPr>
                <w:rFonts w:hint="eastAsia"/>
                <w:b/>
                <w:caps/>
                <w:kern w:val="0"/>
                <w:sz w:val="20"/>
                <w:szCs w:val="20"/>
                <w:lang w:eastAsia="zh-CN"/>
              </w:rPr>
              <w:t>入</w:t>
            </w:r>
          </w:p>
        </w:tc>
        <w:tc>
          <w:tcPr>
            <w:tcW w:w="2115" w:type="dxa"/>
            <w:tcBorders>
              <w:top w:val="single" w:color="auto" w:sz="12" w:space="0"/>
              <w:left w:val="nil"/>
              <w:bottom w:val="single" w:color="auto" w:sz="6" w:space="0"/>
              <w:right w:val="nil"/>
            </w:tcBorders>
            <w:noWrap w:val="0"/>
            <w:vAlign w:val="center"/>
          </w:tcPr>
          <w:p>
            <w:pPr>
              <w:jc w:val="center"/>
              <w:rPr>
                <w:rFonts w:hint="eastAsia" w:eastAsia="等线"/>
                <w:b/>
                <w:caps/>
                <w:kern w:val="0"/>
                <w:sz w:val="20"/>
                <w:szCs w:val="20"/>
                <w:lang w:eastAsia="zh-CN"/>
              </w:rPr>
            </w:pPr>
            <w:r>
              <w:rPr>
                <w:rFonts w:hint="eastAsia"/>
                <w:b/>
                <w:caps/>
                <w:kern w:val="0"/>
                <w:sz w:val="20"/>
                <w:szCs w:val="20"/>
                <w:lang w:eastAsia="zh-CN"/>
              </w:rPr>
              <w:t>支</w:t>
            </w:r>
            <w:r>
              <w:rPr>
                <w:rFonts w:hint="eastAsia"/>
                <w:b/>
                <w:caps/>
                <w:kern w:val="0"/>
                <w:sz w:val="20"/>
                <w:szCs w:val="20"/>
                <w:lang w:val="en-US" w:eastAsia="zh-CN"/>
              </w:rPr>
              <w:t xml:space="preserve">  </w:t>
            </w:r>
            <w:r>
              <w:rPr>
                <w:rFonts w:hint="eastAsia"/>
                <w:b/>
                <w:caps/>
                <w:kern w:val="0"/>
                <w:sz w:val="20"/>
                <w:szCs w:val="20"/>
                <w:lang w:eastAsia="zh-CN"/>
              </w:rPr>
              <w:t>出</w:t>
            </w:r>
          </w:p>
        </w:tc>
        <w:tc>
          <w:tcPr>
            <w:tcW w:w="2175" w:type="dxa"/>
            <w:tcBorders>
              <w:top w:val="single" w:color="auto" w:sz="12" w:space="0"/>
              <w:left w:val="nil"/>
              <w:bottom w:val="single" w:color="auto" w:sz="6" w:space="0"/>
              <w:right w:val="nil"/>
            </w:tcBorders>
            <w:noWrap w:val="0"/>
            <w:vAlign w:val="center"/>
          </w:tcPr>
          <w:p>
            <w:pPr>
              <w:jc w:val="center"/>
              <w:rPr>
                <w:rFonts w:hint="eastAsia"/>
                <w:b/>
                <w:caps/>
                <w:kern w:val="0"/>
                <w:sz w:val="20"/>
                <w:szCs w:val="20"/>
                <w:lang w:eastAsia="zh-CN"/>
              </w:rPr>
            </w:pPr>
            <w:r>
              <w:rPr>
                <w:rFonts w:hint="eastAsia"/>
                <w:b/>
                <w:caps/>
                <w:kern w:val="0"/>
                <w:sz w:val="20"/>
                <w:szCs w:val="20"/>
                <w:lang w:eastAsia="zh-CN"/>
              </w:rPr>
              <w:t>上年（本年）结转结余</w:t>
            </w:r>
          </w:p>
        </w:tc>
      </w:tr>
      <w:tr>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pPr>
              <w:jc w:val="center"/>
              <w:rPr>
                <w:rFonts w:hint="default"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年初预算数</w:t>
            </w:r>
          </w:p>
        </w:tc>
        <w:tc>
          <w:tcPr>
            <w:tcW w:w="236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949.95</w:t>
            </w:r>
          </w:p>
        </w:tc>
        <w:tc>
          <w:tcPr>
            <w:tcW w:w="211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1140.65</w:t>
            </w:r>
          </w:p>
        </w:tc>
        <w:tc>
          <w:tcPr>
            <w:tcW w:w="217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190.7</w:t>
            </w:r>
          </w:p>
        </w:tc>
      </w:tr>
      <w:tr>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调整预算数</w:t>
            </w:r>
          </w:p>
        </w:tc>
        <w:tc>
          <w:tcPr>
            <w:tcW w:w="236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960.48</w:t>
            </w:r>
          </w:p>
        </w:tc>
        <w:tc>
          <w:tcPr>
            <w:tcW w:w="211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1151.18</w:t>
            </w:r>
          </w:p>
        </w:tc>
        <w:tc>
          <w:tcPr>
            <w:tcW w:w="217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190.7</w:t>
            </w:r>
          </w:p>
        </w:tc>
      </w:tr>
      <w:tr>
        <w:tblPrEx>
          <w:tblCellMar>
            <w:top w:w="0" w:type="dxa"/>
            <w:left w:w="108" w:type="dxa"/>
            <w:bottom w:w="0" w:type="dxa"/>
            <w:right w:w="108" w:type="dxa"/>
          </w:tblCellMar>
        </w:tblPrEx>
        <w:trPr>
          <w:trHeight w:val="370" w:hRule="atLeast"/>
        </w:trPr>
        <w:tc>
          <w:tcPr>
            <w:tcW w:w="2495" w:type="dxa"/>
            <w:tcBorders>
              <w:top w:val="nil"/>
              <w:left w:val="nil"/>
              <w:bottom w:val="nil"/>
              <w:right w:val="single" w:color="7F7F7F" w:sz="4" w:space="0"/>
            </w:tcBorders>
            <w:noWrap w:val="0"/>
            <w:vAlign w:val="center"/>
          </w:tcPr>
          <w:p>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决算数</w:t>
            </w:r>
          </w:p>
        </w:tc>
        <w:tc>
          <w:tcPr>
            <w:tcW w:w="236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960.48</w:t>
            </w:r>
          </w:p>
        </w:tc>
        <w:tc>
          <w:tcPr>
            <w:tcW w:w="211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1096.59</w:t>
            </w:r>
          </w:p>
        </w:tc>
        <w:tc>
          <w:tcPr>
            <w:tcW w:w="2175" w:type="dxa"/>
            <w:tcBorders>
              <w:top w:val="nil"/>
              <w:left w:val="nil"/>
              <w:bottom w:val="nil"/>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260</w:t>
            </w:r>
          </w:p>
        </w:tc>
      </w:tr>
      <w:tr>
        <w:tblPrEx>
          <w:tblCellMar>
            <w:top w:w="0" w:type="dxa"/>
            <w:left w:w="108" w:type="dxa"/>
            <w:bottom w:w="0" w:type="dxa"/>
            <w:right w:w="108" w:type="dxa"/>
          </w:tblCellMar>
        </w:tblPrEx>
        <w:trPr>
          <w:trHeight w:val="370" w:hRule="atLeast"/>
        </w:trPr>
        <w:tc>
          <w:tcPr>
            <w:tcW w:w="2495" w:type="dxa"/>
            <w:tcBorders>
              <w:top w:val="nil"/>
              <w:left w:val="nil"/>
              <w:bottom w:val="single" w:color="auto" w:sz="12" w:space="0"/>
              <w:right w:val="single" w:color="7F7F7F" w:sz="4" w:space="0"/>
            </w:tcBorders>
            <w:noWrap w:val="0"/>
            <w:vAlign w:val="center"/>
          </w:tcPr>
          <w:p>
            <w:pPr>
              <w:jc w:val="center"/>
              <w:rPr>
                <w:rFonts w:hint="eastAsia" w:ascii="等线" w:hAnsi="等线" w:eastAsia="等线" w:cs="Times New Roman"/>
                <w:b/>
                <w:bCs/>
                <w:caps/>
                <w:kern w:val="0"/>
                <w:sz w:val="20"/>
                <w:szCs w:val="20"/>
                <w:lang w:val="en-US" w:eastAsia="zh-CN" w:bidi="ar"/>
              </w:rPr>
            </w:pPr>
            <w:r>
              <w:rPr>
                <w:rFonts w:hint="eastAsia" w:ascii="等线" w:hAnsi="等线" w:eastAsia="等线" w:cs="Times New Roman"/>
                <w:b/>
                <w:bCs/>
                <w:caps/>
                <w:kern w:val="0"/>
                <w:sz w:val="20"/>
                <w:szCs w:val="20"/>
                <w:lang w:val="en-US" w:eastAsia="zh-CN" w:bidi="ar"/>
              </w:rPr>
              <w:t>完成比率</w:t>
            </w:r>
          </w:p>
        </w:tc>
        <w:tc>
          <w:tcPr>
            <w:tcW w:w="2365" w:type="dxa"/>
            <w:tcBorders>
              <w:top w:val="nil"/>
              <w:left w:val="nil"/>
              <w:bottom w:val="single" w:color="auto" w:sz="12" w:space="0"/>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100%</w:t>
            </w:r>
          </w:p>
        </w:tc>
        <w:tc>
          <w:tcPr>
            <w:tcW w:w="2115" w:type="dxa"/>
            <w:tcBorders>
              <w:top w:val="nil"/>
              <w:left w:val="nil"/>
              <w:bottom w:val="single" w:color="auto" w:sz="12" w:space="0"/>
              <w:right w:val="nil"/>
            </w:tcBorders>
            <w:noWrap w:val="0"/>
            <w:vAlign w:val="center"/>
          </w:tcPr>
          <w:p>
            <w:pPr>
              <w:jc w:val="center"/>
              <w:rPr>
                <w:rFonts w:hint="default" w:ascii="等线" w:hAnsi="等线" w:eastAsia="等线" w:cs="Times New Roman"/>
                <w:kern w:val="0"/>
                <w:sz w:val="20"/>
                <w:szCs w:val="20"/>
                <w:lang w:val="en-US" w:eastAsia="zh-CN" w:bidi="ar"/>
              </w:rPr>
            </w:pPr>
            <w:r>
              <w:rPr>
                <w:rFonts w:hint="eastAsia" w:ascii="等线" w:hAnsi="等线" w:eastAsia="等线" w:cs="Times New Roman"/>
                <w:kern w:val="0"/>
                <w:sz w:val="20"/>
                <w:szCs w:val="20"/>
                <w:lang w:val="en-US" w:eastAsia="zh-CN" w:bidi="ar"/>
              </w:rPr>
              <w:t>80.82%</w:t>
            </w:r>
          </w:p>
        </w:tc>
        <w:tc>
          <w:tcPr>
            <w:tcW w:w="2175" w:type="dxa"/>
            <w:tcBorders>
              <w:top w:val="nil"/>
              <w:left w:val="nil"/>
              <w:bottom w:val="single" w:color="auto" w:sz="12" w:space="0"/>
              <w:right w:val="nil"/>
            </w:tcBorders>
            <w:noWrap w:val="0"/>
            <w:vAlign w:val="center"/>
          </w:tcPr>
          <w:p>
            <w:pPr>
              <w:jc w:val="center"/>
              <w:rPr>
                <w:rFonts w:hint="eastAsia" w:ascii="等线" w:hAnsi="等线" w:eastAsia="等线" w:cs="Times New Roman"/>
                <w:kern w:val="0"/>
                <w:sz w:val="20"/>
                <w:szCs w:val="20"/>
                <w:lang w:val="en-US" w:eastAsia="zh-CN" w:bidi="ar"/>
              </w:rPr>
            </w:pPr>
          </w:p>
        </w:tc>
      </w:tr>
    </w:tbl>
    <w:p>
      <w:pPr>
        <w:pStyle w:val="5"/>
        <w:spacing w:before="0" w:beforeAutospacing="0" w:after="0" w:afterAutospacing="0" w:line="56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2.一般公共预算财政拨款支出情况（按政府功能分类科目细化到项级科目并说明支出具体内容）</w:t>
      </w:r>
    </w:p>
    <w:p>
      <w:pPr>
        <w:spacing w:line="220" w:lineRule="atLeast"/>
        <w:ind w:firstLine="640" w:firstLineChars="200"/>
        <w:rPr>
          <w:rFonts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年度一般公共预算财政拨款支出</w:t>
      </w:r>
      <w:r>
        <w:rPr>
          <w:rFonts w:hint="eastAsia" w:ascii="仿宋" w:hAnsi="仿宋" w:eastAsia="仿宋"/>
          <w:sz w:val="32"/>
          <w:szCs w:val="32"/>
          <w:lang w:val="en-US" w:eastAsia="zh-CN"/>
        </w:rPr>
        <w:t>1118.18</w:t>
      </w:r>
      <w:r>
        <w:rPr>
          <w:rFonts w:hint="eastAsia" w:ascii="仿宋" w:hAnsi="仿宋" w:eastAsia="仿宋"/>
          <w:sz w:val="32"/>
          <w:szCs w:val="32"/>
        </w:rPr>
        <w:t>万元，按支出功能科目分，包括:</w:t>
      </w:r>
    </w:p>
    <w:p>
      <w:pPr>
        <w:keepNext w:val="0"/>
        <w:keepLines w:val="0"/>
        <w:pageBreakBefore w:val="0"/>
        <w:widowControl w:val="0"/>
        <w:numPr>
          <w:ilvl w:val="0"/>
          <w:numId w:val="2"/>
        </w:numPr>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一般公共服务支出</w:t>
      </w:r>
      <w:r>
        <w:rPr>
          <w:rFonts w:hint="eastAsia" w:ascii="仿宋" w:hAnsi="仿宋" w:eastAsia="仿宋"/>
          <w:sz w:val="32"/>
          <w:szCs w:val="32"/>
          <w:lang w:val="en-US" w:eastAsia="zh-CN"/>
        </w:rPr>
        <w:t>569.10</w:t>
      </w:r>
      <w:r>
        <w:rPr>
          <w:rFonts w:hint="eastAsia" w:ascii="仿宋" w:hAnsi="仿宋" w:eastAsia="仿宋"/>
          <w:sz w:val="32"/>
          <w:szCs w:val="32"/>
        </w:rPr>
        <w:t>万元。其中：行政运行</w:t>
      </w:r>
      <w:r>
        <w:rPr>
          <w:rFonts w:hint="eastAsia" w:ascii="仿宋" w:hAnsi="仿宋" w:eastAsia="仿宋"/>
          <w:sz w:val="32"/>
          <w:szCs w:val="32"/>
          <w:lang w:val="en-US" w:eastAsia="zh-CN"/>
        </w:rPr>
        <w:t>510.4</w:t>
      </w:r>
      <w:r>
        <w:rPr>
          <w:rFonts w:hint="eastAsia" w:ascii="仿宋" w:hAnsi="仿宋" w:eastAsia="仿宋"/>
          <w:sz w:val="32"/>
          <w:szCs w:val="32"/>
        </w:rPr>
        <w:t>万元，内容为人员工资及办公经费；一般行政管理事务支出</w:t>
      </w:r>
      <w:r>
        <w:rPr>
          <w:rFonts w:hint="eastAsia" w:ascii="仿宋" w:hAnsi="仿宋" w:eastAsia="仿宋"/>
          <w:sz w:val="32"/>
          <w:szCs w:val="32"/>
          <w:lang w:val="en-US" w:eastAsia="zh-CN"/>
        </w:rPr>
        <w:t>17.04</w:t>
      </w:r>
      <w:r>
        <w:rPr>
          <w:rFonts w:hint="eastAsia" w:ascii="仿宋" w:hAnsi="仿宋" w:eastAsia="仿宋"/>
          <w:sz w:val="32"/>
          <w:szCs w:val="32"/>
        </w:rPr>
        <w:t>万元，内容为综治维稳经费</w:t>
      </w:r>
      <w:r>
        <w:rPr>
          <w:rFonts w:hint="eastAsia" w:ascii="仿宋" w:hAnsi="仿宋" w:eastAsia="仿宋"/>
          <w:sz w:val="32"/>
          <w:szCs w:val="32"/>
          <w:lang w:eastAsia="zh-CN"/>
        </w:rPr>
        <w:t>、政府采购</w:t>
      </w:r>
      <w:r>
        <w:rPr>
          <w:rFonts w:hint="eastAsia" w:ascii="仿宋" w:hAnsi="仿宋" w:eastAsia="仿宋"/>
          <w:sz w:val="32"/>
          <w:szCs w:val="32"/>
        </w:rPr>
        <w:t>；</w:t>
      </w:r>
      <w:r>
        <w:rPr>
          <w:rFonts w:hint="eastAsia" w:ascii="仿宋" w:hAnsi="仿宋" w:eastAsia="仿宋"/>
          <w:sz w:val="32"/>
          <w:szCs w:val="32"/>
          <w:lang w:eastAsia="zh-CN"/>
        </w:rPr>
        <w:t>财政</w:t>
      </w:r>
      <w:r>
        <w:rPr>
          <w:rFonts w:hint="eastAsia" w:ascii="仿宋" w:hAnsi="仿宋" w:eastAsia="仿宋"/>
          <w:sz w:val="32"/>
          <w:szCs w:val="32"/>
        </w:rPr>
        <w:t>事务事业运行费用</w:t>
      </w:r>
      <w:r>
        <w:rPr>
          <w:rFonts w:hint="eastAsia" w:ascii="仿宋" w:hAnsi="仿宋" w:eastAsia="仿宋"/>
          <w:sz w:val="32"/>
          <w:szCs w:val="32"/>
          <w:lang w:val="en-US" w:eastAsia="zh-CN"/>
        </w:rPr>
        <w:t>36.66</w:t>
      </w:r>
      <w:r>
        <w:rPr>
          <w:rFonts w:hint="eastAsia" w:ascii="仿宋" w:hAnsi="仿宋" w:eastAsia="仿宋"/>
          <w:sz w:val="32"/>
          <w:szCs w:val="32"/>
        </w:rPr>
        <w:t>万元，内容为</w:t>
      </w:r>
      <w:r>
        <w:rPr>
          <w:rFonts w:hint="eastAsia" w:ascii="仿宋" w:hAnsi="仿宋" w:eastAsia="仿宋"/>
          <w:sz w:val="32"/>
          <w:szCs w:val="32"/>
          <w:lang w:eastAsia="zh-CN"/>
        </w:rPr>
        <w:t>人员经费、日常公用经费</w:t>
      </w:r>
      <w:r>
        <w:rPr>
          <w:rFonts w:hint="eastAsia" w:ascii="仿宋" w:hAnsi="仿宋" w:eastAsia="仿宋"/>
          <w:sz w:val="32"/>
          <w:szCs w:val="32"/>
        </w:rPr>
        <w:t>；其他一般公共服务支出5万元，内容为一事一议工作经费。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文化体育及传媒支出</w:t>
      </w:r>
      <w:r>
        <w:rPr>
          <w:rFonts w:hint="eastAsia" w:ascii="仿宋" w:hAnsi="仿宋" w:eastAsia="仿宋"/>
          <w:sz w:val="32"/>
          <w:szCs w:val="32"/>
          <w:lang w:val="en-US" w:eastAsia="zh-CN"/>
        </w:rPr>
        <w:t>49.2</w:t>
      </w:r>
      <w:r>
        <w:rPr>
          <w:rFonts w:hint="eastAsia" w:ascii="仿宋" w:hAnsi="仿宋" w:eastAsia="仿宋"/>
          <w:sz w:val="32"/>
          <w:szCs w:val="32"/>
        </w:rPr>
        <w:t>万元，内容为人员工资及办公经费。</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（3）医疗卫生与计划生育支出</w:t>
      </w:r>
      <w:r>
        <w:rPr>
          <w:rFonts w:hint="eastAsia" w:ascii="仿宋" w:hAnsi="仿宋" w:eastAsia="仿宋"/>
          <w:sz w:val="32"/>
          <w:szCs w:val="32"/>
          <w:lang w:val="en-US" w:eastAsia="zh-CN"/>
        </w:rPr>
        <w:t>26.31</w:t>
      </w:r>
      <w:r>
        <w:rPr>
          <w:rFonts w:hint="eastAsia" w:ascii="仿宋" w:hAnsi="仿宋" w:eastAsia="仿宋"/>
          <w:sz w:val="32"/>
          <w:szCs w:val="32"/>
        </w:rPr>
        <w:t>万元，内容为人员工资及办公经费。</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（4）城乡社区支出</w:t>
      </w:r>
      <w:r>
        <w:rPr>
          <w:rFonts w:hint="eastAsia" w:ascii="仿宋" w:hAnsi="仿宋" w:eastAsia="仿宋"/>
          <w:sz w:val="32"/>
          <w:szCs w:val="32"/>
          <w:lang w:val="en-US" w:eastAsia="zh-CN"/>
        </w:rPr>
        <w:t>100.34</w:t>
      </w:r>
      <w:r>
        <w:rPr>
          <w:rFonts w:hint="eastAsia" w:ascii="仿宋" w:hAnsi="仿宋" w:eastAsia="仿宋"/>
          <w:sz w:val="32"/>
          <w:szCs w:val="32"/>
        </w:rPr>
        <w:t>万元，其中：城乡社区管理内容为人员工资及办公经费</w:t>
      </w:r>
      <w:r>
        <w:rPr>
          <w:rFonts w:hint="eastAsia" w:ascii="仿宋" w:hAnsi="仿宋" w:eastAsia="仿宋"/>
          <w:sz w:val="32"/>
          <w:szCs w:val="32"/>
          <w:lang w:eastAsia="zh-CN"/>
        </w:rPr>
        <w:t>、城乡环境卫生整治经费</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5</w:t>
      </w:r>
      <w:r>
        <w:rPr>
          <w:rFonts w:hint="eastAsia" w:ascii="仿宋" w:hAnsi="仿宋" w:eastAsia="仿宋"/>
          <w:sz w:val="32"/>
          <w:szCs w:val="32"/>
          <w:lang w:eastAsia="zh-CN"/>
        </w:rPr>
        <w:t>）</w:t>
      </w:r>
      <w:r>
        <w:rPr>
          <w:rFonts w:hint="eastAsia" w:ascii="仿宋" w:hAnsi="仿宋" w:eastAsia="仿宋"/>
          <w:sz w:val="32"/>
          <w:szCs w:val="32"/>
        </w:rPr>
        <w:t>农林水支出</w:t>
      </w:r>
      <w:r>
        <w:rPr>
          <w:rFonts w:hint="eastAsia" w:ascii="仿宋" w:hAnsi="仿宋" w:eastAsia="仿宋"/>
          <w:sz w:val="32"/>
          <w:szCs w:val="32"/>
          <w:lang w:val="en-US" w:eastAsia="zh-CN"/>
        </w:rPr>
        <w:t>373.2</w:t>
      </w:r>
      <w:r>
        <w:rPr>
          <w:rFonts w:hint="eastAsia" w:ascii="仿宋" w:hAnsi="仿宋" w:eastAsia="仿宋"/>
          <w:sz w:val="32"/>
          <w:szCs w:val="32"/>
        </w:rPr>
        <w:t>万元，其中：农业事业运行</w:t>
      </w:r>
      <w:r>
        <w:rPr>
          <w:rFonts w:hint="eastAsia" w:ascii="仿宋" w:hAnsi="仿宋" w:eastAsia="仿宋"/>
          <w:sz w:val="32"/>
          <w:szCs w:val="32"/>
          <w:lang w:val="en-US" w:eastAsia="zh-CN"/>
        </w:rPr>
        <w:t>132.5</w:t>
      </w:r>
      <w:r>
        <w:rPr>
          <w:rFonts w:hint="eastAsia" w:ascii="仿宋" w:hAnsi="仿宋" w:eastAsia="仿宋"/>
          <w:sz w:val="32"/>
          <w:szCs w:val="32"/>
        </w:rPr>
        <w:t>万元，主要为人员工资及办公经费；</w:t>
      </w:r>
      <w:r>
        <w:rPr>
          <w:rFonts w:hint="eastAsia" w:ascii="仿宋" w:hAnsi="仿宋" w:eastAsia="仿宋"/>
          <w:sz w:val="32"/>
          <w:szCs w:val="32"/>
          <w:lang w:eastAsia="zh-CN"/>
        </w:rPr>
        <w:t>一事一议项目资金</w:t>
      </w:r>
      <w:r>
        <w:rPr>
          <w:rFonts w:hint="eastAsia" w:ascii="仿宋" w:hAnsi="仿宋" w:eastAsia="仿宋"/>
          <w:sz w:val="32"/>
          <w:szCs w:val="32"/>
          <w:lang w:val="en-US" w:eastAsia="zh-CN"/>
        </w:rPr>
        <w:t>240.7万元；</w:t>
      </w:r>
      <w:r>
        <w:rPr>
          <w:rFonts w:hint="eastAsia" w:ascii="仿宋" w:hAnsi="仿宋" w:eastAsia="仿宋"/>
          <w:sz w:val="32"/>
          <w:szCs w:val="32"/>
        </w:rPr>
        <w:drawing>
          <wp:inline distT="0" distB="0" distL="0" distR="0">
            <wp:extent cx="5274310" cy="2523490"/>
            <wp:effectExtent l="4445" t="4445" r="17145" b="571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3.一般公共预算财政拨款基本支出决算情况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年度一般公共预算财政拨款基本支出</w:t>
      </w:r>
      <w:r>
        <w:rPr>
          <w:rFonts w:hint="eastAsia" w:ascii="仿宋" w:hAnsi="仿宋" w:eastAsia="仿宋"/>
          <w:sz w:val="32"/>
          <w:szCs w:val="32"/>
          <w:lang w:val="en-US" w:eastAsia="zh-CN"/>
        </w:rPr>
        <w:t>782.86</w:t>
      </w:r>
      <w:r>
        <w:rPr>
          <w:rFonts w:hint="eastAsia" w:ascii="仿宋" w:hAnsi="仿宋" w:eastAsia="仿宋"/>
          <w:sz w:val="32"/>
          <w:szCs w:val="32"/>
        </w:rPr>
        <w:t>万元，其中：人员经费</w:t>
      </w:r>
      <w:r>
        <w:rPr>
          <w:rFonts w:hint="eastAsia" w:ascii="仿宋" w:hAnsi="仿宋" w:eastAsia="仿宋"/>
          <w:sz w:val="32"/>
          <w:szCs w:val="32"/>
          <w:lang w:val="en-US" w:eastAsia="zh-CN"/>
        </w:rPr>
        <w:t>697.14</w:t>
      </w:r>
      <w:r>
        <w:rPr>
          <w:rFonts w:hint="eastAsia" w:ascii="仿宋" w:hAnsi="仿宋" w:eastAsia="仿宋"/>
          <w:sz w:val="32"/>
          <w:szCs w:val="32"/>
        </w:rPr>
        <w:t>元，公用经费</w:t>
      </w:r>
      <w:r>
        <w:rPr>
          <w:rFonts w:hint="eastAsia" w:ascii="仿宋" w:hAnsi="仿宋" w:eastAsia="仿宋"/>
          <w:sz w:val="32"/>
          <w:szCs w:val="32"/>
          <w:lang w:val="en-US" w:eastAsia="zh-CN"/>
        </w:rPr>
        <w:t>85.72</w:t>
      </w:r>
      <w:r>
        <w:rPr>
          <w:rFonts w:hint="eastAsia" w:ascii="仿宋" w:hAnsi="仿宋" w:eastAsia="仿宋"/>
          <w:sz w:val="32"/>
          <w:szCs w:val="32"/>
        </w:rPr>
        <w:t>万元，用于保障机构正常运转和日常工作需要。</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4.政府性基金财政拨款收支情况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本部门无政府性基金决算收支，并已公开空表。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5.国有资本经营财政拨款收支情况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本部门无国有资本经营决算拨款收支。</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6.政府采购支出情况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本部门</w:t>
      </w:r>
      <w:r>
        <w:rPr>
          <w:rFonts w:hint="eastAsia" w:ascii="仿宋" w:hAnsi="仿宋" w:eastAsia="仿宋"/>
          <w:sz w:val="32"/>
          <w:szCs w:val="32"/>
          <w:lang w:eastAsia="zh-CN"/>
        </w:rPr>
        <w:t>2018</w:t>
      </w:r>
      <w:r>
        <w:rPr>
          <w:rFonts w:hint="eastAsia" w:ascii="仿宋" w:hAnsi="仿宋" w:eastAsia="仿宋"/>
          <w:sz w:val="32"/>
          <w:szCs w:val="32"/>
        </w:rPr>
        <w:t>年无政府采购支出。</w:t>
      </w:r>
    </w:p>
    <w:p>
      <w:pPr>
        <w:keepNext w:val="0"/>
        <w:keepLines w:val="0"/>
        <w:pageBreakBefore w:val="0"/>
        <w:widowControl w:val="0"/>
        <w:kinsoku/>
        <w:wordWrap/>
        <w:overflowPunct/>
        <w:topLinePunct w:val="0"/>
        <w:autoSpaceDE/>
        <w:autoSpaceDN/>
        <w:bidi w:val="0"/>
        <w:adjustRightInd/>
        <w:snapToGrid/>
        <w:spacing w:line="560" w:lineRule="atLeast"/>
        <w:ind w:firstLine="482" w:firstLineChars="150"/>
        <w:textAlignment w:val="auto"/>
        <w:rPr>
          <w:rFonts w:hint="eastAsia" w:ascii="仿宋" w:hAnsi="仿宋" w:eastAsia="仿宋"/>
          <w:b/>
          <w:bCs/>
          <w:sz w:val="32"/>
          <w:szCs w:val="32"/>
        </w:rPr>
      </w:pPr>
      <w:r>
        <w:rPr>
          <w:rFonts w:hint="eastAsia" w:ascii="仿宋" w:hAnsi="仿宋" w:eastAsia="仿宋"/>
          <w:b/>
          <w:bCs/>
          <w:sz w:val="32"/>
          <w:szCs w:val="32"/>
        </w:rPr>
        <w:t>(三)</w:t>
      </w:r>
      <w:r>
        <w:rPr>
          <w:rFonts w:hint="eastAsia" w:ascii="仿宋" w:hAnsi="仿宋" w:eastAsia="仿宋"/>
          <w:b/>
          <w:bCs/>
          <w:sz w:val="32"/>
          <w:szCs w:val="32"/>
          <w:lang w:val="en-US" w:eastAsia="zh-CN"/>
        </w:rPr>
        <w:t>2</w:t>
      </w:r>
      <w:r>
        <w:rPr>
          <w:rFonts w:hint="eastAsia" w:ascii="仿宋" w:hAnsi="仿宋" w:eastAsia="仿宋"/>
          <w:b/>
          <w:bCs/>
          <w:sz w:val="32"/>
          <w:szCs w:val="32"/>
        </w:rPr>
        <w:t>01</w:t>
      </w:r>
      <w:r>
        <w:rPr>
          <w:rFonts w:hint="eastAsia" w:ascii="仿宋" w:hAnsi="仿宋" w:eastAsia="仿宋"/>
          <w:b/>
          <w:bCs/>
          <w:sz w:val="32"/>
          <w:szCs w:val="32"/>
          <w:lang w:val="en-US" w:eastAsia="zh-CN"/>
        </w:rPr>
        <w:t>8</w:t>
      </w:r>
      <w:r>
        <w:rPr>
          <w:rFonts w:hint="eastAsia" w:ascii="仿宋" w:hAnsi="仿宋" w:eastAsia="仿宋"/>
          <w:b/>
          <w:bCs/>
          <w:sz w:val="32"/>
          <w:szCs w:val="32"/>
        </w:rPr>
        <w:t>年“三公”经费、培训费及会议费支出情况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1.“三公”经费财政拨款支出总体情况说明</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年度一般公共预算财政拨款安排的“三公经费”支出6.4</w:t>
      </w:r>
      <w:r>
        <w:rPr>
          <w:rFonts w:hint="eastAsia" w:ascii="仿宋" w:hAnsi="仿宋" w:eastAsia="仿宋"/>
          <w:sz w:val="32"/>
          <w:szCs w:val="32"/>
          <w:lang w:val="en-US" w:eastAsia="zh-CN"/>
        </w:rPr>
        <w:t>5</w:t>
      </w:r>
      <w:r>
        <w:rPr>
          <w:rFonts w:hint="eastAsia" w:ascii="仿宋" w:hAnsi="仿宋" w:eastAsia="仿宋"/>
          <w:sz w:val="32"/>
          <w:szCs w:val="32"/>
        </w:rPr>
        <w:t>万元，其中，因公出国（境）费用无，公务用车购置及运行维护费5.4</w:t>
      </w:r>
      <w:r>
        <w:rPr>
          <w:rFonts w:hint="eastAsia" w:ascii="仿宋" w:hAnsi="仿宋" w:eastAsia="仿宋"/>
          <w:sz w:val="32"/>
          <w:szCs w:val="32"/>
          <w:lang w:val="en-US" w:eastAsia="zh-CN"/>
        </w:rPr>
        <w:t>1</w:t>
      </w:r>
      <w:r>
        <w:rPr>
          <w:rFonts w:hint="eastAsia" w:ascii="仿宋" w:hAnsi="仿宋" w:eastAsia="仿宋"/>
          <w:sz w:val="32"/>
          <w:szCs w:val="32"/>
        </w:rPr>
        <w:t>万元，</w:t>
      </w:r>
      <w:r>
        <w:rPr>
          <w:rFonts w:hint="eastAsia" w:ascii="仿宋" w:hAnsi="仿宋" w:eastAsia="仿宋"/>
          <w:sz w:val="32"/>
          <w:szCs w:val="32"/>
          <w:lang w:val="en-US" w:eastAsia="zh-CN"/>
        </w:rPr>
        <w:t>占三公经费的83.88%，</w:t>
      </w:r>
      <w:r>
        <w:rPr>
          <w:rFonts w:hint="eastAsia" w:ascii="仿宋" w:hAnsi="仿宋" w:eastAsia="仿宋"/>
          <w:sz w:val="32"/>
          <w:szCs w:val="32"/>
        </w:rPr>
        <w:t>公务接待费</w:t>
      </w:r>
      <w:r>
        <w:rPr>
          <w:rFonts w:hint="eastAsia" w:ascii="仿宋" w:hAnsi="仿宋" w:eastAsia="仿宋"/>
          <w:sz w:val="32"/>
          <w:szCs w:val="32"/>
          <w:lang w:val="en-US" w:eastAsia="zh-CN"/>
        </w:rPr>
        <w:t>1.04</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占三公经费的26.12%</w:t>
      </w:r>
      <w:r>
        <w:rPr>
          <w:rFonts w:hint="eastAsia" w:ascii="仿宋" w:hAnsi="仿宋" w:eastAsia="仿宋"/>
          <w:sz w:val="32"/>
          <w:szCs w:val="32"/>
        </w:rPr>
        <w:t>。</w:t>
      </w:r>
      <w:r>
        <w:rPr>
          <w:rFonts w:hint="eastAsia" w:ascii="仿宋" w:hAnsi="仿宋" w:eastAsia="仿宋"/>
          <w:sz w:val="32"/>
          <w:szCs w:val="32"/>
          <w:lang w:eastAsia="zh-CN"/>
        </w:rPr>
        <w:t>2018</w:t>
      </w:r>
      <w:r>
        <w:rPr>
          <w:rFonts w:hint="eastAsia" w:ascii="仿宋" w:hAnsi="仿宋" w:eastAsia="仿宋"/>
          <w:sz w:val="32"/>
          <w:szCs w:val="32"/>
        </w:rPr>
        <w:t>年度“三公经费”支出比201</w:t>
      </w:r>
      <w:r>
        <w:rPr>
          <w:rFonts w:hint="eastAsia" w:ascii="仿宋" w:hAnsi="仿宋" w:eastAsia="仿宋"/>
          <w:sz w:val="32"/>
          <w:szCs w:val="32"/>
          <w:lang w:val="en-US" w:eastAsia="zh-CN"/>
        </w:rPr>
        <w:t>7</w:t>
      </w:r>
      <w:r>
        <w:rPr>
          <w:rFonts w:hint="eastAsia" w:ascii="仿宋" w:hAnsi="仿宋" w:eastAsia="仿宋"/>
          <w:sz w:val="32"/>
          <w:szCs w:val="32"/>
        </w:rPr>
        <w:t>年减少</w:t>
      </w:r>
      <w:r>
        <w:rPr>
          <w:rFonts w:hint="eastAsia" w:ascii="仿宋" w:hAnsi="仿宋" w:eastAsia="仿宋"/>
          <w:sz w:val="32"/>
          <w:szCs w:val="32"/>
          <w:lang w:val="en-US" w:eastAsia="zh-CN"/>
        </w:rPr>
        <w:t>0.02</w:t>
      </w:r>
      <w:r>
        <w:rPr>
          <w:rFonts w:hint="eastAsia" w:ascii="仿宋" w:hAnsi="仿宋" w:eastAsia="仿宋"/>
          <w:sz w:val="32"/>
          <w:szCs w:val="32"/>
        </w:rPr>
        <w:t>万元，下降</w:t>
      </w:r>
      <w:r>
        <w:rPr>
          <w:rFonts w:hint="eastAsia" w:ascii="仿宋" w:hAnsi="仿宋" w:eastAsia="仿宋"/>
          <w:sz w:val="32"/>
          <w:szCs w:val="32"/>
          <w:lang w:val="en-US" w:eastAsia="zh-CN"/>
        </w:rPr>
        <w:t>0.31</w:t>
      </w:r>
      <w:r>
        <w:rPr>
          <w:rFonts w:hint="eastAsia" w:ascii="仿宋" w:hAnsi="仿宋" w:eastAsia="仿宋"/>
          <w:sz w:val="32"/>
          <w:szCs w:val="32"/>
        </w:rPr>
        <w:t>%,其中：公务用车购置及运行费用5.4</w:t>
      </w:r>
      <w:r>
        <w:rPr>
          <w:rFonts w:hint="eastAsia" w:ascii="仿宋" w:hAnsi="仿宋" w:eastAsia="仿宋"/>
          <w:sz w:val="32"/>
          <w:szCs w:val="32"/>
          <w:lang w:val="en-US" w:eastAsia="zh-CN"/>
        </w:rPr>
        <w:t>1</w:t>
      </w:r>
      <w:r>
        <w:rPr>
          <w:rFonts w:hint="eastAsia" w:ascii="仿宋" w:hAnsi="仿宋" w:eastAsia="仿宋"/>
          <w:sz w:val="32"/>
          <w:szCs w:val="32"/>
        </w:rPr>
        <w:t>万元，较</w:t>
      </w:r>
      <w:r>
        <w:rPr>
          <w:rFonts w:hint="eastAsia" w:ascii="仿宋" w:hAnsi="仿宋" w:eastAsia="仿宋"/>
          <w:sz w:val="32"/>
          <w:szCs w:val="32"/>
          <w:lang w:eastAsia="zh-CN"/>
        </w:rPr>
        <w:t>2017</w:t>
      </w:r>
      <w:r>
        <w:rPr>
          <w:rFonts w:hint="eastAsia" w:ascii="仿宋" w:hAnsi="仿宋" w:eastAsia="仿宋"/>
          <w:sz w:val="32"/>
          <w:szCs w:val="32"/>
        </w:rPr>
        <w:t>年下降0.18%；公务接待费用1.0</w:t>
      </w:r>
      <w:r>
        <w:rPr>
          <w:rFonts w:hint="eastAsia" w:ascii="仿宋" w:hAnsi="仿宋" w:eastAsia="仿宋"/>
          <w:sz w:val="32"/>
          <w:szCs w:val="32"/>
          <w:lang w:val="en-US" w:eastAsia="zh-CN"/>
        </w:rPr>
        <w:t>4</w:t>
      </w:r>
      <w:r>
        <w:rPr>
          <w:rFonts w:hint="eastAsia" w:ascii="仿宋" w:hAnsi="仿宋" w:eastAsia="仿宋"/>
          <w:sz w:val="32"/>
          <w:szCs w:val="32"/>
        </w:rPr>
        <w:t>万元，较</w:t>
      </w:r>
      <w:r>
        <w:rPr>
          <w:rFonts w:hint="eastAsia" w:ascii="仿宋" w:hAnsi="仿宋" w:eastAsia="仿宋"/>
          <w:sz w:val="32"/>
          <w:szCs w:val="32"/>
          <w:lang w:eastAsia="zh-CN"/>
        </w:rPr>
        <w:t>2017</w:t>
      </w:r>
      <w:r>
        <w:rPr>
          <w:rFonts w:hint="eastAsia" w:ascii="仿宋" w:hAnsi="仿宋" w:eastAsia="仿宋"/>
          <w:sz w:val="32"/>
          <w:szCs w:val="32"/>
        </w:rPr>
        <w:t>年下降</w:t>
      </w:r>
      <w:r>
        <w:rPr>
          <w:rFonts w:hint="eastAsia" w:ascii="仿宋" w:hAnsi="仿宋" w:eastAsia="仿宋"/>
          <w:sz w:val="32"/>
          <w:szCs w:val="32"/>
          <w:lang w:val="en-US" w:eastAsia="zh-CN"/>
        </w:rPr>
        <w:t>0.1</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eastAsia="zh-CN"/>
        </w:rPr>
        <w:t>2018</w:t>
      </w:r>
      <w:r>
        <w:rPr>
          <w:rFonts w:hint="eastAsia" w:ascii="仿宋" w:hAnsi="仿宋" w:eastAsia="仿宋"/>
          <w:sz w:val="32"/>
          <w:szCs w:val="32"/>
        </w:rPr>
        <w:t>年我单位因公出国支出无，变化无。</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eastAsia="zh-CN"/>
        </w:rPr>
        <w:t>2018</w:t>
      </w:r>
      <w:r>
        <w:rPr>
          <w:rFonts w:hint="eastAsia" w:ascii="仿宋" w:hAnsi="仿宋" w:eastAsia="仿宋"/>
          <w:sz w:val="32"/>
          <w:szCs w:val="32"/>
        </w:rPr>
        <w:t>年单位</w:t>
      </w:r>
      <w:r>
        <w:rPr>
          <w:rFonts w:hint="eastAsia" w:ascii="仿宋" w:hAnsi="仿宋" w:eastAsia="仿宋"/>
          <w:sz w:val="32"/>
          <w:szCs w:val="32"/>
          <w:lang w:eastAsia="zh-CN"/>
        </w:rPr>
        <w:t>有</w:t>
      </w:r>
      <w:r>
        <w:rPr>
          <w:rFonts w:hint="eastAsia" w:ascii="仿宋" w:hAnsi="仿宋" w:eastAsia="仿宋"/>
          <w:sz w:val="32"/>
          <w:szCs w:val="32"/>
        </w:rPr>
        <w:t>购置车辆。</w:t>
      </w:r>
      <w:r>
        <w:rPr>
          <w:rFonts w:hint="eastAsia" w:ascii="仿宋" w:hAnsi="仿宋" w:eastAsia="仿宋"/>
          <w:sz w:val="32"/>
          <w:szCs w:val="32"/>
          <w:lang w:eastAsia="zh-CN"/>
        </w:rPr>
        <w:t>2018</w:t>
      </w:r>
      <w:r>
        <w:rPr>
          <w:rFonts w:hint="eastAsia" w:ascii="仿宋" w:hAnsi="仿宋" w:eastAsia="仿宋"/>
          <w:sz w:val="32"/>
          <w:szCs w:val="32"/>
        </w:rPr>
        <w:t>年公务用车运行维护支出5.4</w:t>
      </w:r>
      <w:r>
        <w:rPr>
          <w:rFonts w:hint="eastAsia" w:ascii="仿宋" w:hAnsi="仿宋" w:eastAsia="仿宋"/>
          <w:sz w:val="32"/>
          <w:szCs w:val="32"/>
          <w:lang w:val="en-US" w:eastAsia="zh-CN"/>
        </w:rPr>
        <w:t>1</w:t>
      </w:r>
      <w:r>
        <w:rPr>
          <w:rFonts w:hint="eastAsia" w:ascii="仿宋" w:hAnsi="仿宋" w:eastAsia="仿宋"/>
          <w:sz w:val="32"/>
          <w:szCs w:val="32"/>
        </w:rPr>
        <w:t>万元，较201</w:t>
      </w:r>
      <w:r>
        <w:rPr>
          <w:rFonts w:hint="eastAsia" w:ascii="仿宋" w:hAnsi="仿宋" w:eastAsia="仿宋"/>
          <w:sz w:val="32"/>
          <w:szCs w:val="32"/>
          <w:lang w:val="en-US" w:eastAsia="zh-CN"/>
        </w:rPr>
        <w:t>7</w:t>
      </w:r>
      <w:r>
        <w:rPr>
          <w:rFonts w:hint="eastAsia" w:ascii="仿宋" w:hAnsi="仿宋" w:eastAsia="仿宋"/>
          <w:sz w:val="32"/>
          <w:szCs w:val="32"/>
        </w:rPr>
        <w:t>年下降</w:t>
      </w:r>
      <w:r>
        <w:rPr>
          <w:rFonts w:hint="eastAsia" w:ascii="仿宋" w:hAnsi="仿宋" w:eastAsia="仿宋"/>
          <w:sz w:val="32"/>
          <w:szCs w:val="32"/>
          <w:lang w:val="en-US" w:eastAsia="zh-CN"/>
        </w:rPr>
        <w:t>0.18</w:t>
      </w:r>
      <w:r>
        <w:rPr>
          <w:rFonts w:hint="eastAsia" w:ascii="仿宋" w:hAnsi="仿宋" w:eastAsia="仿宋"/>
          <w:sz w:val="32"/>
          <w:szCs w:val="32"/>
        </w:rPr>
        <w:t>%，原因为控制公务用车出行次数。</w:t>
      </w:r>
    </w:p>
    <w:p>
      <w:pPr>
        <w:keepNext w:val="0"/>
        <w:keepLines w:val="0"/>
        <w:pageBreakBefore w:val="0"/>
        <w:widowControl w:val="0"/>
        <w:numPr>
          <w:ilvl w:val="0"/>
          <w:numId w:val="2"/>
        </w:numPr>
        <w:kinsoku/>
        <w:wordWrap/>
        <w:overflowPunct/>
        <w:topLinePunct w:val="0"/>
        <w:autoSpaceDE/>
        <w:autoSpaceDN/>
        <w:bidi w:val="0"/>
        <w:adjustRightInd/>
        <w:snapToGrid/>
        <w:spacing w:line="560" w:lineRule="atLeast"/>
        <w:ind w:left="0" w:leftChars="0" w:firstLine="480" w:firstLineChars="150"/>
        <w:textAlignment w:val="auto"/>
        <w:rPr>
          <w:rFonts w:hint="eastAsia" w:ascii="仿宋" w:hAnsi="仿宋" w:eastAsia="仿宋"/>
          <w:sz w:val="32"/>
          <w:szCs w:val="32"/>
        </w:rPr>
      </w:pPr>
      <w:r>
        <w:rPr>
          <w:rFonts w:hint="eastAsia" w:ascii="仿宋" w:hAnsi="仿宋" w:eastAsia="仿宋"/>
          <w:sz w:val="32"/>
          <w:szCs w:val="32"/>
        </w:rPr>
        <w:t>公务接待费用支出1.0</w:t>
      </w:r>
      <w:r>
        <w:rPr>
          <w:rFonts w:hint="eastAsia" w:ascii="仿宋" w:hAnsi="仿宋" w:eastAsia="仿宋"/>
          <w:sz w:val="32"/>
          <w:szCs w:val="32"/>
          <w:lang w:val="en-US" w:eastAsia="zh-CN"/>
        </w:rPr>
        <w:t>4</w:t>
      </w:r>
      <w:r>
        <w:rPr>
          <w:rFonts w:hint="eastAsia" w:ascii="仿宋" w:hAnsi="仿宋" w:eastAsia="仿宋"/>
          <w:sz w:val="32"/>
          <w:szCs w:val="32"/>
        </w:rPr>
        <w:t>万元。较</w:t>
      </w:r>
      <w:r>
        <w:rPr>
          <w:rFonts w:hint="eastAsia" w:ascii="仿宋" w:hAnsi="仿宋" w:eastAsia="仿宋"/>
          <w:sz w:val="32"/>
          <w:szCs w:val="32"/>
          <w:lang w:eastAsia="zh-CN"/>
        </w:rPr>
        <w:t>2017</w:t>
      </w:r>
      <w:r>
        <w:rPr>
          <w:rFonts w:hint="eastAsia" w:ascii="仿宋" w:hAnsi="仿宋" w:eastAsia="仿宋"/>
          <w:sz w:val="32"/>
          <w:szCs w:val="32"/>
        </w:rPr>
        <w:t>年下降</w:t>
      </w:r>
      <w:r>
        <w:rPr>
          <w:rFonts w:hint="eastAsia" w:ascii="仿宋" w:hAnsi="仿宋" w:eastAsia="仿宋"/>
          <w:sz w:val="32"/>
          <w:szCs w:val="32"/>
          <w:lang w:val="en-US" w:eastAsia="zh-CN"/>
        </w:rPr>
        <w:t>0.1</w:t>
      </w:r>
      <w:r>
        <w:rPr>
          <w:rFonts w:hint="eastAsia" w:ascii="仿宋" w:hAnsi="仿宋" w:eastAsia="仿宋"/>
          <w:sz w:val="32"/>
          <w:szCs w:val="32"/>
        </w:rPr>
        <w:t>%，累计接待</w:t>
      </w:r>
      <w:r>
        <w:rPr>
          <w:rFonts w:hint="eastAsia" w:ascii="仿宋" w:hAnsi="仿宋" w:eastAsia="仿宋"/>
          <w:sz w:val="32"/>
          <w:szCs w:val="32"/>
          <w:lang w:val="en-US" w:eastAsia="zh-CN"/>
        </w:rPr>
        <w:t>38</w:t>
      </w:r>
      <w:r>
        <w:rPr>
          <w:rFonts w:hint="eastAsia" w:ascii="仿宋" w:hAnsi="仿宋" w:eastAsia="仿宋"/>
          <w:sz w:val="32"/>
          <w:szCs w:val="32"/>
        </w:rPr>
        <w:t>批次、</w:t>
      </w:r>
      <w:r>
        <w:rPr>
          <w:rFonts w:hint="eastAsia" w:ascii="仿宋" w:hAnsi="仿宋" w:eastAsia="仿宋"/>
          <w:sz w:val="32"/>
          <w:szCs w:val="32"/>
          <w:lang w:val="en-US" w:eastAsia="zh-CN"/>
        </w:rPr>
        <w:t>380</w:t>
      </w:r>
      <w:r>
        <w:rPr>
          <w:rFonts w:hint="eastAsia" w:ascii="仿宋" w:hAnsi="仿宋" w:eastAsia="仿宋"/>
          <w:sz w:val="32"/>
          <w:szCs w:val="32"/>
        </w:rPr>
        <w:t>人。下降原因为公务接待减少。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rPr>
        <w:t>2.培训费支出决算情况</w:t>
      </w:r>
      <w:r>
        <w:rPr>
          <w:rFonts w:hint="eastAsia" w:ascii="仿宋" w:hAnsi="仿宋"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培训费支出</w:t>
      </w:r>
      <w:r>
        <w:rPr>
          <w:rFonts w:hint="eastAsia" w:ascii="仿宋" w:hAnsi="仿宋" w:eastAsia="仿宋"/>
          <w:sz w:val="32"/>
          <w:szCs w:val="32"/>
          <w:lang w:val="en-US" w:eastAsia="zh-CN"/>
        </w:rPr>
        <w:t>6.26</w:t>
      </w:r>
      <w:r>
        <w:rPr>
          <w:rFonts w:hint="eastAsia" w:ascii="仿宋" w:hAnsi="仿宋" w:eastAsia="仿宋"/>
          <w:sz w:val="32"/>
          <w:szCs w:val="32"/>
        </w:rPr>
        <w:t>万元，主要是省级市级部门安排培训支出，较</w:t>
      </w:r>
      <w:r>
        <w:rPr>
          <w:rFonts w:hint="eastAsia" w:ascii="仿宋" w:hAnsi="仿宋" w:eastAsia="仿宋"/>
          <w:sz w:val="32"/>
          <w:szCs w:val="32"/>
          <w:lang w:eastAsia="zh-CN"/>
        </w:rPr>
        <w:t>2017</w:t>
      </w:r>
      <w:r>
        <w:rPr>
          <w:rFonts w:hint="eastAsia" w:ascii="仿宋" w:hAnsi="仿宋" w:eastAsia="仿宋"/>
          <w:sz w:val="32"/>
          <w:szCs w:val="32"/>
        </w:rPr>
        <w:t>年增加</w:t>
      </w:r>
      <w:r>
        <w:rPr>
          <w:rFonts w:hint="eastAsia" w:ascii="仿宋" w:hAnsi="仿宋" w:eastAsia="仿宋"/>
          <w:sz w:val="32"/>
          <w:szCs w:val="32"/>
          <w:lang w:val="en-US" w:eastAsia="zh-CN"/>
        </w:rPr>
        <w:t>4.7</w:t>
      </w:r>
      <w:r>
        <w:rPr>
          <w:rFonts w:hint="eastAsia" w:ascii="仿宋" w:hAnsi="仿宋" w:eastAsia="仿宋"/>
          <w:sz w:val="32"/>
          <w:szCs w:val="32"/>
        </w:rPr>
        <w:t>万元，增长</w:t>
      </w:r>
      <w:r>
        <w:rPr>
          <w:rFonts w:hint="eastAsia" w:ascii="仿宋" w:hAnsi="仿宋" w:eastAsia="仿宋"/>
          <w:sz w:val="32"/>
          <w:szCs w:val="32"/>
          <w:lang w:val="en-US" w:eastAsia="zh-CN"/>
        </w:rPr>
        <w:t>301</w:t>
      </w:r>
      <w:r>
        <w:rPr>
          <w:rFonts w:hint="eastAsia" w:ascii="仿宋" w:hAnsi="仿宋" w:eastAsia="仿宋"/>
          <w:sz w:val="32"/>
          <w:szCs w:val="32"/>
        </w:rPr>
        <w:t>%，原因为上级部门安排培训次数增加。</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3.会议费支出决算情况</w:t>
      </w:r>
    </w:p>
    <w:p>
      <w:pPr>
        <w:keepNext w:val="0"/>
        <w:keepLines w:val="0"/>
        <w:pageBreakBefore w:val="0"/>
        <w:widowControl w:val="0"/>
        <w:shd w:val="clear"/>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会议费支出</w:t>
      </w:r>
      <w:r>
        <w:rPr>
          <w:rFonts w:hint="eastAsia" w:ascii="仿宋" w:hAnsi="仿宋" w:eastAsia="仿宋"/>
          <w:sz w:val="32"/>
          <w:szCs w:val="32"/>
          <w:lang w:val="en-US" w:eastAsia="zh-CN"/>
        </w:rPr>
        <w:t>0.30万元</w:t>
      </w:r>
      <w:r>
        <w:rPr>
          <w:rFonts w:hint="eastAsia" w:ascii="仿宋" w:hAnsi="仿宋" w:eastAsia="仿宋"/>
          <w:sz w:val="32"/>
          <w:szCs w:val="32"/>
        </w:rPr>
        <w:t>。</w:t>
      </w:r>
    </w:p>
    <w:p>
      <w:pPr>
        <w:keepNext w:val="0"/>
        <w:keepLines w:val="0"/>
        <w:pageBreakBefore w:val="0"/>
        <w:widowControl w:val="0"/>
        <w:shd w:val="clear"/>
        <w:kinsoku/>
        <w:wordWrap/>
        <w:overflowPunct/>
        <w:topLinePunct w:val="0"/>
        <w:autoSpaceDE/>
        <w:autoSpaceDN/>
        <w:bidi w:val="0"/>
        <w:adjustRightInd/>
        <w:snapToGrid/>
        <w:spacing w:line="560" w:lineRule="atLeast"/>
        <w:ind w:firstLine="480" w:firstLineChars="150"/>
        <w:textAlignment w:val="auto"/>
        <w:rPr>
          <w:rStyle w:val="9"/>
          <w:rFonts w:hint="eastAsia" w:ascii="黑体" w:hAnsi="黑体" w:eastAsia="黑体" w:cs="黑体"/>
          <w:b w:val="0"/>
          <w:bCs w:val="0"/>
          <w:color w:val="000000"/>
          <w:sz w:val="32"/>
          <w:szCs w:val="32"/>
        </w:rPr>
      </w:pPr>
      <w:r>
        <w:rPr>
          <w:rStyle w:val="9"/>
          <w:rFonts w:hint="eastAsia" w:ascii="黑体" w:hAnsi="黑体" w:eastAsia="黑体" w:cs="黑体"/>
          <w:b w:val="0"/>
          <w:bCs w:val="0"/>
          <w:color w:val="000000"/>
          <w:sz w:val="32"/>
          <w:szCs w:val="32"/>
        </w:rPr>
        <w:t>六、</w:t>
      </w:r>
      <w:r>
        <w:rPr>
          <w:rStyle w:val="9"/>
          <w:rFonts w:hint="eastAsia" w:ascii="黑体" w:hAnsi="黑体" w:eastAsia="黑体" w:cs="黑体"/>
          <w:b w:val="0"/>
          <w:bCs w:val="0"/>
          <w:color w:val="000000"/>
          <w:sz w:val="32"/>
          <w:szCs w:val="32"/>
          <w:lang w:eastAsia="zh-CN"/>
        </w:rPr>
        <w:t>2018</w:t>
      </w:r>
      <w:r>
        <w:rPr>
          <w:rStyle w:val="9"/>
          <w:rFonts w:hint="eastAsia" w:ascii="黑体" w:hAnsi="黑体" w:eastAsia="黑体" w:cs="黑体"/>
          <w:b w:val="0"/>
          <w:bCs w:val="0"/>
          <w:color w:val="000000"/>
          <w:sz w:val="32"/>
          <w:szCs w:val="32"/>
        </w:rPr>
        <w:t>年度部门绩效管理情况说明</w:t>
      </w:r>
    </w:p>
    <w:p>
      <w:pPr>
        <w:spacing w:line="54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eastAsia="zh-CN"/>
        </w:rPr>
        <w:t>2018</w:t>
      </w:r>
      <w:r>
        <w:rPr>
          <w:rFonts w:hint="eastAsia" w:ascii="仿宋" w:hAnsi="仿宋" w:eastAsia="仿宋"/>
          <w:sz w:val="32"/>
          <w:szCs w:val="32"/>
        </w:rPr>
        <w:t xml:space="preserve">年本部门对5个专项业务经费项目开展了绩效自评，涉及一般公共预算当年拨款 </w:t>
      </w:r>
      <w:r>
        <w:rPr>
          <w:rFonts w:hint="eastAsia" w:ascii="仿宋" w:hAnsi="仿宋" w:eastAsia="仿宋"/>
          <w:sz w:val="32"/>
          <w:szCs w:val="32"/>
          <w:lang w:val="en-US" w:eastAsia="zh-CN"/>
        </w:rPr>
        <w:t>782.86</w:t>
      </w:r>
      <w:r>
        <w:rPr>
          <w:rFonts w:hint="eastAsia" w:ascii="仿宋" w:hAnsi="仿宋" w:eastAsia="仿宋"/>
          <w:sz w:val="32"/>
          <w:szCs w:val="32"/>
        </w:rPr>
        <w:t>万元。</w:t>
      </w:r>
      <w:r>
        <w:rPr>
          <w:rFonts w:hint="eastAsia" w:ascii="仿宋" w:hAnsi="仿宋" w:eastAsia="仿宋"/>
          <w:sz w:val="32"/>
          <w:szCs w:val="32"/>
          <w:lang w:eastAsia="zh-CN"/>
        </w:rPr>
        <w:t>占一般公共预算项目支出总额</w:t>
      </w:r>
      <w:r>
        <w:rPr>
          <w:rFonts w:hint="eastAsia" w:ascii="仿宋" w:hAnsi="仿宋" w:eastAsia="仿宋"/>
          <w:sz w:val="32"/>
          <w:szCs w:val="32"/>
          <w:lang w:val="en-US" w:eastAsia="zh-CN"/>
        </w:rPr>
        <w:t>100%</w:t>
      </w:r>
    </w:p>
    <w:p>
      <w:pPr>
        <w:spacing w:line="540" w:lineRule="exact"/>
        <w:ind w:firstLine="640" w:firstLineChars="200"/>
        <w:rPr>
          <w:rFonts w:hint="eastAsia" w:ascii="仿宋" w:hAnsi="仿宋" w:eastAsia="仿宋" w:cs="华文仿宋"/>
          <w:sz w:val="32"/>
          <w:szCs w:val="32"/>
        </w:rPr>
      </w:pPr>
      <w:r>
        <w:rPr>
          <w:rFonts w:hint="eastAsia" w:ascii="仿宋" w:hAnsi="仿宋" w:eastAsia="仿宋" w:cs="华文仿宋"/>
          <w:sz w:val="32"/>
          <w:szCs w:val="32"/>
        </w:rPr>
        <w:t>2018年西安市</w:t>
      </w:r>
      <w:r>
        <w:rPr>
          <w:rFonts w:hint="eastAsia" w:ascii="仿宋" w:hAnsi="仿宋" w:eastAsia="仿宋" w:cs="华文仿宋"/>
          <w:sz w:val="32"/>
          <w:szCs w:val="32"/>
          <w:lang w:eastAsia="zh-CN"/>
        </w:rPr>
        <w:t>阎良区北屯街道办事处</w:t>
      </w:r>
      <w:r>
        <w:rPr>
          <w:rFonts w:hint="eastAsia" w:ascii="仿宋" w:hAnsi="仿宋" w:eastAsia="仿宋" w:cs="华文仿宋"/>
          <w:sz w:val="32"/>
          <w:szCs w:val="32"/>
        </w:rPr>
        <w:t>部门整体支出绩效评价得9</w:t>
      </w:r>
      <w:r>
        <w:rPr>
          <w:rFonts w:hint="eastAsia" w:ascii="仿宋" w:hAnsi="仿宋" w:eastAsia="仿宋" w:cs="华文仿宋"/>
          <w:sz w:val="32"/>
          <w:szCs w:val="32"/>
          <w:lang w:val="en-US" w:eastAsia="zh-CN"/>
        </w:rPr>
        <w:t>0</w:t>
      </w:r>
      <w:bookmarkStart w:id="0" w:name="_GoBack"/>
      <w:bookmarkEnd w:id="0"/>
      <w:r>
        <w:rPr>
          <w:rFonts w:hint="eastAsia" w:ascii="仿宋" w:hAnsi="仿宋" w:eastAsia="仿宋" w:cs="华文仿宋"/>
          <w:sz w:val="32"/>
          <w:szCs w:val="32"/>
          <w:lang w:eastAsia="zh-CN"/>
        </w:rPr>
        <w:t>分</w:t>
      </w:r>
      <w:r>
        <w:rPr>
          <w:rFonts w:hint="eastAsia" w:ascii="仿宋" w:hAnsi="仿宋" w:eastAsia="仿宋" w:cs="华文仿宋"/>
          <w:sz w:val="32"/>
          <w:szCs w:val="32"/>
        </w:rPr>
        <w:t>，结果为优。</w:t>
      </w:r>
    </w:p>
    <w:p>
      <w:pPr>
        <w:spacing w:line="540" w:lineRule="exact"/>
        <w:ind w:firstLine="640" w:firstLineChars="200"/>
        <w:rPr>
          <w:rFonts w:hint="default" w:ascii="仿宋" w:hAnsi="仿宋" w:eastAsia="仿宋" w:cs="华文仿宋"/>
          <w:sz w:val="32"/>
          <w:szCs w:val="32"/>
        </w:rPr>
      </w:pPr>
      <w:r>
        <w:rPr>
          <w:rFonts w:hint="eastAsia" w:ascii="仿宋" w:hAnsi="仿宋" w:eastAsia="仿宋" w:cs="华文仿宋"/>
          <w:sz w:val="32"/>
          <w:szCs w:val="32"/>
        </w:rPr>
        <w:t>四大类指标具体得分如下：</w:t>
      </w:r>
    </w:p>
    <w:p>
      <w:pPr>
        <w:spacing w:line="540" w:lineRule="exact"/>
        <w:jc w:val="center"/>
        <w:rPr>
          <w:rFonts w:ascii="仿宋" w:hAnsi="仿宋" w:eastAsia="仿宋" w:cs="仿宋"/>
          <w:b/>
          <w:i w:val="0"/>
          <w:caps w:val="0"/>
          <w:color w:val="333333"/>
          <w:spacing w:val="0"/>
          <w:sz w:val="32"/>
          <w:szCs w:val="32"/>
          <w:shd w:val="clear" w:color="auto" w:fill="FFFFFF"/>
        </w:rPr>
      </w:pPr>
      <w:r>
        <w:rPr>
          <w:rFonts w:ascii="仿宋" w:hAnsi="仿宋" w:eastAsia="仿宋" w:cs="仿宋"/>
          <w:b/>
          <w:i w:val="0"/>
          <w:caps w:val="0"/>
          <w:color w:val="333333"/>
          <w:spacing w:val="0"/>
          <w:sz w:val="32"/>
          <w:szCs w:val="32"/>
          <w:shd w:val="clear" w:color="auto" w:fill="FFFFFF"/>
        </w:rPr>
        <w:t>部门整体评价得分表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3"/>
        <w:gridCol w:w="2831"/>
        <w:gridCol w:w="2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b/>
                <w:i w:val="0"/>
                <w:caps w:val="0"/>
                <w:color w:val="333333"/>
                <w:spacing w:val="0"/>
                <w:sz w:val="32"/>
                <w:szCs w:val="32"/>
                <w:shd w:val="clear" w:color="auto" w:fill="FFFFFF"/>
              </w:rPr>
              <w:t>项</w:t>
            </w:r>
            <w:r>
              <w:rPr>
                <w:rFonts w:hint="eastAsia" w:ascii="仿宋" w:hAnsi="仿宋" w:eastAsia="仿宋" w:cs="仿宋"/>
                <w:b/>
                <w:i w:val="0"/>
                <w:caps w:val="0"/>
                <w:color w:val="333333"/>
                <w:spacing w:val="0"/>
                <w:sz w:val="32"/>
                <w:szCs w:val="32"/>
                <w:shd w:val="clear" w:color="auto" w:fill="FFFFFF"/>
              </w:rPr>
              <w:t>    目</w:t>
            </w:r>
          </w:p>
        </w:tc>
        <w:tc>
          <w:tcPr>
            <w:tcW w:w="3020" w:type="dxa"/>
            <w:noWrap w:val="0"/>
            <w:vAlign w:val="top"/>
          </w:tcPr>
          <w:p>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b/>
                <w:i w:val="0"/>
                <w:caps w:val="0"/>
                <w:color w:val="333333"/>
                <w:spacing w:val="0"/>
                <w:sz w:val="32"/>
                <w:szCs w:val="32"/>
                <w:shd w:val="clear" w:color="auto" w:fill="FFFFFF"/>
              </w:rPr>
              <w:t>标准分值</w:t>
            </w:r>
          </w:p>
        </w:tc>
        <w:tc>
          <w:tcPr>
            <w:tcW w:w="3020" w:type="dxa"/>
            <w:noWrap w:val="0"/>
            <w:vAlign w:val="top"/>
          </w:tcPr>
          <w:p>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b/>
                <w:i w:val="0"/>
                <w:caps w:val="0"/>
                <w:color w:val="333333"/>
                <w:spacing w:val="0"/>
                <w:sz w:val="32"/>
                <w:szCs w:val="32"/>
                <w:shd w:val="clear" w:color="auto" w:fill="FFFFFF"/>
              </w:rPr>
              <w:t>项目得分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i w:val="0"/>
                <w:caps w:val="0"/>
                <w:color w:val="333333"/>
                <w:spacing w:val="0"/>
                <w:sz w:val="32"/>
                <w:szCs w:val="32"/>
                <w:shd w:val="clear" w:color="auto" w:fill="FFFFFF"/>
              </w:rPr>
              <w:t>一、投入类</w:t>
            </w:r>
          </w:p>
        </w:tc>
        <w:tc>
          <w:tcPr>
            <w:tcW w:w="3020" w:type="dxa"/>
            <w:noWrap w:val="0"/>
            <w:vAlign w:val="top"/>
          </w:tcPr>
          <w:p>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15</w:t>
            </w:r>
          </w:p>
        </w:tc>
        <w:tc>
          <w:tcPr>
            <w:tcW w:w="3020" w:type="dxa"/>
            <w:noWrap w:val="0"/>
            <w:vAlign w:val="top"/>
          </w:tcPr>
          <w:p>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i w:val="0"/>
                <w:caps w:val="0"/>
                <w:color w:val="333333"/>
                <w:spacing w:val="0"/>
                <w:sz w:val="32"/>
                <w:szCs w:val="32"/>
                <w:shd w:val="clear" w:color="auto" w:fill="FFFFFF"/>
              </w:rPr>
              <w:t>二、过程类</w:t>
            </w:r>
          </w:p>
        </w:tc>
        <w:tc>
          <w:tcPr>
            <w:tcW w:w="3020" w:type="dxa"/>
            <w:noWrap w:val="0"/>
            <w:vAlign w:val="top"/>
          </w:tcPr>
          <w:p>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50</w:t>
            </w:r>
          </w:p>
        </w:tc>
        <w:tc>
          <w:tcPr>
            <w:tcW w:w="3020" w:type="dxa"/>
            <w:noWrap w:val="0"/>
            <w:vAlign w:val="top"/>
          </w:tcPr>
          <w:p>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i w:val="0"/>
                <w:caps w:val="0"/>
                <w:color w:val="333333"/>
                <w:spacing w:val="0"/>
                <w:sz w:val="32"/>
                <w:szCs w:val="32"/>
                <w:shd w:val="clear" w:color="auto" w:fill="FFFFFF"/>
              </w:rPr>
              <w:t>三、产出类</w:t>
            </w:r>
          </w:p>
        </w:tc>
        <w:tc>
          <w:tcPr>
            <w:tcW w:w="3020" w:type="dxa"/>
            <w:noWrap w:val="0"/>
            <w:vAlign w:val="top"/>
          </w:tcPr>
          <w:p>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25</w:t>
            </w:r>
          </w:p>
        </w:tc>
        <w:tc>
          <w:tcPr>
            <w:tcW w:w="3020" w:type="dxa"/>
            <w:noWrap w:val="0"/>
            <w:vAlign w:val="top"/>
          </w:tcPr>
          <w:p>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i w:val="0"/>
                <w:caps w:val="0"/>
                <w:color w:val="333333"/>
                <w:spacing w:val="0"/>
                <w:sz w:val="32"/>
                <w:szCs w:val="32"/>
                <w:shd w:val="clear" w:color="auto" w:fill="FFFFFF"/>
              </w:rPr>
              <w:t>四、效果类</w:t>
            </w:r>
          </w:p>
        </w:tc>
        <w:tc>
          <w:tcPr>
            <w:tcW w:w="3020" w:type="dxa"/>
            <w:noWrap w:val="0"/>
            <w:vAlign w:val="top"/>
          </w:tcPr>
          <w:p>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10</w:t>
            </w:r>
          </w:p>
        </w:tc>
        <w:tc>
          <w:tcPr>
            <w:tcW w:w="3020" w:type="dxa"/>
            <w:noWrap w:val="0"/>
            <w:vAlign w:val="top"/>
          </w:tcPr>
          <w:p>
            <w:pPr>
              <w:spacing w:line="540" w:lineRule="exact"/>
              <w:jc w:val="center"/>
              <w:rPr>
                <w:rFonts w:hint="default" w:ascii="仿宋" w:hAnsi="仿宋" w:eastAsia="仿宋" w:cs="仿宋"/>
                <w:i w:val="0"/>
                <w:caps w:val="0"/>
                <w:color w:val="333333"/>
                <w:spacing w:val="0"/>
                <w:sz w:val="32"/>
                <w:szCs w:val="32"/>
                <w:shd w:val="clear" w:color="auto" w:fill="FFFFFF"/>
                <w:lang w:val="en-US" w:eastAsia="zh-CN"/>
              </w:rPr>
            </w:pPr>
            <w:r>
              <w:rPr>
                <w:rFonts w:hint="eastAsia" w:ascii="仿宋" w:hAnsi="仿宋" w:eastAsia="仿宋" w:cs="仿宋"/>
                <w:i w:val="0"/>
                <w:caps w:val="0"/>
                <w:color w:val="333333"/>
                <w:spacing w:val="0"/>
                <w:sz w:val="32"/>
                <w:szCs w:val="32"/>
                <w:shd w:val="clear" w:color="auto" w:fill="FFFFFF"/>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noWrap w:val="0"/>
            <w:vAlign w:val="top"/>
          </w:tcPr>
          <w:p>
            <w:pPr>
              <w:spacing w:line="540" w:lineRule="exact"/>
              <w:jc w:val="center"/>
              <w:rPr>
                <w:rFonts w:hint="eastAsia" w:ascii="仿宋" w:hAnsi="仿宋" w:eastAsia="仿宋" w:cs="仿宋"/>
                <w:b/>
                <w:i w:val="0"/>
                <w:caps w:val="0"/>
                <w:color w:val="333333"/>
                <w:spacing w:val="0"/>
                <w:sz w:val="32"/>
                <w:szCs w:val="32"/>
                <w:shd w:val="clear" w:color="auto" w:fill="FFFFFF"/>
                <w:vertAlign w:val="baseline"/>
              </w:rPr>
            </w:pPr>
            <w:r>
              <w:rPr>
                <w:rFonts w:ascii="仿宋" w:hAnsi="仿宋" w:eastAsia="仿宋" w:cs="仿宋"/>
                <w:b/>
                <w:i w:val="0"/>
                <w:caps w:val="0"/>
                <w:color w:val="333333"/>
                <w:spacing w:val="0"/>
                <w:sz w:val="32"/>
                <w:szCs w:val="32"/>
                <w:shd w:val="clear" w:color="auto" w:fill="FFFFFF"/>
              </w:rPr>
              <w:t>合</w:t>
            </w:r>
            <w:r>
              <w:rPr>
                <w:rFonts w:hint="eastAsia" w:ascii="仿宋" w:hAnsi="仿宋" w:eastAsia="仿宋" w:cs="仿宋"/>
                <w:b/>
                <w:i w:val="0"/>
                <w:caps w:val="0"/>
                <w:color w:val="333333"/>
                <w:spacing w:val="0"/>
                <w:sz w:val="32"/>
                <w:szCs w:val="32"/>
                <w:shd w:val="clear" w:color="auto" w:fill="FFFFFF"/>
              </w:rPr>
              <w:t>    计</w:t>
            </w:r>
          </w:p>
        </w:tc>
        <w:tc>
          <w:tcPr>
            <w:tcW w:w="3020" w:type="dxa"/>
            <w:noWrap w:val="0"/>
            <w:vAlign w:val="top"/>
          </w:tcPr>
          <w:p>
            <w:pPr>
              <w:spacing w:line="540" w:lineRule="exact"/>
              <w:jc w:val="center"/>
              <w:rPr>
                <w:rFonts w:hint="default" w:ascii="仿宋" w:hAnsi="仿宋" w:eastAsia="仿宋" w:cs="仿宋"/>
                <w:b/>
                <w:i w:val="0"/>
                <w:caps w:val="0"/>
                <w:color w:val="333333"/>
                <w:spacing w:val="0"/>
                <w:sz w:val="32"/>
                <w:szCs w:val="32"/>
                <w:shd w:val="clear" w:color="auto" w:fill="FFFFFF"/>
                <w:vertAlign w:val="baseline"/>
                <w:lang w:val="en-US" w:eastAsia="zh-CN"/>
              </w:rPr>
            </w:pPr>
            <w:r>
              <w:rPr>
                <w:rFonts w:hint="eastAsia" w:ascii="仿宋" w:hAnsi="仿宋" w:eastAsia="仿宋" w:cs="仿宋"/>
                <w:b/>
                <w:i w:val="0"/>
                <w:caps w:val="0"/>
                <w:color w:val="333333"/>
                <w:spacing w:val="0"/>
                <w:sz w:val="32"/>
                <w:szCs w:val="32"/>
                <w:shd w:val="clear" w:color="auto" w:fill="FFFFFF"/>
                <w:vertAlign w:val="baseline"/>
                <w:lang w:val="en-US" w:eastAsia="zh-CN"/>
              </w:rPr>
              <w:t>100</w:t>
            </w:r>
          </w:p>
        </w:tc>
        <w:tc>
          <w:tcPr>
            <w:tcW w:w="3020" w:type="dxa"/>
            <w:noWrap w:val="0"/>
            <w:vAlign w:val="top"/>
          </w:tcPr>
          <w:p>
            <w:pPr>
              <w:spacing w:line="540" w:lineRule="exact"/>
              <w:jc w:val="center"/>
              <w:rPr>
                <w:rFonts w:hint="default" w:ascii="仿宋" w:hAnsi="仿宋" w:eastAsia="仿宋" w:cs="仿宋"/>
                <w:b/>
                <w:i w:val="0"/>
                <w:caps w:val="0"/>
                <w:color w:val="333333"/>
                <w:spacing w:val="0"/>
                <w:sz w:val="32"/>
                <w:szCs w:val="32"/>
                <w:shd w:val="clear" w:color="auto" w:fill="FFFFFF"/>
                <w:vertAlign w:val="baseline"/>
                <w:lang w:val="en-US" w:eastAsia="zh-CN"/>
              </w:rPr>
            </w:pPr>
            <w:r>
              <w:rPr>
                <w:rFonts w:hint="eastAsia" w:ascii="仿宋" w:hAnsi="仿宋" w:eastAsia="仿宋" w:cs="仿宋"/>
                <w:b/>
                <w:i w:val="0"/>
                <w:caps w:val="0"/>
                <w:color w:val="333333"/>
                <w:spacing w:val="0"/>
                <w:sz w:val="32"/>
                <w:szCs w:val="32"/>
                <w:shd w:val="clear" w:color="auto" w:fill="FFFFFF"/>
                <w:vertAlign w:val="baseline"/>
                <w:lang w:val="en-US" w:eastAsia="zh-CN"/>
              </w:rPr>
              <w:t>90</w:t>
            </w:r>
          </w:p>
        </w:tc>
      </w:tr>
    </w:tbl>
    <w:p>
      <w:pPr>
        <w:keepNext w:val="0"/>
        <w:keepLines w:val="0"/>
        <w:pageBreakBefore w:val="0"/>
        <w:widowControl w:val="0"/>
        <w:shd w:val="clear"/>
        <w:kinsoku/>
        <w:wordWrap/>
        <w:overflowPunct/>
        <w:topLinePunct w:val="0"/>
        <w:autoSpaceDE/>
        <w:autoSpaceDN/>
        <w:bidi w:val="0"/>
        <w:adjustRightInd/>
        <w:snapToGrid/>
        <w:spacing w:line="560" w:lineRule="atLeast"/>
        <w:ind w:firstLine="320" w:firstLineChars="100"/>
        <w:textAlignment w:val="auto"/>
        <w:rPr>
          <w:rFonts w:hint="eastAsia" w:ascii="仿宋" w:hAnsi="仿宋" w:eastAsia="仿宋"/>
          <w:sz w:val="32"/>
          <w:szCs w:val="32"/>
          <w:lang w:val="en-US" w:eastAsia="zh-CN"/>
        </w:rPr>
      </w:pPr>
    </w:p>
    <w:p>
      <w:pPr>
        <w:keepNext w:val="0"/>
        <w:keepLines w:val="0"/>
        <w:pageBreakBefore w:val="0"/>
        <w:widowControl w:val="0"/>
        <w:shd w:val="clear"/>
        <w:kinsoku/>
        <w:wordWrap/>
        <w:overflowPunct/>
        <w:topLinePunct w:val="0"/>
        <w:autoSpaceDE/>
        <w:autoSpaceDN/>
        <w:bidi w:val="0"/>
        <w:adjustRightInd/>
        <w:snapToGrid/>
        <w:spacing w:line="560" w:lineRule="atLeast"/>
        <w:ind w:firstLine="320" w:firstLineChars="100"/>
        <w:textAlignment w:val="auto"/>
        <w:rPr>
          <w:rStyle w:val="9"/>
          <w:rFonts w:hint="eastAsia" w:ascii="黑体" w:hAnsi="黑体" w:eastAsia="黑体" w:cs="黑体"/>
          <w:b w:val="0"/>
          <w:bCs w:val="0"/>
          <w:color w:val="000000"/>
          <w:sz w:val="32"/>
          <w:szCs w:val="32"/>
        </w:rPr>
      </w:pPr>
      <w:r>
        <w:rPr>
          <w:rStyle w:val="9"/>
          <w:rFonts w:hint="eastAsia" w:ascii="黑体" w:hAnsi="黑体" w:eastAsia="黑体" w:cs="黑体"/>
          <w:b w:val="0"/>
          <w:bCs w:val="0"/>
          <w:color w:val="000000"/>
          <w:sz w:val="32"/>
          <w:szCs w:val="32"/>
        </w:rPr>
        <w:t>七、</w:t>
      </w:r>
      <w:r>
        <w:rPr>
          <w:rStyle w:val="9"/>
          <w:rFonts w:hint="eastAsia" w:ascii="黑体" w:hAnsi="黑体" w:eastAsia="黑体" w:cs="黑体"/>
          <w:b w:val="0"/>
          <w:bCs w:val="0"/>
          <w:color w:val="000000"/>
          <w:sz w:val="32"/>
          <w:szCs w:val="32"/>
          <w:lang w:eastAsia="zh-CN"/>
        </w:rPr>
        <w:t>2018</w:t>
      </w:r>
      <w:r>
        <w:rPr>
          <w:rStyle w:val="9"/>
          <w:rFonts w:hint="eastAsia" w:ascii="黑体" w:hAnsi="黑体" w:eastAsia="黑体" w:cs="黑体"/>
          <w:b w:val="0"/>
          <w:bCs w:val="0"/>
          <w:color w:val="000000"/>
          <w:sz w:val="32"/>
          <w:szCs w:val="32"/>
        </w:rPr>
        <w:t>年其他重要事项情况说明</w:t>
      </w:r>
    </w:p>
    <w:p>
      <w:pPr>
        <w:keepNext w:val="0"/>
        <w:keepLines w:val="0"/>
        <w:pageBreakBefore w:val="0"/>
        <w:widowControl w:val="0"/>
        <w:shd w:val="clear"/>
        <w:kinsoku/>
        <w:wordWrap/>
        <w:overflowPunct/>
        <w:topLinePunct w:val="0"/>
        <w:autoSpaceDE/>
        <w:autoSpaceDN/>
        <w:bidi w:val="0"/>
        <w:adjustRightInd/>
        <w:snapToGrid/>
        <w:spacing w:line="560" w:lineRule="atLeast"/>
        <w:ind w:firstLine="482" w:firstLineChars="150"/>
        <w:textAlignment w:val="auto"/>
        <w:rPr>
          <w:rFonts w:hint="eastAsia" w:ascii="仿宋" w:hAnsi="仿宋" w:eastAsia="仿宋"/>
          <w:b/>
          <w:bCs/>
          <w:sz w:val="32"/>
          <w:szCs w:val="32"/>
        </w:rPr>
      </w:pPr>
      <w:r>
        <w:rPr>
          <w:rFonts w:hint="eastAsia" w:ascii="仿宋" w:hAnsi="仿宋" w:eastAsia="仿宋"/>
          <w:b/>
          <w:bCs/>
          <w:sz w:val="32"/>
          <w:szCs w:val="32"/>
        </w:rPr>
        <w:t>（一）机关运行经费支出情况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lang w:eastAsia="zh-CN"/>
        </w:rPr>
      </w:pPr>
      <w:r>
        <w:rPr>
          <w:rFonts w:hint="eastAsia" w:ascii="仿宋" w:hAnsi="仿宋" w:eastAsia="仿宋"/>
          <w:sz w:val="32"/>
          <w:szCs w:val="32"/>
          <w:lang w:eastAsia="zh-CN"/>
        </w:rPr>
        <w:t>2018</w:t>
      </w:r>
      <w:r>
        <w:rPr>
          <w:rFonts w:hint="eastAsia" w:ascii="仿宋" w:hAnsi="仿宋" w:eastAsia="仿宋"/>
          <w:sz w:val="32"/>
          <w:szCs w:val="32"/>
        </w:rPr>
        <w:t>年本部门机关运行经费支出</w:t>
      </w:r>
      <w:r>
        <w:rPr>
          <w:rFonts w:hint="eastAsia" w:ascii="仿宋" w:hAnsi="仿宋" w:eastAsia="仿宋"/>
          <w:sz w:val="32"/>
          <w:szCs w:val="32"/>
          <w:lang w:val="en-US" w:eastAsia="zh-CN"/>
        </w:rPr>
        <w:t>85.7167</w:t>
      </w:r>
      <w:r>
        <w:rPr>
          <w:rFonts w:hint="eastAsia" w:ascii="仿宋" w:hAnsi="仿宋" w:eastAsia="仿宋"/>
          <w:sz w:val="32"/>
          <w:szCs w:val="32"/>
        </w:rPr>
        <w:t>万元，用于维持机关日常运转所必需的公用支出。其中：行政单位1户，合计</w:t>
      </w:r>
      <w:r>
        <w:rPr>
          <w:rFonts w:hint="eastAsia" w:ascii="仿宋" w:hAnsi="仿宋" w:eastAsia="仿宋"/>
          <w:sz w:val="32"/>
          <w:szCs w:val="32"/>
          <w:lang w:val="en-US" w:eastAsia="zh-CN"/>
        </w:rPr>
        <w:t>85.7167</w:t>
      </w:r>
      <w:r>
        <w:rPr>
          <w:rFonts w:hint="eastAsia" w:ascii="仿宋" w:hAnsi="仿宋" w:eastAsia="仿宋"/>
          <w:sz w:val="32"/>
          <w:szCs w:val="32"/>
        </w:rPr>
        <w:t xml:space="preserve">万元，占机关运行经费的100%； </w:t>
      </w:r>
      <w:r>
        <w:rPr>
          <w:rFonts w:hint="eastAsia" w:ascii="仿宋" w:hAnsi="仿宋" w:eastAsia="仿宋"/>
          <w:sz w:val="32"/>
          <w:szCs w:val="32"/>
          <w:lang w:eastAsia="zh-CN"/>
        </w:rPr>
        <w:t>2018</w:t>
      </w:r>
      <w:r>
        <w:rPr>
          <w:rFonts w:hint="eastAsia" w:ascii="仿宋" w:hAnsi="仿宋" w:eastAsia="仿宋"/>
          <w:sz w:val="32"/>
          <w:szCs w:val="32"/>
        </w:rPr>
        <w:t>年机关运行经费支出比</w:t>
      </w:r>
      <w:r>
        <w:rPr>
          <w:rFonts w:hint="eastAsia" w:ascii="仿宋" w:hAnsi="仿宋" w:eastAsia="仿宋"/>
          <w:sz w:val="32"/>
          <w:szCs w:val="32"/>
          <w:lang w:eastAsia="zh-CN"/>
        </w:rPr>
        <w:t>2017</w:t>
      </w:r>
      <w:r>
        <w:rPr>
          <w:rFonts w:hint="eastAsia" w:ascii="仿宋" w:hAnsi="仿宋" w:eastAsia="仿宋"/>
          <w:sz w:val="32"/>
          <w:szCs w:val="32"/>
        </w:rPr>
        <w:t>年同口径</w:t>
      </w:r>
      <w:r>
        <w:rPr>
          <w:rFonts w:hint="eastAsia" w:ascii="仿宋" w:hAnsi="仿宋" w:eastAsia="仿宋"/>
          <w:sz w:val="32"/>
          <w:szCs w:val="32"/>
          <w:lang w:eastAsia="zh-CN"/>
        </w:rPr>
        <w:t>增加了</w:t>
      </w:r>
      <w:r>
        <w:rPr>
          <w:rFonts w:hint="eastAsia" w:ascii="仿宋" w:hAnsi="仿宋" w:eastAsia="仿宋"/>
          <w:sz w:val="32"/>
          <w:szCs w:val="32"/>
          <w:lang w:val="en-US" w:eastAsia="zh-CN"/>
        </w:rPr>
        <w:t>20.2009</w:t>
      </w:r>
      <w:r>
        <w:rPr>
          <w:rFonts w:hint="eastAsia" w:ascii="仿宋" w:hAnsi="仿宋" w:eastAsia="仿宋"/>
          <w:sz w:val="32"/>
          <w:szCs w:val="32"/>
        </w:rPr>
        <w:t>万元，主要原因是</w:t>
      </w:r>
      <w:r>
        <w:rPr>
          <w:rFonts w:hint="eastAsia" w:ascii="仿宋" w:hAnsi="仿宋" w:eastAsia="仿宋"/>
          <w:sz w:val="32"/>
          <w:szCs w:val="32"/>
          <w:lang w:eastAsia="zh-CN"/>
        </w:rPr>
        <w:t>项目增加，办公经费相应增加。</w:t>
      </w:r>
    </w:p>
    <w:p>
      <w:pPr>
        <w:keepNext w:val="0"/>
        <w:keepLines w:val="0"/>
        <w:pageBreakBefore w:val="0"/>
        <w:widowControl w:val="0"/>
        <w:kinsoku/>
        <w:wordWrap/>
        <w:overflowPunct/>
        <w:topLinePunct w:val="0"/>
        <w:autoSpaceDE/>
        <w:autoSpaceDN/>
        <w:bidi w:val="0"/>
        <w:adjustRightInd/>
        <w:snapToGrid/>
        <w:spacing w:line="560" w:lineRule="atLeast"/>
        <w:ind w:firstLine="482" w:firstLineChars="150"/>
        <w:textAlignment w:val="auto"/>
        <w:rPr>
          <w:rFonts w:hint="eastAsia" w:ascii="仿宋" w:hAnsi="仿宋" w:eastAsia="仿宋"/>
          <w:b/>
          <w:bCs/>
          <w:sz w:val="32"/>
          <w:szCs w:val="32"/>
        </w:rPr>
      </w:pPr>
      <w:r>
        <w:rPr>
          <w:rFonts w:hint="eastAsia" w:ascii="仿宋" w:hAnsi="仿宋" w:eastAsia="仿宋"/>
          <w:b/>
          <w:bCs/>
          <w:sz w:val="32"/>
          <w:szCs w:val="32"/>
        </w:rPr>
        <w:t>（二）国有资产占用及购置情况说明</w:t>
      </w:r>
    </w:p>
    <w:p>
      <w:pPr>
        <w:keepNext w:val="0"/>
        <w:keepLines w:val="0"/>
        <w:pageBreakBefore w:val="0"/>
        <w:widowControl w:val="0"/>
        <w:shd w:val="clear"/>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截至</w:t>
      </w:r>
      <w:r>
        <w:rPr>
          <w:rFonts w:hint="eastAsia" w:ascii="仿宋" w:hAnsi="仿宋" w:eastAsia="仿宋"/>
          <w:sz w:val="32"/>
          <w:szCs w:val="32"/>
          <w:lang w:eastAsia="zh-CN"/>
        </w:rPr>
        <w:t>2018</w:t>
      </w:r>
      <w:r>
        <w:rPr>
          <w:rFonts w:hint="eastAsia" w:ascii="仿宋" w:hAnsi="仿宋" w:eastAsia="仿宋"/>
          <w:sz w:val="32"/>
          <w:szCs w:val="32"/>
        </w:rPr>
        <w:t>年12月31日，本部门共有车辆</w:t>
      </w:r>
      <w:r>
        <w:rPr>
          <w:rFonts w:hint="eastAsia" w:ascii="仿宋" w:hAnsi="仿宋" w:eastAsia="仿宋"/>
          <w:sz w:val="32"/>
          <w:szCs w:val="32"/>
          <w:lang w:val="en-US" w:eastAsia="zh-CN"/>
        </w:rPr>
        <w:t>9</w:t>
      </w:r>
      <w:r>
        <w:rPr>
          <w:rFonts w:hint="eastAsia" w:ascii="仿宋" w:hAnsi="仿宋" w:eastAsia="仿宋"/>
          <w:sz w:val="32"/>
          <w:szCs w:val="32"/>
        </w:rPr>
        <w:t>辆，其中，一般公务用车</w:t>
      </w:r>
      <w:r>
        <w:rPr>
          <w:rFonts w:hint="eastAsia" w:ascii="仿宋" w:hAnsi="仿宋" w:eastAsia="仿宋"/>
          <w:sz w:val="32"/>
          <w:szCs w:val="32"/>
          <w:lang w:val="en-US" w:eastAsia="zh-CN"/>
        </w:rPr>
        <w:t>4</w:t>
      </w:r>
      <w:r>
        <w:rPr>
          <w:rFonts w:hint="eastAsia" w:ascii="仿宋" w:hAnsi="仿宋" w:eastAsia="仿宋"/>
          <w:sz w:val="32"/>
          <w:szCs w:val="32"/>
        </w:rPr>
        <w:t>辆、其他用车</w:t>
      </w:r>
      <w:r>
        <w:rPr>
          <w:rFonts w:hint="eastAsia" w:ascii="仿宋" w:hAnsi="仿宋" w:eastAsia="仿宋"/>
          <w:sz w:val="32"/>
          <w:szCs w:val="32"/>
          <w:lang w:val="en-US" w:eastAsia="zh-CN"/>
        </w:rPr>
        <w:t>5</w:t>
      </w:r>
      <w:r>
        <w:rPr>
          <w:rFonts w:hint="eastAsia" w:ascii="仿宋" w:hAnsi="仿宋" w:eastAsia="仿宋"/>
          <w:sz w:val="32"/>
          <w:szCs w:val="32"/>
        </w:rPr>
        <w:t>辆，其他用车主要为</w:t>
      </w:r>
      <w:r>
        <w:rPr>
          <w:rFonts w:hint="eastAsia" w:ascii="仿宋" w:hAnsi="仿宋" w:eastAsia="仿宋"/>
          <w:sz w:val="32"/>
          <w:szCs w:val="32"/>
          <w:lang w:val="en-US" w:eastAsia="zh-CN"/>
        </w:rPr>
        <w:t>5</w:t>
      </w:r>
      <w:r>
        <w:rPr>
          <w:rFonts w:hint="eastAsia" w:ascii="仿宋" w:hAnsi="仿宋" w:eastAsia="仿宋"/>
          <w:sz w:val="32"/>
          <w:szCs w:val="32"/>
        </w:rPr>
        <w:t>辆环卫用车。</w:t>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9"/>
          <w:rFonts w:hint="eastAsia" w:ascii="黑体" w:hAnsi="黑体" w:eastAsia="黑体" w:cs="黑体"/>
          <w:b w:val="0"/>
          <w:bCs w:val="0"/>
          <w:color w:val="000000"/>
          <w:sz w:val="32"/>
          <w:szCs w:val="32"/>
        </w:rPr>
      </w:pPr>
      <w:r>
        <w:rPr>
          <w:rStyle w:val="9"/>
          <w:rFonts w:hint="eastAsia" w:ascii="黑体" w:hAnsi="黑体" w:eastAsia="黑体" w:cs="黑体"/>
          <w:b w:val="0"/>
          <w:bCs w:val="0"/>
          <w:color w:val="000000"/>
          <w:sz w:val="32"/>
          <w:szCs w:val="32"/>
        </w:rPr>
        <w:t>八、专业名词解释</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1．基本支出：指为保障机构正常运转、完成日常工作任务而发生的各项支出。</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2．项目支出：指单位为完成特定的行政工作任务或事业发展目标所发生的各项支出。</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3．“三公”经费：指部门使用一般公共预算财政拨款安排的因公出国（境）费、公务用车购置及运行费和公务接待费支出。</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4．机关运行经费：指行政单位和参照公务员法管理的事业单位使用一般公共预算财政拨款安排的日常公用经费支出。</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黑体" w:hAnsi="黑体" w:eastAsia="黑体" w:cs="黑体"/>
          <w:sz w:val="32"/>
          <w:szCs w:val="32"/>
        </w:rPr>
      </w:pPr>
      <w:r>
        <w:rPr>
          <w:rFonts w:hint="eastAsia" w:ascii="黑体" w:hAnsi="黑体" w:eastAsia="黑体" w:cs="黑体"/>
          <w:sz w:val="32"/>
          <w:szCs w:val="32"/>
        </w:rPr>
        <w:t>九、</w:t>
      </w:r>
      <w:r>
        <w:rPr>
          <w:rFonts w:hint="eastAsia" w:ascii="黑体" w:hAnsi="黑体" w:eastAsia="黑体" w:cs="黑体"/>
          <w:sz w:val="32"/>
          <w:szCs w:val="32"/>
          <w:lang w:eastAsia="zh-CN"/>
        </w:rPr>
        <w:t>2018</w:t>
      </w:r>
      <w:r>
        <w:rPr>
          <w:rFonts w:hint="eastAsia" w:ascii="黑体" w:hAnsi="黑体" w:eastAsia="黑体" w:cs="黑体"/>
          <w:sz w:val="32"/>
          <w:szCs w:val="32"/>
        </w:rPr>
        <w:t>年部门决算公开报表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1.批复01表-部门决算收支总表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2.批复02表-部门决算收入总表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3.批复03表-部门决算支出总表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4.批复04表-部门决算财政拨款收支总表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5.批复05表-部门决算一般公共预算财政拨款支出明细表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6.批复06表-部门决算一般公共预算财政拨款基本支出表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7.批复07表-部门决算一般公共预算财政拨款“三公”经费支出表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8.批复08表-部门决算政府性基金收支表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9.批复09表-政府采购决算表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仿宋简体">
    <w:altName w:val="黑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DA7668"/>
    <w:multiLevelType w:val="singleLevel"/>
    <w:tmpl w:val="F0DA7668"/>
    <w:lvl w:ilvl="0" w:tentative="0">
      <w:start w:val="1"/>
      <w:numFmt w:val="decimal"/>
      <w:suff w:val="nothing"/>
      <w:lvlText w:val="%1．"/>
      <w:lvlJc w:val="left"/>
    </w:lvl>
  </w:abstractNum>
  <w:abstractNum w:abstractNumId="1">
    <w:nsid w:val="32E209B4"/>
    <w:multiLevelType w:val="singleLevel"/>
    <w:tmpl w:val="32E209B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E02"/>
    <w:rsid w:val="00101E02"/>
    <w:rsid w:val="003410E4"/>
    <w:rsid w:val="003B17DB"/>
    <w:rsid w:val="003E3DDC"/>
    <w:rsid w:val="004A3235"/>
    <w:rsid w:val="0051551B"/>
    <w:rsid w:val="00542CF0"/>
    <w:rsid w:val="007868AD"/>
    <w:rsid w:val="007B2784"/>
    <w:rsid w:val="007D1A6E"/>
    <w:rsid w:val="008432A3"/>
    <w:rsid w:val="00B22049"/>
    <w:rsid w:val="00B32BF8"/>
    <w:rsid w:val="00B55CD7"/>
    <w:rsid w:val="00BD10F7"/>
    <w:rsid w:val="00C64DFC"/>
    <w:rsid w:val="00D11CE0"/>
    <w:rsid w:val="00D27805"/>
    <w:rsid w:val="00DD14ED"/>
    <w:rsid w:val="00DE34A7"/>
    <w:rsid w:val="00F92B78"/>
    <w:rsid w:val="015D58FD"/>
    <w:rsid w:val="0163128F"/>
    <w:rsid w:val="01C746C6"/>
    <w:rsid w:val="020C150A"/>
    <w:rsid w:val="06BC767A"/>
    <w:rsid w:val="06BE0E86"/>
    <w:rsid w:val="0A0E1646"/>
    <w:rsid w:val="0BE335F4"/>
    <w:rsid w:val="13403F7B"/>
    <w:rsid w:val="139A1695"/>
    <w:rsid w:val="14F5368D"/>
    <w:rsid w:val="17ED475C"/>
    <w:rsid w:val="19B454A3"/>
    <w:rsid w:val="1A3031D1"/>
    <w:rsid w:val="1A746452"/>
    <w:rsid w:val="1C287AD1"/>
    <w:rsid w:val="1DE61F48"/>
    <w:rsid w:val="21FD5768"/>
    <w:rsid w:val="231827EB"/>
    <w:rsid w:val="23F77372"/>
    <w:rsid w:val="276F37C8"/>
    <w:rsid w:val="28DE08C7"/>
    <w:rsid w:val="299C7739"/>
    <w:rsid w:val="29B25DA3"/>
    <w:rsid w:val="2AB117E3"/>
    <w:rsid w:val="2E6318DB"/>
    <w:rsid w:val="303869C2"/>
    <w:rsid w:val="3159166E"/>
    <w:rsid w:val="316F0D5B"/>
    <w:rsid w:val="34241CB0"/>
    <w:rsid w:val="348A2841"/>
    <w:rsid w:val="3548736E"/>
    <w:rsid w:val="39BD5BDC"/>
    <w:rsid w:val="3DF939EF"/>
    <w:rsid w:val="3EEE2575"/>
    <w:rsid w:val="3F7C3B40"/>
    <w:rsid w:val="41EC1ECC"/>
    <w:rsid w:val="42BA0293"/>
    <w:rsid w:val="447270FC"/>
    <w:rsid w:val="47FF6CF3"/>
    <w:rsid w:val="4C4A388C"/>
    <w:rsid w:val="4D24001C"/>
    <w:rsid w:val="4DF92132"/>
    <w:rsid w:val="4E0B6239"/>
    <w:rsid w:val="4F104EB8"/>
    <w:rsid w:val="4F3B1704"/>
    <w:rsid w:val="4F9F1B0F"/>
    <w:rsid w:val="4FFC73B1"/>
    <w:rsid w:val="52CF09E6"/>
    <w:rsid w:val="52D21252"/>
    <w:rsid w:val="53646FB6"/>
    <w:rsid w:val="53A23B23"/>
    <w:rsid w:val="55700C69"/>
    <w:rsid w:val="57BC2E39"/>
    <w:rsid w:val="5C392067"/>
    <w:rsid w:val="5C5E4D31"/>
    <w:rsid w:val="5E440D48"/>
    <w:rsid w:val="60CA1F9A"/>
    <w:rsid w:val="62572A73"/>
    <w:rsid w:val="63EF275F"/>
    <w:rsid w:val="63FB1E6F"/>
    <w:rsid w:val="66975563"/>
    <w:rsid w:val="69CB374A"/>
    <w:rsid w:val="6A59679C"/>
    <w:rsid w:val="6A923491"/>
    <w:rsid w:val="6ADC1073"/>
    <w:rsid w:val="6E6F3391"/>
    <w:rsid w:val="74983629"/>
    <w:rsid w:val="75652D82"/>
    <w:rsid w:val="75DF75A3"/>
    <w:rsid w:val="7919329D"/>
    <w:rsid w:val="793C079B"/>
    <w:rsid w:val="796E7003"/>
    <w:rsid w:val="79C8501E"/>
    <w:rsid w:val="7A6B5A95"/>
    <w:rsid w:val="7AD509ED"/>
    <w:rsid w:val="7B642AAB"/>
    <w:rsid w:val="7B800A50"/>
    <w:rsid w:val="7BBA0262"/>
    <w:rsid w:val="7CA51292"/>
    <w:rsid w:val="7ECB4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customStyle="1" w:styleId="10">
    <w:name w:val="页眉 Char"/>
    <w:basedOn w:val="8"/>
    <w:link w:val="4"/>
    <w:semiHidden/>
    <w:qFormat/>
    <w:uiPriority w:val="99"/>
    <w:rPr>
      <w:sz w:val="18"/>
      <w:szCs w:val="18"/>
    </w:rPr>
  </w:style>
  <w:style w:type="character" w:customStyle="1" w:styleId="11">
    <w:name w:val="页脚 Char"/>
    <w:basedOn w:val="8"/>
    <w:link w:val="3"/>
    <w:semiHidden/>
    <w:qFormat/>
    <w:uiPriority w:val="99"/>
    <w:rPr>
      <w:sz w:val="18"/>
      <w:szCs w:val="18"/>
    </w:rPr>
  </w:style>
  <w:style w:type="character" w:customStyle="1" w:styleId="12">
    <w:name w:val="批注框文本 Char"/>
    <w:basedOn w:val="8"/>
    <w:link w:val="2"/>
    <w:semiHidden/>
    <w:qFormat/>
    <w:uiPriority w:val="99"/>
    <w:rPr>
      <w:rFonts w:ascii="Times New Roman" w:hAnsi="Times New Roman" w:eastAsia="方正仿宋简体" w:cs="Times New Roman"/>
      <w:kern w:val="2"/>
      <w:sz w:val="18"/>
      <w:szCs w:val="18"/>
    </w:rPr>
  </w:style>
  <w:style w:type="table" w:customStyle="1" w:styleId="13">
    <w:name w:val="无格式表格 31"/>
    <w:basedOn w:val="6"/>
    <w:qFormat/>
    <w:uiPriority w:val="0"/>
    <w:rPr>
      <w:rFonts w:hint="eastAsia" w:cs="等线"/>
    </w:rPr>
    <w:tblStylePr w:type="firstRow">
      <w:rPr>
        <w:b/>
        <w:bCs/>
        <w:caps/>
      </w:rPr>
      <w:tcPr>
        <w:tcBorders>
          <w:top w:val="nil"/>
          <w:left w:val="nil"/>
          <w:bottom w:val="single" w:color="7F7F7F" w:sz="4" w:space="0"/>
          <w:right w:val="nil"/>
          <w:insideH w:val="nil"/>
          <w:insideV w:val="nil"/>
          <w:tl2br w:val="nil"/>
          <w:tr2bl w:val="nil"/>
        </w:tcBorders>
      </w:tcPr>
    </w:tblStylePr>
    <w:tblStylePr w:type="lastRow">
      <w:rPr>
        <w:b/>
        <w:bCs/>
        <w:caps/>
      </w:rPr>
      <w:tcPr>
        <w:tcBorders>
          <w:top w:val="nil"/>
          <w:left w:val="nil"/>
          <w:bottom w:val="nil"/>
          <w:right w:val="nil"/>
          <w:insideH w:val="nil"/>
          <w:insideV w:val="nil"/>
          <w:tl2br w:val="nil"/>
          <w:tr2bl w:val="nil"/>
        </w:tcBorders>
      </w:tcPr>
    </w:tblStylePr>
    <w:tblStylePr w:type="firstCol">
      <w:rPr>
        <w:b/>
        <w:bCs/>
        <w:caps/>
      </w:rPr>
      <w:tcPr>
        <w:tcBorders>
          <w:top w:val="nil"/>
          <w:left w:val="nil"/>
          <w:bottom w:val="nil"/>
          <w:right w:val="single" w:color="7F7F7F" w:sz="4" w:space="0"/>
          <w:insideH w:val="nil"/>
          <w:insideV w:val="nil"/>
          <w:tl2br w:val="nil"/>
          <w:tr2bl w:val="nil"/>
        </w:tcBorders>
      </w:tcPr>
    </w:tblStylePr>
    <w:tblStylePr w:type="lastCol">
      <w:rPr>
        <w:b/>
        <w:bCs/>
        <w:caps/>
      </w:rPr>
      <w:tcPr>
        <w:tcBorders>
          <w:top w:val="nil"/>
          <w:left w:val="nil"/>
          <w:bottom w:val="nil"/>
          <w:right w:val="nil"/>
          <w:insideH w:val="nil"/>
          <w:insideV w:val="nil"/>
          <w:tl2br w:val="nil"/>
          <w:tr2bl w:val="nil"/>
        </w:tcBorders>
      </w:tcPr>
    </w:tblStylePr>
    <w:tblStylePr w:type="band1Vert">
      <w:tcPr>
        <w:shd w:val="clear" w:color="auto" w:fill="F2F2F2"/>
      </w:tcPr>
    </w:tblStylePr>
    <w:tblStylePr w:type="band1Horz">
      <w:tcPr>
        <w:shd w:val="clear" w:color="auto" w:fill="F2F2F2"/>
      </w:tcPr>
    </w:tblStylePr>
    <w:tblStylePr w:type="neCell">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nil"/>
          <w:tr2bl w:val="nil"/>
        </w:tcBorders>
      </w:tcPr>
    </w:tblStyle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4.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编制数</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1"/>
            <c:showBubbleSize val="0"/>
            <c:showLeaderLines val="0"/>
            <c:extLst>
              <c:ext xmlns:c15="http://schemas.microsoft.com/office/drawing/2012/chart" uri="{CE6537A1-D6FC-4f65-9D91-7224C49458BB}">
                <c15:layout/>
                <c15:showLeaderLines val="1"/>
                <c15:leaderLines/>
              </c:ext>
            </c:extLst>
          </c:dLbls>
          <c:cat>
            <c:strRef>
              <c:f>Sheet1!$A$2:$A$4</c:f>
              <c:strCache>
                <c:ptCount val="3"/>
                <c:pt idx="0">
                  <c:v>总人数</c:v>
                </c:pt>
                <c:pt idx="1">
                  <c:v>行政</c:v>
                </c:pt>
                <c:pt idx="2">
                  <c:v>事业</c:v>
                </c:pt>
              </c:strCache>
            </c:strRef>
          </c:cat>
          <c:val>
            <c:numRef>
              <c:f>Sheet1!$B$2:$B$4</c:f>
              <c:numCache>
                <c:formatCode>General</c:formatCode>
                <c:ptCount val="3"/>
                <c:pt idx="0">
                  <c:v>57</c:v>
                </c:pt>
                <c:pt idx="1">
                  <c:v>19</c:v>
                </c:pt>
                <c:pt idx="2">
                  <c:v>38</c:v>
                </c:pt>
              </c:numCache>
            </c:numRef>
          </c:val>
        </c:ser>
        <c:ser>
          <c:idx val="1"/>
          <c:order val="1"/>
          <c:tx>
            <c:strRef>
              <c:f>Sheet1!$C$1</c:f>
              <c:strCache>
                <c:ptCount val="1"/>
                <c:pt idx="0">
                  <c:v>实有数</c:v>
                </c:pt>
              </c:strCache>
            </c:strRef>
          </c:tx>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1"/>
            <c:showBubbleSize val="0"/>
            <c:showLeaderLines val="0"/>
            <c:extLst>
              <c:ext xmlns:c15="http://schemas.microsoft.com/office/drawing/2012/chart" uri="{CE6537A1-D6FC-4f65-9D91-7224C49458BB}">
                <c15:layout/>
                <c15:showLeaderLines val="1"/>
                <c15:leaderLines/>
              </c:ext>
            </c:extLst>
          </c:dLbls>
          <c:cat>
            <c:strRef>
              <c:f>Sheet1!$A$2:$A$4</c:f>
              <c:strCache>
                <c:ptCount val="3"/>
                <c:pt idx="0">
                  <c:v>总人数</c:v>
                </c:pt>
                <c:pt idx="1">
                  <c:v>行政</c:v>
                </c:pt>
                <c:pt idx="2">
                  <c:v>事业</c:v>
                </c:pt>
              </c:strCache>
            </c:strRef>
          </c:cat>
          <c:val>
            <c:numRef>
              <c:f>Sheet1!$C$2:$C$4</c:f>
              <c:numCache>
                <c:formatCode>General</c:formatCode>
                <c:ptCount val="3"/>
                <c:pt idx="0">
                  <c:v>50</c:v>
                </c:pt>
                <c:pt idx="1">
                  <c:v>20</c:v>
                </c:pt>
                <c:pt idx="2">
                  <c:v>30</c:v>
                </c:pt>
              </c:numCache>
            </c:numRef>
          </c:val>
        </c:ser>
        <c:dLbls>
          <c:showLegendKey val="0"/>
          <c:showVal val="1"/>
          <c:showCatName val="0"/>
          <c:showSerName val="0"/>
          <c:showPercent val="1"/>
          <c:showBubbleSize val="0"/>
        </c:dLbls>
        <c:gapWidth val="150"/>
        <c:overlap val="0"/>
        <c:axId val="887921229"/>
        <c:axId val="947363688"/>
      </c:barChart>
      <c:catAx>
        <c:axId val="887921229"/>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47363688"/>
        <c:crosses val="autoZero"/>
        <c:auto val="1"/>
        <c:lblAlgn val="ctr"/>
        <c:lblOffset val="100"/>
        <c:noMultiLvlLbl val="0"/>
      </c:catAx>
      <c:valAx>
        <c:axId val="9473636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87921229"/>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本年收入</c:v>
                </c:pt>
              </c:strCache>
            </c:strRef>
          </c:tx>
          <c:explosion val="0"/>
          <c:dPt>
            <c:idx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c:f>
              <c:strCache>
                <c:ptCount val="1"/>
                <c:pt idx="0">
                  <c:v>财政拨款</c:v>
                </c:pt>
              </c:strCache>
            </c:strRef>
          </c:cat>
          <c:val>
            <c:numRef>
              <c:f>Sheet1!$B$2</c:f>
              <c:numCache>
                <c:formatCode>General</c:formatCode>
                <c:ptCount val="1"/>
                <c:pt idx="0">
                  <c:v>100</c:v>
                </c:pt>
              </c:numCache>
            </c:numRef>
          </c:val>
        </c:ser>
        <c:dLbls>
          <c:showLegendKey val="0"/>
          <c:showVal val="0"/>
          <c:showCatName val="0"/>
          <c:showSerName val="0"/>
          <c:showPercent val="1"/>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本年支出</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General</c:formatCode>
                <c:ptCount val="2"/>
                <c:pt idx="0">
                  <c:v>782.86</c:v>
                </c:pt>
                <c:pt idx="1">
                  <c:v>335.32</c:v>
                </c:pt>
              </c:numCache>
            </c:numRef>
          </c:val>
        </c:ser>
        <c:dLbls>
          <c:showLegendKey val="0"/>
          <c:showVal val="0"/>
          <c:showCatName val="0"/>
          <c:showSerName val="0"/>
          <c:showPercent val="1"/>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一般公共服务支出</c:v>
                </c:pt>
                <c:pt idx="1">
                  <c:v>文化体育及传媒支出</c:v>
                </c:pt>
                <c:pt idx="2">
                  <c:v>医疗卫生与计划生育支出</c:v>
                </c:pt>
                <c:pt idx="3">
                  <c:v>城乡社区支出</c:v>
                </c:pt>
                <c:pt idx="4">
                  <c:v>农林水支出</c:v>
                </c:pt>
              </c:strCache>
            </c:strRef>
          </c:cat>
          <c:val>
            <c:numRef>
              <c:f>Sheet1!$B$2:$B$6</c:f>
              <c:numCache>
                <c:formatCode>General</c:formatCode>
                <c:ptCount val="5"/>
                <c:pt idx="0">
                  <c:v>569.1</c:v>
                </c:pt>
                <c:pt idx="1">
                  <c:v>49.2</c:v>
                </c:pt>
                <c:pt idx="2">
                  <c:v>26.31</c:v>
                </c:pt>
                <c:pt idx="3">
                  <c:v>100.34</c:v>
                </c:pt>
                <c:pt idx="4">
                  <c:v>373.2</c:v>
                </c:pt>
              </c:numCache>
            </c:numRef>
          </c:val>
        </c:ser>
        <c:dLbls>
          <c:showLegendKey val="0"/>
          <c:showVal val="0"/>
          <c:showCatName val="0"/>
          <c:showSerName val="0"/>
          <c:showPercent val="1"/>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821</Words>
  <Characters>4682</Characters>
  <Lines>39</Lines>
  <Paragraphs>10</Paragraphs>
  <TotalTime>0</TotalTime>
  <ScaleCrop>false</ScaleCrop>
  <LinksUpToDate>false</LinksUpToDate>
  <CharactersWithSpaces>5493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2018-08-30T07:57:00Z</dcterms:created>
  <dc:creator>微软用户</dc:creator>
  <cp:lastModifiedBy>night</cp:lastModifiedBy>
  <cp:lastPrinted>2019-10-30T06:16:00Z</cp:lastPrinted>
  <dcterms:modified xsi:type="dcterms:W3CDTF">2020-08-05T02:47:23Z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