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520" w:lineRule="exact"/>
        <w:jc w:val="center"/>
        <w:rPr>
          <w:rStyle w:val="7"/>
          <w:rFonts w:hint="eastAsia" w:ascii="方正小标宋简体" w:hAnsi="方正小标宋简体" w:eastAsia="方正小标宋简体" w:cs="方正小标宋简体"/>
          <w:sz w:val="44"/>
          <w:szCs w:val="44"/>
          <w:lang w:eastAsia="zh-CN"/>
        </w:rPr>
      </w:pPr>
    </w:p>
    <w:p>
      <w:pPr>
        <w:pStyle w:val="4"/>
        <w:shd w:val="clear" w:color="auto" w:fill="FFFFFF"/>
        <w:spacing w:before="0" w:beforeAutospacing="0" w:after="0" w:afterAutospacing="0" w:line="520" w:lineRule="exact"/>
        <w:jc w:val="center"/>
        <w:rPr>
          <w:rStyle w:val="7"/>
          <w:rFonts w:hint="eastAsia" w:ascii="方正小标宋简体" w:hAnsi="方正小标宋简体" w:eastAsia="方正小标宋简体" w:cs="方正小标宋简体"/>
          <w:sz w:val="44"/>
          <w:szCs w:val="44"/>
          <w:lang w:eastAsia="zh-CN"/>
        </w:rPr>
      </w:pPr>
    </w:p>
    <w:p>
      <w:pPr>
        <w:pStyle w:val="4"/>
        <w:shd w:val="clear" w:color="auto" w:fill="FFFFFF"/>
        <w:spacing w:before="0" w:beforeAutospacing="0" w:after="0" w:afterAutospacing="0" w:line="520" w:lineRule="exact"/>
        <w:jc w:val="center"/>
        <w:rPr>
          <w:rStyle w:val="7"/>
          <w:rFonts w:hint="eastAsia" w:ascii="方正小标宋简体" w:hAnsi="方正小标宋简体" w:eastAsia="方正小标宋简体" w:cs="方正小标宋简体"/>
          <w:sz w:val="44"/>
          <w:szCs w:val="44"/>
          <w:lang w:eastAsia="zh-CN"/>
        </w:rPr>
      </w:pPr>
    </w:p>
    <w:p>
      <w:pPr>
        <w:pStyle w:val="4"/>
        <w:shd w:val="clear" w:color="auto" w:fill="FFFFFF"/>
        <w:spacing w:before="0" w:beforeAutospacing="0" w:after="0" w:afterAutospacing="0" w:line="520" w:lineRule="exact"/>
        <w:jc w:val="center"/>
        <w:rPr>
          <w:rStyle w:val="7"/>
          <w:rFonts w:hint="eastAsia" w:ascii="方正小标宋简体" w:hAnsi="方正小标宋简体" w:eastAsia="方正小标宋简体" w:cs="方正小标宋简体"/>
          <w:b w:val="0"/>
          <w:bCs w:val="0"/>
          <w:sz w:val="44"/>
          <w:szCs w:val="44"/>
          <w:lang w:val="en-US" w:eastAsia="zh-CN"/>
        </w:rPr>
      </w:pPr>
      <w:r>
        <w:rPr>
          <w:rStyle w:val="7"/>
          <w:rFonts w:hint="eastAsia" w:ascii="方正小标宋简体" w:hAnsi="方正小标宋简体" w:eastAsia="方正小标宋简体" w:cs="方正小标宋简体"/>
          <w:sz w:val="44"/>
          <w:szCs w:val="44"/>
          <w:lang w:eastAsia="zh-CN"/>
        </w:rPr>
        <w:t>西安市</w:t>
      </w:r>
      <w:r>
        <w:rPr>
          <w:rStyle w:val="7"/>
          <w:rFonts w:hint="eastAsia" w:ascii="方正小标宋简体" w:hAnsi="方正小标宋简体" w:eastAsia="方正小标宋简体" w:cs="方正小标宋简体"/>
          <w:sz w:val="44"/>
          <w:szCs w:val="44"/>
        </w:rPr>
        <w:t>阎良区</w:t>
      </w:r>
      <w:r>
        <w:rPr>
          <w:rStyle w:val="7"/>
          <w:rFonts w:hint="eastAsia" w:ascii="方正小标宋简体" w:hAnsi="方正小标宋简体" w:eastAsia="方正小标宋简体" w:cs="方正小标宋简体"/>
          <w:sz w:val="44"/>
          <w:szCs w:val="44"/>
          <w:lang w:eastAsia="zh-CN"/>
        </w:rPr>
        <w:t>妇幼保健计划生育服务中心</w:t>
      </w:r>
    </w:p>
    <w:p>
      <w:pPr>
        <w:pStyle w:val="4"/>
        <w:shd w:val="clear" w:color="auto" w:fill="FFFFFF"/>
        <w:spacing w:before="0" w:beforeAutospacing="0" w:after="0" w:afterAutospacing="0" w:line="520" w:lineRule="exact"/>
        <w:jc w:val="center"/>
        <w:rPr>
          <w:rStyle w:val="7"/>
          <w:rFonts w:ascii="方正小标宋简体" w:hAnsi="方正小标宋简体" w:eastAsia="方正小标宋简体" w:cs="方正小标宋简体"/>
          <w:b w:val="0"/>
          <w:bCs w:val="0"/>
          <w:color w:val="000000"/>
          <w:sz w:val="44"/>
          <w:szCs w:val="44"/>
        </w:rPr>
      </w:pPr>
      <w:r>
        <w:rPr>
          <w:rStyle w:val="7"/>
          <w:rFonts w:ascii="方正小标宋简体" w:hAnsi="方正小标宋简体" w:eastAsia="方正小标宋简体" w:cs="方正小标宋简体"/>
          <w:color w:val="000000"/>
          <w:sz w:val="44"/>
          <w:szCs w:val="44"/>
        </w:rPr>
        <w:t>2019</w:t>
      </w:r>
      <w:r>
        <w:rPr>
          <w:rStyle w:val="7"/>
          <w:rFonts w:hint="eastAsia" w:ascii="方正小标宋简体" w:hAnsi="方正小标宋简体" w:eastAsia="方正小标宋简体" w:cs="方正小标宋简体"/>
          <w:color w:val="000000"/>
          <w:sz w:val="44"/>
          <w:szCs w:val="44"/>
        </w:rPr>
        <w:t>年度部门决算</w:t>
      </w:r>
    </w:p>
    <w:p>
      <w:pPr>
        <w:spacing w:line="56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400" w:lineRule="exact"/>
        <w:ind w:firstLine="2570" w:firstLineChars="800"/>
        <w:rPr>
          <w:rFonts w:ascii="宋体" w:hAnsi="宋体" w:eastAsia="宋体" w:cs="宋体"/>
          <w:b/>
          <w:bCs/>
          <w:szCs w:val="32"/>
        </w:rPr>
      </w:pPr>
    </w:p>
    <w:p>
      <w:pPr>
        <w:spacing w:line="400" w:lineRule="exact"/>
        <w:ind w:firstLine="2570" w:firstLineChars="800"/>
        <w:rPr>
          <w:rFonts w:ascii="宋体" w:hAnsi="宋体" w:eastAsia="宋体" w:cs="宋体"/>
          <w:b/>
          <w:bCs/>
          <w:szCs w:val="32"/>
        </w:rPr>
      </w:pPr>
    </w:p>
    <w:p>
      <w:pPr>
        <w:spacing w:line="400" w:lineRule="exact"/>
        <w:ind w:firstLine="2088" w:firstLineChars="650"/>
        <w:rPr>
          <w:rFonts w:hint="eastAsia" w:ascii="宋体" w:hAnsi="宋体" w:eastAsia="宋体" w:cs="宋体"/>
          <w:b/>
          <w:bCs/>
          <w:szCs w:val="32"/>
          <w:lang w:val="en-US" w:eastAsia="zh-CN"/>
        </w:rPr>
      </w:pPr>
      <w:r>
        <w:rPr>
          <w:rFonts w:hint="eastAsia" w:ascii="宋体" w:hAnsi="宋体" w:eastAsia="宋体" w:cs="宋体"/>
          <w:b/>
          <w:bCs/>
          <w:szCs w:val="32"/>
        </w:rPr>
        <w:t>保密审查情况：</w:t>
      </w:r>
      <w:r>
        <w:rPr>
          <w:rFonts w:hint="eastAsia" w:ascii="宋体" w:hAnsi="宋体" w:eastAsia="宋体" w:cs="宋体"/>
          <w:b/>
          <w:bCs/>
          <w:szCs w:val="32"/>
          <w:lang w:eastAsia="zh-CN"/>
        </w:rPr>
        <w:t>可以公开</w:t>
      </w:r>
    </w:p>
    <w:p>
      <w:pPr>
        <w:spacing w:line="400" w:lineRule="exact"/>
        <w:jc w:val="center"/>
        <w:rPr>
          <w:rFonts w:ascii="宋体" w:hAnsi="宋体" w:eastAsia="宋体" w:cs="宋体"/>
          <w:b/>
          <w:bCs/>
          <w:szCs w:val="32"/>
        </w:rPr>
      </w:pPr>
    </w:p>
    <w:p>
      <w:pPr>
        <w:spacing w:line="400" w:lineRule="exact"/>
        <w:ind w:firstLine="2088" w:firstLineChars="650"/>
        <w:rPr>
          <w:rFonts w:hint="eastAsia" w:ascii="宋体" w:eastAsia="宋体" w:cs="宋体"/>
          <w:b/>
          <w:bCs/>
          <w:szCs w:val="32"/>
          <w:lang w:val="en-US" w:eastAsia="zh-CN"/>
        </w:rPr>
      </w:pPr>
      <w:r>
        <w:rPr>
          <w:rFonts w:hint="eastAsia" w:ascii="宋体" w:hAnsi="宋体" w:eastAsia="宋体" w:cs="宋体"/>
          <w:b/>
          <w:bCs/>
          <w:szCs w:val="32"/>
        </w:rPr>
        <w:t>部门主要负责人审签情况：</w:t>
      </w:r>
      <w:r>
        <w:rPr>
          <w:rFonts w:hint="eastAsia" w:ascii="宋体" w:hAnsi="宋体" w:eastAsia="宋体" w:cs="宋体"/>
          <w:b/>
          <w:bCs/>
          <w:szCs w:val="32"/>
          <w:lang w:eastAsia="zh-CN"/>
        </w:rPr>
        <w:t>已审签</w:t>
      </w:r>
      <w:bookmarkStart w:id="4" w:name="_GoBack"/>
      <w:bookmarkEnd w:id="4"/>
    </w:p>
    <w:p>
      <w:pPr>
        <w:jc w:val="center"/>
        <w:rPr>
          <w:rFonts w:ascii="黑体" w:hAnsi="宋体" w:eastAsia="黑体"/>
          <w:b/>
          <w:color w:val="000000"/>
          <w:kern w:val="0"/>
          <w:sz w:val="56"/>
          <w:szCs w:val="56"/>
        </w:rPr>
      </w:pPr>
    </w:p>
    <w:p>
      <w:pPr>
        <w:jc w:val="center"/>
        <w:rPr>
          <w:rFonts w:ascii="黑体" w:hAnsi="宋体" w:eastAsia="黑体"/>
          <w:b/>
          <w:color w:val="000000"/>
          <w:kern w:val="0"/>
          <w:sz w:val="56"/>
          <w:szCs w:val="56"/>
        </w:rPr>
      </w:pPr>
    </w:p>
    <w:p>
      <w:pPr>
        <w:jc w:val="both"/>
        <w:rPr>
          <w:rFonts w:hint="eastAsia" w:ascii="黑体" w:hAnsi="宋体" w:eastAsia="黑体"/>
          <w:bCs/>
          <w:color w:val="000000"/>
          <w:kern w:val="0"/>
          <w:sz w:val="36"/>
          <w:szCs w:val="36"/>
        </w:rPr>
      </w:pPr>
    </w:p>
    <w:p>
      <w:pPr>
        <w:jc w:val="center"/>
        <w:rPr>
          <w:rFonts w:ascii="黑体" w:hAnsi="宋体" w:eastAsia="黑体"/>
          <w:bCs/>
          <w:color w:val="000000"/>
          <w:kern w:val="0"/>
          <w:sz w:val="36"/>
          <w:szCs w:val="36"/>
        </w:rPr>
      </w:pPr>
      <w:r>
        <w:rPr>
          <w:rFonts w:hint="eastAsia"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widowControl/>
        <w:jc w:val="center"/>
      </w:pPr>
      <w:r>
        <w:rPr>
          <w:rFonts w:hint="eastAsia" w:ascii="黑体" w:hAnsi="宋体" w:eastAsia="黑体"/>
          <w:color w:val="000000"/>
          <w:kern w:val="0"/>
          <w:szCs w:val="32"/>
        </w:rPr>
        <w:t>第一部分</w:t>
      </w:r>
      <w:r>
        <w:rPr>
          <w:rFonts w:ascii="黑体" w:hAnsi="宋体" w:eastAsia="黑体"/>
          <w:color w:val="000000"/>
          <w:kern w:val="0"/>
          <w:szCs w:val="32"/>
        </w:rPr>
        <w:t xml:space="preserve"> </w:t>
      </w:r>
      <w:r>
        <w:rPr>
          <w:rFonts w:hint="eastAsia" w:ascii="黑体" w:hAnsi="宋体" w:eastAsia="黑体"/>
          <w:color w:val="000000"/>
          <w:kern w:val="0"/>
          <w:szCs w:val="32"/>
        </w:rPr>
        <w:t>部门概况</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jc w:val="center"/>
      </w:pPr>
      <w:r>
        <w:rPr>
          <w:rFonts w:hint="eastAsia" w:ascii="黑体" w:hAnsi="宋体" w:eastAsia="黑体"/>
          <w:color w:val="000000"/>
          <w:kern w:val="0"/>
          <w:szCs w:val="32"/>
        </w:rPr>
        <w:t>第二部分</w:t>
      </w:r>
      <w:r>
        <w:rPr>
          <w:rFonts w:ascii="黑体" w:hAnsi="宋体" w:eastAsia="黑体"/>
          <w:color w:val="000000"/>
          <w:kern w:val="0"/>
          <w:szCs w:val="32"/>
        </w:rPr>
        <w:t xml:space="preserve">  2019</w:t>
      </w:r>
      <w:r>
        <w:rPr>
          <w:rFonts w:hint="eastAsia" w:ascii="黑体" w:hAnsi="宋体" w:eastAsia="黑体"/>
          <w:color w:val="000000"/>
          <w:kern w:val="0"/>
          <w:szCs w:val="32"/>
        </w:rPr>
        <w:t>年度部门决算表</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二、收入决算总表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三、支出决算总表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四、财政拨款收入支出决算总表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六、一般公共预算财政拨款基本支出决算表</w:t>
      </w:r>
      <w:r>
        <w:rPr>
          <w:rFonts w:ascii="仿宋" w:hAnsi="仿宋" w:eastAsia="仿宋" w:cs="楷体"/>
          <w:color w:val="000000"/>
          <w:kern w:val="0"/>
          <w:szCs w:val="32"/>
        </w:rPr>
        <w:t xml:space="preserve">    </w:t>
      </w:r>
    </w:p>
    <w:p>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jc w:val="center"/>
      </w:pPr>
      <w:r>
        <w:rPr>
          <w:rFonts w:hint="eastAsia" w:ascii="黑体" w:hAnsi="宋体" w:eastAsia="黑体"/>
          <w:color w:val="000000"/>
          <w:kern w:val="0"/>
          <w:szCs w:val="32"/>
        </w:rPr>
        <w:t>第三部分</w:t>
      </w:r>
      <w:r>
        <w:rPr>
          <w:rFonts w:ascii="黑体" w:hAnsi="宋体" w:eastAsia="黑体"/>
          <w:color w:val="000000"/>
          <w:kern w:val="0"/>
          <w:szCs w:val="32"/>
        </w:rPr>
        <w:t xml:space="preserve"> 2019</w:t>
      </w:r>
      <w:r>
        <w:rPr>
          <w:rFonts w:hint="eastAsia" w:ascii="黑体" w:hAnsi="宋体" w:eastAsia="黑体"/>
          <w:color w:val="000000"/>
          <w:kern w:val="0"/>
          <w:szCs w:val="32"/>
        </w:rPr>
        <w:t>年度部门决算情况说明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jc w:val="left"/>
        <w:rPr>
          <w:rFonts w:ascii="仿宋" w:hAnsi="仿宋" w:eastAsia="仿宋" w:cs="楷体"/>
          <w:color w:val="000000"/>
          <w:kern w:val="0"/>
          <w:szCs w:val="32"/>
        </w:rPr>
      </w:pPr>
      <w:r>
        <w:rPr>
          <w:rFonts w:ascii="仿宋" w:hAnsi="仿宋" w:eastAsia="仿宋" w:cs="楷体"/>
          <w:color w:val="000000"/>
          <w:kern w:val="0"/>
          <w:szCs w:val="32"/>
        </w:rPr>
        <w:t xml:space="preserve"> </w:t>
      </w:r>
      <w:r>
        <w:rPr>
          <w:rFonts w:hint="eastAsia" w:ascii="仿宋" w:hAnsi="仿宋" w:eastAsia="仿宋" w:cs="楷体"/>
          <w:color w:val="000000"/>
          <w:kern w:val="0"/>
          <w:szCs w:val="32"/>
        </w:rPr>
        <w:t>十一、其他重要事项说明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jc w:val="center"/>
        <w:rPr>
          <w:rFonts w:ascii="黑体" w:hAnsi="宋体" w:eastAsia="黑体"/>
          <w:color w:val="000000"/>
          <w:kern w:val="0"/>
          <w:szCs w:val="32"/>
        </w:rPr>
      </w:pPr>
      <w:r>
        <w:rPr>
          <w:rFonts w:hint="eastAsia" w:ascii="黑体" w:hAnsi="宋体" w:eastAsia="黑体"/>
          <w:color w:val="000000"/>
          <w:kern w:val="0"/>
          <w:szCs w:val="32"/>
        </w:rPr>
        <w:t>第四部分</w:t>
      </w:r>
      <w:r>
        <w:rPr>
          <w:rFonts w:ascii="黑体" w:hAnsi="宋体" w:eastAsia="黑体"/>
          <w:color w:val="000000"/>
          <w:kern w:val="0"/>
          <w:szCs w:val="32"/>
        </w:rPr>
        <w:t xml:space="preserve"> </w:t>
      </w:r>
      <w:r>
        <w:rPr>
          <w:rFonts w:hint="eastAsia" w:ascii="黑体" w:hAnsi="宋体" w:eastAsia="黑体"/>
          <w:color w:val="000000"/>
          <w:kern w:val="0"/>
          <w:szCs w:val="32"/>
        </w:rPr>
        <w:t>专业名词解释</w:t>
      </w:r>
    </w:p>
    <w:p>
      <w:pPr>
        <w:rPr>
          <w:rFonts w:ascii="黑体" w:hAnsi="宋体" w:eastAsia="黑体"/>
          <w:color w:val="000000"/>
          <w:kern w:val="0"/>
          <w:szCs w:val="32"/>
        </w:rPr>
      </w:pPr>
    </w:p>
    <w:p>
      <w:pPr>
        <w:rPr>
          <w:rFonts w:ascii="黑体" w:hAnsi="宋体" w:eastAsia="黑体"/>
          <w:color w:val="000000"/>
          <w:kern w:val="0"/>
          <w:szCs w:val="32"/>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部门概况</w:t>
      </w:r>
    </w:p>
    <w:p>
      <w:pPr>
        <w:pStyle w:val="4"/>
        <w:spacing w:before="0" w:beforeAutospacing="0" w:after="0" w:afterAutospacing="0" w:line="560" w:lineRule="exact"/>
        <w:ind w:firstLine="640" w:firstLineChars="200"/>
        <w:rPr>
          <w:rFonts w:ascii="黑体" w:hAnsi="Times New Roman" w:eastAsia="黑体" w:cs="楷体"/>
          <w:bCs/>
          <w:color w:val="000000"/>
          <w:sz w:val="32"/>
          <w:szCs w:val="32"/>
        </w:rPr>
      </w:pPr>
      <w:r>
        <w:rPr>
          <w:rFonts w:hint="eastAsia" w:ascii="黑体" w:hAnsi="Times New Roman" w:eastAsia="黑体" w:cs="楷体"/>
          <w:bCs/>
          <w:color w:val="000000"/>
          <w:sz w:val="32"/>
          <w:szCs w:val="32"/>
        </w:rPr>
        <w:t>一、部门主要职责及内设机构</w:t>
      </w:r>
    </w:p>
    <w:p>
      <w:pPr>
        <w:widowControl/>
        <w:spacing w:line="560" w:lineRule="exact"/>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中心</w:t>
      </w:r>
      <w:r>
        <w:rPr>
          <w:rFonts w:hint="eastAsia" w:ascii="仿宋_GB2312" w:hAnsi="仿宋_GB2312" w:eastAsia="仿宋_GB2312" w:cs="仿宋_GB2312"/>
          <w:sz w:val="32"/>
          <w:szCs w:val="32"/>
        </w:rPr>
        <w:t>深入贯彻习近平总书记系列重要讲话精神和省、市妇幼健康工作会议精神，在市卫健委、区卫健局的坚强领导下，在市妇保院的正确指导下，严格按照各项妇幼健康工作要求，认真履行妇幼健康服务管理指导职责，始终以妇女、儿童的健康为目标，优化服务模式，不断提高服务能力和服务水平</w:t>
      </w:r>
      <w:r>
        <w:rPr>
          <w:rFonts w:hint="eastAsia" w:ascii="仿宋_GB2312" w:hAnsi="仿宋_GB2312" w:eastAsia="仿宋_GB2312" w:cs="仿宋_GB2312"/>
          <w:sz w:val="32"/>
          <w:szCs w:val="32"/>
          <w:lang w:eastAsia="zh-CN"/>
        </w:rPr>
        <w:t>。</w:t>
      </w:r>
    </w:p>
    <w:p>
      <w:pPr>
        <w:widowControl/>
        <w:numPr>
          <w:ilvl w:val="0"/>
          <w:numId w:val="2"/>
        </w:numPr>
        <w:spacing w:line="560" w:lineRule="exact"/>
        <w:ind w:firstLine="643" w:firstLineChars="200"/>
        <w:jc w:val="left"/>
        <w:rPr>
          <w:rFonts w:hint="eastAsia" w:ascii="楷体" w:hAnsi="楷体" w:eastAsia="楷体" w:cs="楷体"/>
          <w:b/>
          <w:bCs/>
          <w:color w:val="000000"/>
          <w:kern w:val="0"/>
          <w:szCs w:val="32"/>
        </w:rPr>
      </w:pPr>
      <w:r>
        <w:rPr>
          <w:rFonts w:hint="eastAsia" w:ascii="楷体" w:hAnsi="楷体" w:eastAsia="楷体" w:cs="楷体"/>
          <w:b/>
          <w:bCs/>
          <w:color w:val="000000"/>
          <w:kern w:val="0"/>
          <w:szCs w:val="32"/>
        </w:rPr>
        <w:t>内设机构</w:t>
      </w:r>
    </w:p>
    <w:p>
      <w:pPr>
        <w:widowControl/>
        <w:numPr>
          <w:ilvl w:val="0"/>
          <w:numId w:val="0"/>
        </w:numPr>
        <w:spacing w:line="560" w:lineRule="exact"/>
        <w:jc w:val="left"/>
        <w:rPr>
          <w:rFonts w:hint="eastAsia" w:ascii="仿宋_GB2312" w:hAnsi="仿宋_GB2312" w:eastAsia="仿宋_GB2312" w:cs="仿宋_GB2312"/>
          <w:b w:val="0"/>
          <w:bCs w:val="0"/>
          <w:color w:val="000000"/>
          <w:kern w:val="0"/>
          <w:szCs w:val="32"/>
          <w:lang w:val="en-US" w:eastAsia="zh-CN"/>
        </w:rPr>
      </w:pPr>
      <w:r>
        <w:rPr>
          <w:rFonts w:hint="eastAsia" w:ascii="楷体" w:hAnsi="楷体" w:eastAsia="楷体" w:cs="楷体"/>
          <w:b/>
          <w:bCs/>
          <w:color w:val="000000"/>
          <w:kern w:val="0"/>
          <w:szCs w:val="32"/>
          <w:lang w:val="en-US" w:eastAsia="zh-CN"/>
        </w:rPr>
        <w:t xml:space="preserve">     </w:t>
      </w:r>
      <w:r>
        <w:rPr>
          <w:rFonts w:hint="eastAsia" w:ascii="仿宋_GB2312" w:hAnsi="仿宋_GB2312" w:eastAsia="仿宋_GB2312" w:cs="仿宋_GB2312"/>
          <w:b w:val="0"/>
          <w:bCs w:val="0"/>
          <w:color w:val="000000"/>
          <w:kern w:val="0"/>
          <w:szCs w:val="32"/>
          <w:lang w:val="en-US" w:eastAsia="zh-CN"/>
        </w:rPr>
        <w:t>我中心在2017年由原来的阎良区妇幼保健站和阎良区计划生育服务站合并为现在的西安市阎良区妇幼保健计划生育服务中心。</w:t>
      </w:r>
    </w:p>
    <w:p>
      <w:pPr>
        <w:widowControl/>
        <w:spacing w:line="560" w:lineRule="exact"/>
        <w:ind w:firstLine="320" w:firstLineChars="100"/>
        <w:jc w:val="left"/>
      </w:pPr>
      <w:r>
        <w:rPr>
          <w:rFonts w:hint="eastAsia" w:ascii="黑体" w:hAnsi="宋体" w:eastAsia="黑体"/>
          <w:color w:val="000000"/>
          <w:kern w:val="0"/>
          <w:szCs w:val="32"/>
        </w:rPr>
        <w:t>二、部门决算单位构成</w:t>
      </w:r>
    </w:p>
    <w:p>
      <w:pPr>
        <w:spacing w:line="560"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纳入</w:t>
      </w:r>
      <w:r>
        <w:rPr>
          <w:rFonts w:ascii="仿宋_GB2312" w:hAnsi="仿宋_GB2312" w:eastAsia="仿宋_GB2312" w:cs="仿宋_GB2312"/>
          <w:szCs w:val="32"/>
        </w:rPr>
        <w:t>2019</w:t>
      </w:r>
      <w:r>
        <w:rPr>
          <w:rFonts w:hint="eastAsia" w:ascii="仿宋_GB2312" w:hAnsi="仿宋_GB2312" w:eastAsia="仿宋_GB2312" w:cs="仿宋_GB2312"/>
          <w:szCs w:val="32"/>
        </w:rPr>
        <w:t>年度本部门决算编制范围的单位共</w:t>
      </w:r>
      <w:r>
        <w:rPr>
          <w:rFonts w:hint="eastAsia" w:ascii="仿宋_GB2312" w:hAnsi="仿宋_GB2312" w:eastAsia="仿宋_GB2312" w:cs="仿宋_GB2312"/>
          <w:szCs w:val="32"/>
          <w:lang w:val="en-US" w:eastAsia="zh-CN"/>
        </w:rPr>
        <w:t>1</w:t>
      </w:r>
      <w:r>
        <w:rPr>
          <w:rFonts w:hint="eastAsia" w:ascii="仿宋_GB2312" w:hAnsi="仿宋_GB2312" w:eastAsia="仿宋_GB2312" w:cs="仿宋_GB2312"/>
          <w:szCs w:val="32"/>
        </w:rPr>
        <w:t>个，包括本级</w:t>
      </w:r>
      <w:r>
        <w:rPr>
          <w:rFonts w:hint="eastAsia" w:ascii="仿宋_GB2312" w:hAnsi="仿宋_GB2312" w:eastAsia="仿宋_GB2312" w:cs="仿宋_GB2312"/>
          <w:color w:val="000000" w:themeColor="text1"/>
          <w:szCs w:val="32"/>
          <w:lang w:val="en-US" w:eastAsia="zh-CN"/>
          <w14:textFill>
            <w14:solidFill>
              <w14:schemeClr w14:val="tx1"/>
            </w14:solidFill>
          </w14:textFill>
        </w:rPr>
        <w:t>1</w:t>
      </w:r>
      <w:r>
        <w:rPr>
          <w:rFonts w:hint="eastAsia" w:ascii="仿宋_GB2312" w:hAnsi="仿宋_GB2312" w:eastAsia="仿宋_GB2312" w:cs="仿宋_GB2312"/>
          <w:color w:val="000000" w:themeColor="text1"/>
          <w:szCs w:val="32"/>
          <w14:textFill>
            <w14:solidFill>
              <w14:schemeClr w14:val="tx1"/>
            </w14:solidFill>
          </w14:textFill>
        </w:rPr>
        <w:t>个</w:t>
      </w:r>
      <w:r>
        <w:rPr>
          <w:rFonts w:hint="eastAsia" w:ascii="仿宋_GB2312" w:hAnsi="仿宋_GB2312" w:eastAsia="仿宋_GB2312" w:cs="仿宋_GB2312"/>
          <w:color w:val="000000" w:themeColor="text1"/>
          <w:kern w:val="0"/>
          <w:sz w:val="31"/>
          <w:szCs w:val="31"/>
          <w14:textFill>
            <w14:solidFill>
              <w14:schemeClr w14:val="tx1"/>
            </w14:solidFill>
          </w14:textFill>
        </w:rPr>
        <w:t>预算</w:t>
      </w:r>
      <w:r>
        <w:rPr>
          <w:rFonts w:hint="eastAsia" w:ascii="仿宋_GB2312" w:hAnsi="仿宋_GB2312" w:eastAsia="仿宋_GB2312" w:cs="仿宋_GB2312"/>
          <w:color w:val="000000" w:themeColor="text1"/>
          <w:szCs w:val="32"/>
          <w14:textFill>
            <w14:solidFill>
              <w14:schemeClr w14:val="tx1"/>
            </w14:solidFill>
          </w14:textFill>
        </w:rPr>
        <w:t>单位：</w:t>
      </w:r>
    </w:p>
    <w:tbl>
      <w:tblPr>
        <w:tblStyle w:val="5"/>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noWrap w:val="0"/>
            <w:vAlign w:val="center"/>
          </w:tcPr>
          <w:p>
            <w:pPr>
              <w:jc w:val="center"/>
              <w:rPr>
                <w:rFonts w:ascii="黑体" w:hAnsi="黑体" w:eastAsia="黑体"/>
                <w:szCs w:val="32"/>
              </w:rPr>
            </w:pPr>
            <w:r>
              <w:rPr>
                <w:rFonts w:hint="eastAsia" w:ascii="黑体" w:hAnsi="黑体" w:eastAsia="黑体"/>
                <w:szCs w:val="32"/>
              </w:rPr>
              <w:t>序号</w:t>
            </w:r>
          </w:p>
        </w:tc>
        <w:tc>
          <w:tcPr>
            <w:tcW w:w="7278" w:type="dxa"/>
            <w:noWrap w:val="0"/>
            <w:vAlign w:val="center"/>
          </w:tcPr>
          <w:p>
            <w:pPr>
              <w:jc w:val="center"/>
              <w:rPr>
                <w:rFonts w:ascii="黑体" w:hAnsi="黑体" w:eastAsia="黑体"/>
                <w:szCs w:val="32"/>
              </w:rPr>
            </w:pPr>
            <w:r>
              <w:rPr>
                <w:rFonts w:hint="eastAsia" w:ascii="黑体" w:hAnsi="黑体" w:eastAsia="黑体"/>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noWrap w:val="0"/>
            <w:vAlign w:val="center"/>
          </w:tcPr>
          <w:p>
            <w:pPr>
              <w:jc w:val="center"/>
              <w:rPr>
                <w:rFonts w:ascii="仿宋_GB2312" w:hAnsi="仿宋_GB2312" w:eastAsia="仿宋_GB2312" w:cs="仿宋_GB2312"/>
                <w:szCs w:val="32"/>
              </w:rPr>
            </w:pPr>
            <w:r>
              <w:rPr>
                <w:rFonts w:ascii="仿宋_GB2312" w:hAnsi="仿宋_GB2312" w:eastAsia="仿宋_GB2312" w:cs="仿宋_GB2312"/>
                <w:szCs w:val="32"/>
              </w:rPr>
              <w:t>1</w:t>
            </w:r>
          </w:p>
        </w:tc>
        <w:tc>
          <w:tcPr>
            <w:tcW w:w="7278" w:type="dxa"/>
            <w:noWrap w:val="0"/>
            <w:vAlign w:val="center"/>
          </w:tcPr>
          <w:p>
            <w:pPr>
              <w:jc w:val="center"/>
              <w:rPr>
                <w:rFonts w:hint="eastAsia" w:ascii="仿宋_GB2312" w:hAnsi="仿宋_GB2312" w:eastAsia="仿宋_GB2312" w:cs="仿宋_GB2312"/>
                <w:szCs w:val="32"/>
                <w:lang w:eastAsia="zh-CN"/>
              </w:rPr>
            </w:pPr>
            <w:r>
              <w:rPr>
                <w:rFonts w:hint="eastAsia" w:ascii="仿宋_GB2312" w:hAnsi="仿宋_GB2312" w:eastAsia="仿宋_GB2312" w:cs="仿宋_GB2312"/>
                <w:szCs w:val="32"/>
                <w:lang w:eastAsia="zh-CN"/>
              </w:rPr>
              <w:t>西安市阎良区妇幼保健计划生育服务中心</w:t>
            </w:r>
          </w:p>
        </w:tc>
      </w:tr>
    </w:tbl>
    <w:p>
      <w:pPr>
        <w:ind w:firstLine="640"/>
        <w:rPr>
          <w:rFonts w:ascii="黑体" w:hAnsi="黑体" w:eastAsia="黑体"/>
          <w:b/>
          <w:bCs/>
          <w:szCs w:val="32"/>
        </w:rPr>
      </w:pPr>
      <w:r>
        <w:rPr>
          <w:rFonts w:hint="eastAsia" w:ascii="黑体" w:hAnsi="黑体" w:eastAsia="黑体"/>
          <w:b/>
          <w:bCs/>
          <w:szCs w:val="32"/>
        </w:rPr>
        <w:t>三、部门人员情况</w:t>
      </w:r>
    </w:p>
    <w:p>
      <w:pPr>
        <w:spacing w:line="560" w:lineRule="exact"/>
        <w:ind w:firstLine="641"/>
        <w:rPr>
          <w:rFonts w:hint="eastAsia" w:ascii="仿宋_GB2312" w:hAnsi="仿宋_GB2312" w:eastAsia="仿宋_GB2312" w:cs="仿宋_GB2312"/>
          <w:color w:val="000000"/>
          <w:szCs w:val="32"/>
        </w:rPr>
      </w:pPr>
      <w:r>
        <w:rPr>
          <w:rFonts w:hint="eastAsia" w:ascii="仿宋_GB2312" w:hAnsi="仿宋_GB2312" w:eastAsia="仿宋_GB2312" w:cs="仿宋_GB2312"/>
          <w:color w:val="000000"/>
          <w:szCs w:val="32"/>
        </w:rPr>
        <w:t>截止</w:t>
      </w:r>
      <w:r>
        <w:rPr>
          <w:rFonts w:ascii="仿宋_GB2312" w:hAnsi="仿宋_GB2312" w:eastAsia="仿宋_GB2312" w:cs="仿宋_GB2312"/>
          <w:color w:val="000000"/>
          <w:szCs w:val="32"/>
        </w:rPr>
        <w:t>2019</w:t>
      </w:r>
      <w:r>
        <w:rPr>
          <w:rFonts w:hint="eastAsia" w:ascii="仿宋_GB2312" w:hAnsi="仿宋_GB2312" w:eastAsia="仿宋_GB2312" w:cs="仿宋_GB2312"/>
          <w:color w:val="000000"/>
          <w:szCs w:val="32"/>
        </w:rPr>
        <w:t>年底，</w:t>
      </w:r>
      <w:r>
        <w:rPr>
          <w:rFonts w:hint="eastAsia" w:ascii="仿宋_GB2312" w:hAnsi="仿宋_GB2312" w:eastAsia="仿宋_GB2312" w:cs="仿宋_GB2312"/>
          <w:color w:val="000000"/>
          <w:szCs w:val="32"/>
          <w:lang w:eastAsia="zh-CN"/>
        </w:rPr>
        <w:t>我中心</w:t>
      </w:r>
      <w:r>
        <w:rPr>
          <w:rFonts w:hint="eastAsia" w:ascii="仿宋_GB2312" w:hAnsi="仿宋_GB2312" w:eastAsia="仿宋_GB2312" w:cs="仿宋_GB2312"/>
          <w:color w:val="000000"/>
          <w:szCs w:val="32"/>
        </w:rPr>
        <w:t>人员编制</w:t>
      </w:r>
      <w:r>
        <w:rPr>
          <w:rFonts w:hint="eastAsia" w:ascii="仿宋_GB2312" w:hAnsi="仿宋_GB2312" w:eastAsia="仿宋_GB2312" w:cs="仿宋_GB2312"/>
          <w:color w:val="000000"/>
          <w:szCs w:val="32"/>
          <w:lang w:val="en-US" w:eastAsia="zh-CN"/>
        </w:rPr>
        <w:t>30</w:t>
      </w:r>
      <w:r>
        <w:rPr>
          <w:rFonts w:hint="eastAsia" w:ascii="仿宋_GB2312" w:hAnsi="仿宋_GB2312" w:eastAsia="仿宋_GB2312" w:cs="仿宋_GB2312"/>
          <w:color w:val="000000"/>
          <w:szCs w:val="32"/>
        </w:rPr>
        <w:t>人，其中行政编制</w:t>
      </w:r>
      <w:r>
        <w:rPr>
          <w:rFonts w:hint="eastAsia" w:ascii="仿宋_GB2312" w:hAnsi="仿宋_GB2312" w:eastAsia="仿宋_GB2312" w:cs="仿宋_GB2312"/>
          <w:color w:val="000000"/>
          <w:szCs w:val="32"/>
          <w:lang w:val="en-US" w:eastAsia="zh-CN"/>
        </w:rPr>
        <w:t>0</w:t>
      </w:r>
      <w:r>
        <w:rPr>
          <w:rFonts w:hint="eastAsia" w:ascii="仿宋_GB2312" w:hAnsi="仿宋_GB2312" w:eastAsia="仿宋_GB2312" w:cs="仿宋_GB2312"/>
          <w:color w:val="000000"/>
          <w:szCs w:val="32"/>
        </w:rPr>
        <w:t>人、事业编制</w:t>
      </w:r>
      <w:r>
        <w:rPr>
          <w:rFonts w:hint="eastAsia" w:ascii="仿宋_GB2312" w:hAnsi="仿宋_GB2312" w:eastAsia="仿宋_GB2312" w:cs="仿宋_GB2312"/>
          <w:color w:val="000000"/>
          <w:szCs w:val="32"/>
          <w:lang w:val="en-US" w:eastAsia="zh-CN"/>
        </w:rPr>
        <w:t>30</w:t>
      </w:r>
      <w:r>
        <w:rPr>
          <w:rFonts w:hint="eastAsia" w:ascii="仿宋_GB2312" w:hAnsi="仿宋_GB2312" w:eastAsia="仿宋_GB2312" w:cs="仿宋_GB2312"/>
          <w:color w:val="000000"/>
          <w:szCs w:val="32"/>
        </w:rPr>
        <w:t>人；实有人员</w:t>
      </w:r>
      <w:r>
        <w:rPr>
          <w:rFonts w:hint="eastAsia" w:ascii="仿宋_GB2312" w:hAnsi="仿宋_GB2312" w:eastAsia="仿宋_GB2312" w:cs="仿宋_GB2312"/>
          <w:color w:val="000000"/>
          <w:szCs w:val="32"/>
          <w:lang w:val="en-US" w:eastAsia="zh-CN"/>
        </w:rPr>
        <w:t>30</w:t>
      </w:r>
      <w:r>
        <w:rPr>
          <w:rFonts w:hint="eastAsia" w:ascii="仿宋_GB2312" w:hAnsi="仿宋_GB2312" w:eastAsia="仿宋_GB2312" w:cs="仿宋_GB2312"/>
          <w:color w:val="000000"/>
          <w:szCs w:val="32"/>
        </w:rPr>
        <w:t>人，其中行政</w:t>
      </w:r>
      <w:r>
        <w:rPr>
          <w:rFonts w:hint="eastAsia" w:ascii="仿宋_GB2312" w:hAnsi="仿宋_GB2312" w:eastAsia="仿宋_GB2312" w:cs="仿宋_GB2312"/>
          <w:color w:val="000000"/>
          <w:szCs w:val="32"/>
          <w:lang w:val="en-US" w:eastAsia="zh-CN"/>
        </w:rPr>
        <w:t>0</w:t>
      </w:r>
      <w:r>
        <w:rPr>
          <w:rFonts w:hint="eastAsia" w:ascii="仿宋_GB2312" w:hAnsi="仿宋_GB2312" w:eastAsia="仿宋_GB2312" w:cs="仿宋_GB2312"/>
          <w:color w:val="000000"/>
          <w:szCs w:val="32"/>
        </w:rPr>
        <w:t>人、事业</w:t>
      </w:r>
      <w:r>
        <w:rPr>
          <w:rFonts w:hint="eastAsia" w:ascii="仿宋_GB2312" w:hAnsi="仿宋_GB2312" w:eastAsia="仿宋_GB2312" w:cs="仿宋_GB2312"/>
          <w:color w:val="000000"/>
          <w:szCs w:val="32"/>
          <w:lang w:val="en-US" w:eastAsia="zh-CN"/>
        </w:rPr>
        <w:t>30</w:t>
      </w:r>
      <w:r>
        <w:rPr>
          <w:rFonts w:hint="eastAsia" w:ascii="仿宋_GB2312" w:hAnsi="仿宋_GB2312" w:eastAsia="仿宋_GB2312" w:cs="仿宋_GB2312"/>
          <w:color w:val="000000"/>
          <w:szCs w:val="32"/>
        </w:rPr>
        <w:t>人。单位管理</w:t>
      </w:r>
      <w:r>
        <w:rPr>
          <w:rFonts w:hint="eastAsia" w:ascii="仿宋_GB2312" w:hAnsi="仿宋_GB2312" w:eastAsia="仿宋_GB2312" w:cs="仿宋_GB2312"/>
          <w:color w:val="000000" w:themeColor="text1"/>
          <w:szCs w:val="32"/>
          <w14:textFill>
            <w14:solidFill>
              <w14:schemeClr w14:val="tx1"/>
            </w14:solidFill>
          </w14:textFill>
        </w:rPr>
        <w:t>的离退休人员</w:t>
      </w:r>
      <w:r>
        <w:rPr>
          <w:rFonts w:hint="eastAsia" w:ascii="仿宋_GB2312" w:hAnsi="仿宋_GB2312" w:eastAsia="仿宋_GB2312" w:cs="仿宋_GB2312"/>
          <w:color w:val="000000" w:themeColor="text1"/>
          <w:szCs w:val="32"/>
          <w:lang w:val="en-US" w:eastAsia="zh-CN"/>
          <w14:textFill>
            <w14:solidFill>
              <w14:schemeClr w14:val="tx1"/>
            </w14:solidFill>
          </w14:textFill>
        </w:rPr>
        <w:t>1</w:t>
      </w:r>
      <w:r>
        <w:rPr>
          <w:rFonts w:hint="eastAsia" w:ascii="仿宋_GB2312" w:hAnsi="仿宋_GB2312" w:eastAsia="仿宋_GB2312" w:cs="仿宋_GB2312"/>
          <w:color w:val="000000" w:themeColor="text1"/>
          <w:szCs w:val="32"/>
          <w14:textFill>
            <w14:solidFill>
              <w14:schemeClr w14:val="tx1"/>
            </w14:solidFill>
          </w14:textFill>
        </w:rPr>
        <w:t>人。</w:t>
      </w:r>
    </w:p>
    <w:p>
      <w:pPr>
        <w:spacing w:line="560" w:lineRule="exact"/>
        <w:ind w:firstLine="641"/>
        <w:rPr>
          <w:rFonts w:ascii="仿宋_GB2312" w:hAnsi="仿宋_GB2312" w:eastAsia="仿宋_GB2312" w:cs="仿宋_GB2312"/>
          <w:szCs w:val="32"/>
        </w:rPr>
      </w:pPr>
    </w:p>
    <w:p>
      <w:pPr>
        <w:widowControl/>
        <w:jc w:val="center"/>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lang w:eastAsia="zh-CN"/>
        </w:rPr>
      </w:pPr>
    </w:p>
    <w:p>
      <w:pPr>
        <w:widowControl/>
        <w:jc w:val="both"/>
        <w:rPr>
          <w:rFonts w:hint="eastAsia" w:ascii="黑体" w:hAnsi="宋体" w:eastAsia="黑体"/>
          <w:color w:val="000000"/>
          <w:kern w:val="0"/>
          <w:sz w:val="44"/>
          <w:szCs w:val="44"/>
          <w:lang w:eastAsia="zh-CN"/>
        </w:rPr>
      </w:pPr>
      <w:r>
        <w:rPr>
          <w:rFonts w:hint="eastAsia" w:ascii="黑体" w:hAnsi="宋体" w:eastAsia="黑体"/>
          <w:color w:val="000000"/>
          <w:kern w:val="0"/>
          <w:sz w:val="44"/>
          <w:szCs w:val="44"/>
          <w:lang w:eastAsia="zh-CN"/>
        </w:rPr>
        <w:object>
          <v:shape id="_x0000_i1025" o:spt="75" type="#_x0000_t75" style="height:0.05pt;width:0.05pt;" o:ole="t" filled="f" stroked="f" coordsize="21600,21600">
            <v:path/>
            <v:fill on="f" focussize="0,0"/>
            <v:stroke on="f"/>
            <v:imagedata o:title=""/>
            <o:lock v:ext="edit" aspectratio="t"/>
            <w10:wrap type="none"/>
            <w10:anchorlock/>
          </v:shape>
          <o:OLEObject Type="Embed" ProgID="Excel.Chart.8" ShapeID="_x0000_i1025" DrawAspect="Content" ObjectID="_1468075725" r:id="rId6">
            <o:LockedField>false</o:LockedField>
          </o:OLEObject>
        </w:object>
      </w:r>
      <w:r>
        <w:rPr>
          <w:rFonts w:hint="eastAsia" w:ascii="黑体" w:hAnsi="宋体" w:eastAsia="黑体"/>
          <w:color w:val="000000"/>
          <w:kern w:val="0"/>
          <w:sz w:val="44"/>
          <w:szCs w:val="44"/>
          <w:lang w:eastAsia="zh-CN"/>
        </w:rPr>
        <w:drawing>
          <wp:inline distT="0" distB="0" distL="114300" distR="114300">
            <wp:extent cx="5080000" cy="3810000"/>
            <wp:effectExtent l="4445" t="4445" r="5715" b="1079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widowControl/>
        <w:jc w:val="center"/>
        <w:rPr>
          <w:rFonts w:hint="eastAsia" w:ascii="黑体" w:hAnsi="宋体" w:eastAsia="黑体"/>
          <w:color w:val="000000"/>
          <w:kern w:val="0"/>
          <w:sz w:val="44"/>
          <w:szCs w:val="44"/>
        </w:rPr>
      </w:pPr>
    </w:p>
    <w:p>
      <w:pPr>
        <w:widowControl/>
        <w:jc w:val="center"/>
        <w:rPr>
          <w:sz w:val="44"/>
          <w:szCs w:val="44"/>
        </w:rPr>
      </w:pPr>
      <w:r>
        <w:rPr>
          <w:rFonts w:hint="eastAsia" w:ascii="黑体" w:hAnsi="宋体" w:eastAsia="黑体"/>
          <w:color w:val="000000"/>
          <w:kern w:val="0"/>
          <w:sz w:val="44"/>
          <w:szCs w:val="44"/>
        </w:rPr>
        <w:t>第二部分</w:t>
      </w:r>
      <w:r>
        <w:rPr>
          <w:rFonts w:ascii="黑体" w:hAnsi="宋体" w:eastAsia="黑体"/>
          <w:color w:val="000000"/>
          <w:kern w:val="0"/>
          <w:sz w:val="44"/>
          <w:szCs w:val="44"/>
        </w:rPr>
        <w:t xml:space="preserve"> 2019</w:t>
      </w:r>
      <w:r>
        <w:rPr>
          <w:rFonts w:hint="eastAsia" w:ascii="黑体" w:hAnsi="宋体" w:eastAsia="黑体"/>
          <w:color w:val="000000"/>
          <w:kern w:val="0"/>
          <w:sz w:val="44"/>
          <w:szCs w:val="44"/>
        </w:rPr>
        <w:t>年度部门决算表</w:t>
      </w:r>
    </w:p>
    <w:tbl>
      <w:tblPr>
        <w:tblStyle w:val="5"/>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1</w:t>
            </w:r>
          </w:p>
        </w:tc>
        <w:tc>
          <w:tcPr>
            <w:tcW w:w="62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eastAsia="宋体" w:cs="宋体"/>
                <w:color w:val="000000"/>
                <w:sz w:val="24"/>
                <w:lang w:eastAsia="zh-CN"/>
              </w:rPr>
            </w:pPr>
            <w:r>
              <w:rPr>
                <w:rFonts w:hint="eastAsia" w:ascii="宋体" w:eastAsia="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2</w:t>
            </w:r>
          </w:p>
        </w:tc>
        <w:tc>
          <w:tcPr>
            <w:tcW w:w="62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eastAsia="宋体" w:cs="宋体"/>
                <w:color w:val="000000"/>
                <w:sz w:val="24"/>
                <w:lang w:eastAsia="zh-CN"/>
              </w:rPr>
            </w:pPr>
            <w:r>
              <w:rPr>
                <w:rFonts w:hint="eastAsia" w:ascii="宋体" w:eastAsia="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3</w:t>
            </w:r>
          </w:p>
        </w:tc>
        <w:tc>
          <w:tcPr>
            <w:tcW w:w="62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eastAsia="宋体" w:cs="宋体"/>
                <w:color w:val="000000"/>
                <w:sz w:val="24"/>
                <w:lang w:eastAsia="zh-CN"/>
              </w:rPr>
            </w:pPr>
            <w:r>
              <w:rPr>
                <w:rFonts w:hint="eastAsia" w:ascii="宋体" w:eastAsia="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4</w:t>
            </w:r>
          </w:p>
        </w:tc>
        <w:tc>
          <w:tcPr>
            <w:tcW w:w="62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eastAsia="宋体" w:cs="宋体"/>
                <w:color w:val="000000"/>
                <w:sz w:val="24"/>
                <w:lang w:eastAsia="zh-CN"/>
              </w:rPr>
            </w:pPr>
            <w:r>
              <w:rPr>
                <w:rFonts w:hint="eastAsia" w:ascii="宋体" w:eastAsia="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5</w:t>
            </w:r>
          </w:p>
        </w:tc>
        <w:tc>
          <w:tcPr>
            <w:tcW w:w="62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rPr>
                <w:rFonts w:ascii="宋体" w:eastAsia="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eastAsia="宋体" w:cs="宋体"/>
                <w:color w:val="000000"/>
                <w:sz w:val="24"/>
                <w:lang w:eastAsia="zh-CN"/>
              </w:rPr>
            </w:pPr>
            <w:r>
              <w:rPr>
                <w:rFonts w:hint="eastAsia" w:ascii="宋体" w:eastAsia="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6</w:t>
            </w:r>
          </w:p>
        </w:tc>
        <w:tc>
          <w:tcPr>
            <w:tcW w:w="62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一般公共预算财政拨款基本支出决算表</w:t>
            </w:r>
            <w:r>
              <w:rPr>
                <w:rFonts w:ascii="宋体" w:hAnsi="宋体" w:cs="宋体"/>
                <w:color w:val="000000"/>
                <w:kern w:val="0"/>
                <w:sz w:val="21"/>
                <w:szCs w:val="21"/>
              </w:rPr>
              <w:t xml:space="preserve"> </w:t>
            </w:r>
            <w:r>
              <w:rPr>
                <w:rFonts w:hint="eastAsia" w:ascii="宋体" w:hAnsi="宋体" w:cs="宋体"/>
                <w:color w:val="000000"/>
                <w:kern w:val="0"/>
                <w:sz w:val="21"/>
                <w:szCs w:val="21"/>
              </w:rPr>
              <w:t>（按经济分类科目）</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eastAsia="宋体" w:cs="宋体"/>
                <w:color w:val="000000"/>
                <w:sz w:val="24"/>
                <w:lang w:eastAsia="zh-CN"/>
              </w:rPr>
            </w:pPr>
            <w:r>
              <w:rPr>
                <w:rFonts w:hint="eastAsia" w:ascii="宋体" w:eastAsia="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7</w:t>
            </w:r>
          </w:p>
        </w:tc>
        <w:tc>
          <w:tcPr>
            <w:tcW w:w="6240"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jc w:val="left"/>
              <w:textAlignment w:val="center"/>
              <w:rPr>
                <w:rFonts w:ascii="宋体" w:eastAsia="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宋体" w:eastAsia="宋体" w:cs="宋体"/>
                <w:color w:val="000000"/>
                <w:sz w:val="24"/>
                <w:lang w:eastAsia="zh-CN"/>
              </w:rPr>
            </w:pPr>
            <w:r>
              <w:rPr>
                <w:rFonts w:hint="eastAsia" w:ascii="宋体" w:eastAsia="宋体" w:cs="宋体"/>
                <w:color w:val="000000"/>
                <w:sz w:val="24"/>
                <w:lang w:eastAsia="zh-CN"/>
              </w:rPr>
              <w:t>否</w:t>
            </w:r>
          </w:p>
        </w:tc>
        <w:tc>
          <w:tcPr>
            <w:tcW w:w="1740"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8</w:t>
            </w:r>
          </w:p>
        </w:tc>
        <w:tc>
          <w:tcPr>
            <w:tcW w:w="62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政府性基金预算财政拨款收入支出</w:t>
            </w:r>
          </w:p>
          <w:p>
            <w:pPr>
              <w:widowControl/>
              <w:jc w:val="left"/>
              <w:rPr>
                <w:rFonts w:ascii="宋体" w:eastAsia="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eastAsia="宋体" w:cs="宋体"/>
                <w:color w:val="000000"/>
                <w:sz w:val="24"/>
                <w:lang w:eastAsia="zh-CN"/>
              </w:rPr>
            </w:pPr>
            <w:r>
              <w:rPr>
                <w:rFonts w:hint="eastAsia" w:ascii="宋体" w:eastAsia="宋体" w:cs="宋体"/>
                <w:color w:val="000000"/>
                <w:sz w:val="24"/>
                <w:lang w:eastAsia="zh-CN"/>
              </w:rPr>
              <w:t>是</w:t>
            </w:r>
          </w:p>
        </w:tc>
        <w:tc>
          <w:tcPr>
            <w:tcW w:w="17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eastAsia="宋体" w:cs="宋体"/>
                <w:color w:val="000000"/>
                <w:sz w:val="24"/>
                <w:lang w:val="en-US" w:eastAsia="zh-CN"/>
              </w:rPr>
            </w:pPr>
            <w:r>
              <w:rPr>
                <w:rFonts w:hint="eastAsia" w:ascii="宋体" w:eastAsia="宋体" w:cs="宋体"/>
                <w:color w:val="000000"/>
                <w:sz w:val="24"/>
                <w:lang w:val="en-US" w:eastAsia="zh-CN"/>
              </w:rPr>
              <w:t>无政府性基金预算财政拨款收入</w:t>
            </w:r>
          </w:p>
        </w:tc>
      </w:tr>
    </w:tbl>
    <w:p>
      <w:pPr>
        <w:widowControl/>
        <w:rPr>
          <w:rFonts w:ascii="黑体" w:hAnsi="宋体" w:eastAsia="黑体"/>
          <w:color w:val="000000"/>
          <w:kern w:val="0"/>
          <w:sz w:val="44"/>
          <w:szCs w:val="44"/>
        </w:rPr>
      </w:pPr>
    </w:p>
    <w:p>
      <w:pPr>
        <w:widowControl/>
        <w:rPr>
          <w:rFonts w:ascii="黑体" w:hAnsi="宋体" w:eastAsia="黑体"/>
          <w:color w:val="000000"/>
          <w:kern w:val="0"/>
          <w:sz w:val="44"/>
          <w:szCs w:val="44"/>
        </w:rPr>
      </w:pPr>
    </w:p>
    <w:p>
      <w:pPr>
        <w:widowControl/>
        <w:jc w:val="center"/>
        <w:textAlignment w:val="center"/>
        <w:rPr>
          <w:rFonts w:ascii="宋体" w:eastAsia="宋体" w:cs="宋体"/>
          <w:b/>
          <w:color w:val="000000"/>
          <w:kern w:val="0"/>
          <w:sz w:val="40"/>
          <w:szCs w:val="40"/>
        </w:rPr>
      </w:pPr>
      <w:r>
        <w:rPr>
          <w:rFonts w:ascii="宋体" w:eastAsia="宋体" w:cs="宋体"/>
          <w:b/>
          <w:color w:val="000000"/>
          <w:kern w:val="0"/>
          <w:sz w:val="40"/>
          <w:szCs w:val="40"/>
        </w:rPr>
        <w:br w:type="page"/>
      </w:r>
    </w:p>
    <w:p>
      <w:pPr>
        <w:jc w:val="center"/>
        <w:rPr>
          <w:rFonts w:ascii="宋体" w:hAnsi="宋体" w:eastAsia="宋体" w:cs="宋体"/>
          <w:b/>
          <w:bCs/>
          <w:szCs w:val="32"/>
        </w:rPr>
      </w:pPr>
      <w:r>
        <w:rPr>
          <w:rFonts w:hint="eastAsia" w:ascii="宋体" w:hAnsi="宋体" w:eastAsia="宋体" w:cs="宋体"/>
          <w:b/>
          <w:bCs/>
          <w:szCs w:val="32"/>
        </w:rPr>
        <w:t>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01</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：西安市阎良区妇幼保健计划生育服务中心</w:t>
      </w:r>
      <w:r>
        <w:rPr>
          <w:rFonts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金额单位：万元</w:t>
      </w:r>
    </w:p>
    <w:tbl>
      <w:tblPr>
        <w:tblStyle w:val="5"/>
        <w:tblW w:w="8884" w:type="dxa"/>
        <w:tblInd w:w="0" w:type="dxa"/>
        <w:tblLayout w:type="fixed"/>
        <w:tblCellMar>
          <w:top w:w="15" w:type="dxa"/>
          <w:left w:w="15" w:type="dxa"/>
          <w:bottom w:w="15" w:type="dxa"/>
          <w:right w:w="15" w:type="dxa"/>
        </w:tblCellMar>
      </w:tblPr>
      <w:tblGrid>
        <w:gridCol w:w="3388"/>
        <w:gridCol w:w="1080"/>
        <w:gridCol w:w="3090"/>
        <w:gridCol w:w="1326"/>
      </w:tblGrid>
      <w:tr>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入</w:t>
            </w:r>
          </w:p>
        </w:tc>
        <w:tc>
          <w:tcPr>
            <w:tcW w:w="441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出</w:t>
            </w:r>
          </w:p>
        </w:tc>
      </w:tr>
      <w:tr>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1</w:t>
            </w:r>
            <w:r>
              <w:rPr>
                <w:rFonts w:hint="eastAsia" w:ascii="宋体" w:hAnsi="宋体" w:eastAsia="宋体" w:cs="宋体"/>
                <w:color w:val="000000"/>
                <w:kern w:val="0"/>
                <w:sz w:val="20"/>
              </w:rPr>
              <w:t>、一般公共预算财政拨款</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1010.31</w:t>
            </w: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w:t>
            </w:r>
            <w:r>
              <w:rPr>
                <w:rFonts w:hint="eastAsia" w:ascii="宋体" w:hAnsi="宋体" w:eastAsia="宋体" w:cs="宋体"/>
                <w:color w:val="000000"/>
                <w:kern w:val="0"/>
                <w:sz w:val="21"/>
                <w:szCs w:val="21"/>
              </w:rPr>
              <w:t>、一般公共服务支出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2</w:t>
            </w:r>
            <w:r>
              <w:rPr>
                <w:rFonts w:hint="eastAsia" w:ascii="宋体" w:hAnsi="宋体" w:eastAsia="宋体" w:cs="宋体"/>
                <w:color w:val="000000"/>
                <w:kern w:val="0"/>
                <w:sz w:val="20"/>
              </w:rPr>
              <w:t>、政府性基金预算财政拨款</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2</w:t>
            </w:r>
            <w:r>
              <w:rPr>
                <w:rFonts w:hint="eastAsia" w:ascii="宋体" w:hAnsi="宋体" w:eastAsia="宋体" w:cs="宋体"/>
                <w:color w:val="000000"/>
                <w:kern w:val="0"/>
                <w:sz w:val="21"/>
                <w:szCs w:val="21"/>
              </w:rPr>
              <w:t>、外交支出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3</w:t>
            </w:r>
            <w:r>
              <w:rPr>
                <w:rFonts w:hint="eastAsia" w:ascii="宋体" w:hAnsi="宋体" w:eastAsia="宋体" w:cs="宋体"/>
                <w:color w:val="000000"/>
                <w:kern w:val="0"/>
                <w:sz w:val="20"/>
              </w:rPr>
              <w:t>、国有资本经营预算财政拨款</w:t>
            </w:r>
            <w:r>
              <w:rPr>
                <w:rFonts w:ascii="宋体" w:hAnsi="宋体" w:eastAsia="宋体" w:cs="宋体"/>
                <w:color w:val="000000"/>
                <w:kern w:val="0"/>
                <w:sz w:val="20"/>
              </w:rPr>
              <w:t xml:space="preserve"> </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3</w:t>
            </w:r>
            <w:r>
              <w:rPr>
                <w:rFonts w:hint="eastAsia" w:ascii="宋体" w:hAnsi="宋体" w:eastAsia="宋体" w:cs="宋体"/>
                <w:color w:val="000000"/>
                <w:kern w:val="0"/>
                <w:sz w:val="21"/>
                <w:szCs w:val="21"/>
              </w:rPr>
              <w:t>、国防支出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4</w:t>
            </w:r>
            <w:r>
              <w:rPr>
                <w:rFonts w:hint="eastAsia" w:ascii="宋体" w:hAnsi="宋体" w:eastAsia="宋体" w:cs="宋体"/>
                <w:color w:val="000000"/>
                <w:kern w:val="0"/>
                <w:sz w:val="20"/>
              </w:rPr>
              <w:t>、上级补助收入</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4</w:t>
            </w:r>
            <w:r>
              <w:rPr>
                <w:rFonts w:hint="eastAsia" w:ascii="宋体" w:hAnsi="宋体" w:eastAsia="宋体" w:cs="宋体"/>
                <w:color w:val="000000"/>
                <w:kern w:val="0"/>
                <w:sz w:val="21"/>
                <w:szCs w:val="21"/>
              </w:rPr>
              <w:t>、公共安全支出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5</w:t>
            </w:r>
            <w:r>
              <w:rPr>
                <w:rFonts w:hint="eastAsia" w:ascii="宋体" w:hAnsi="宋体" w:eastAsia="宋体" w:cs="宋体"/>
                <w:color w:val="000000"/>
                <w:kern w:val="0"/>
                <w:sz w:val="20"/>
              </w:rPr>
              <w:t>、事业收入</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5</w:t>
            </w:r>
            <w:r>
              <w:rPr>
                <w:rFonts w:hint="eastAsia" w:ascii="宋体" w:hAnsi="宋体" w:eastAsia="宋体" w:cs="宋体"/>
                <w:color w:val="000000"/>
                <w:kern w:val="0"/>
                <w:sz w:val="21"/>
                <w:szCs w:val="21"/>
              </w:rPr>
              <w:t>、教育支出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6</w:t>
            </w:r>
            <w:r>
              <w:rPr>
                <w:rFonts w:hint="eastAsia" w:ascii="宋体" w:hAnsi="宋体" w:eastAsia="宋体" w:cs="宋体"/>
                <w:color w:val="000000"/>
                <w:kern w:val="0"/>
                <w:sz w:val="20"/>
              </w:rPr>
              <w:t>、经营收入</w:t>
            </w:r>
          </w:p>
        </w:tc>
        <w:tc>
          <w:tcPr>
            <w:tcW w:w="1080" w:type="dxa"/>
            <w:tcBorders>
              <w:top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6</w:t>
            </w:r>
            <w:r>
              <w:rPr>
                <w:rFonts w:hint="eastAsia" w:ascii="宋体" w:hAnsi="宋体" w:eastAsia="宋体" w:cs="宋体"/>
                <w:color w:val="000000"/>
                <w:kern w:val="0"/>
                <w:sz w:val="21"/>
                <w:szCs w:val="21"/>
              </w:rPr>
              <w:t>、科学技术支出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7</w:t>
            </w:r>
            <w:r>
              <w:rPr>
                <w:rFonts w:hint="eastAsia" w:ascii="宋体" w:hAnsi="宋体" w:eastAsia="宋体" w:cs="宋体"/>
                <w:color w:val="000000"/>
                <w:kern w:val="0"/>
                <w:sz w:val="20"/>
              </w:rPr>
              <w:t>、附属单位上缴收入</w:t>
            </w:r>
          </w:p>
        </w:tc>
        <w:tc>
          <w:tcPr>
            <w:tcW w:w="1080" w:type="dxa"/>
            <w:tcBorders>
              <w:top w:val="single" w:color="000000" w:sz="4" w:space="0"/>
              <w:bottom w:val="single" w:color="000000" w:sz="4" w:space="0"/>
              <w:right w:val="single" w:color="000000" w:sz="4" w:space="0"/>
            </w:tcBorders>
            <w:noWrap w:val="0"/>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7</w:t>
            </w:r>
            <w:r>
              <w:rPr>
                <w:rFonts w:hint="eastAsia" w:ascii="宋体" w:hAnsi="宋体" w:eastAsia="宋体" w:cs="宋体"/>
                <w:color w:val="000000"/>
                <w:kern w:val="0"/>
                <w:sz w:val="21"/>
                <w:szCs w:val="21"/>
              </w:rPr>
              <w:t>、文化旅游体育与传媒支出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8</w:t>
            </w:r>
            <w:r>
              <w:rPr>
                <w:rFonts w:hint="eastAsia" w:ascii="宋体" w:hAnsi="宋体" w:eastAsia="宋体" w:cs="宋体"/>
                <w:color w:val="000000"/>
                <w:kern w:val="0"/>
                <w:sz w:val="20"/>
              </w:rPr>
              <w:t>、其他收入</w:t>
            </w:r>
          </w:p>
        </w:tc>
        <w:tc>
          <w:tcPr>
            <w:tcW w:w="1080" w:type="dxa"/>
            <w:tcBorders>
              <w:top w:val="single" w:color="000000" w:sz="4" w:space="0"/>
              <w:bottom w:val="single" w:color="000000" w:sz="4" w:space="0"/>
              <w:right w:val="single" w:color="000000" w:sz="4" w:space="0"/>
            </w:tcBorders>
            <w:noWrap w:val="0"/>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8</w:t>
            </w:r>
            <w:r>
              <w:rPr>
                <w:rFonts w:hint="eastAsia" w:ascii="宋体" w:hAnsi="宋体" w:eastAsia="宋体" w:cs="宋体"/>
                <w:color w:val="000000"/>
                <w:kern w:val="0"/>
                <w:sz w:val="21"/>
                <w:szCs w:val="21"/>
              </w:rPr>
              <w:t>、社会保障和就业支出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noWrap w:val="0"/>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9</w:t>
            </w:r>
            <w:r>
              <w:rPr>
                <w:rFonts w:hint="eastAsia" w:ascii="宋体" w:hAnsi="宋体" w:eastAsia="宋体" w:cs="宋体"/>
                <w:color w:val="000000"/>
                <w:kern w:val="0"/>
                <w:sz w:val="21"/>
                <w:szCs w:val="21"/>
              </w:rPr>
              <w:t>、卫生健康支出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835.30</w:t>
            </w:r>
          </w:p>
        </w:tc>
      </w:tr>
      <w:tr>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10</w:t>
            </w:r>
            <w:r>
              <w:rPr>
                <w:rFonts w:hint="eastAsia" w:ascii="宋体" w:hAnsi="宋体" w:eastAsia="宋体" w:cs="宋体"/>
                <w:color w:val="000000"/>
                <w:kern w:val="0"/>
                <w:sz w:val="21"/>
                <w:szCs w:val="21"/>
              </w:rPr>
              <w:t>、节能环保支出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11</w:t>
            </w:r>
            <w:r>
              <w:rPr>
                <w:rFonts w:hint="eastAsia" w:ascii="宋体" w:hAnsi="宋体" w:eastAsia="宋体" w:cs="宋体"/>
                <w:color w:val="000000"/>
                <w:kern w:val="0"/>
                <w:sz w:val="21"/>
                <w:szCs w:val="21"/>
              </w:rPr>
              <w:t>、城乡社区支出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12</w:t>
            </w:r>
            <w:r>
              <w:rPr>
                <w:rFonts w:hint="eastAsia" w:ascii="宋体" w:hAnsi="宋体" w:eastAsia="宋体" w:cs="宋体"/>
                <w:color w:val="000000"/>
                <w:kern w:val="0"/>
                <w:sz w:val="21"/>
                <w:szCs w:val="21"/>
              </w:rPr>
              <w:t>、农林水支出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13</w:t>
            </w:r>
            <w:r>
              <w:rPr>
                <w:rFonts w:hint="eastAsia" w:ascii="宋体" w:hAnsi="宋体" w:eastAsia="宋体" w:cs="宋体"/>
                <w:color w:val="000000"/>
                <w:kern w:val="0"/>
                <w:sz w:val="21"/>
                <w:szCs w:val="21"/>
              </w:rPr>
              <w:t>、交通运输支出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14</w:t>
            </w:r>
            <w:r>
              <w:rPr>
                <w:rFonts w:hint="eastAsia" w:ascii="宋体" w:hAnsi="宋体" w:eastAsia="宋体" w:cs="宋体"/>
                <w:color w:val="000000"/>
                <w:kern w:val="0"/>
                <w:sz w:val="21"/>
                <w:szCs w:val="21"/>
              </w:rPr>
              <w:t>、资源勘探信息等支出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15</w:t>
            </w:r>
            <w:r>
              <w:rPr>
                <w:rFonts w:hint="eastAsia" w:ascii="宋体" w:hAnsi="宋体" w:eastAsia="宋体" w:cs="宋体"/>
                <w:color w:val="000000"/>
                <w:kern w:val="0"/>
                <w:sz w:val="21"/>
                <w:szCs w:val="21"/>
              </w:rPr>
              <w:t>、商业服务业等支出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16</w:t>
            </w:r>
            <w:r>
              <w:rPr>
                <w:rFonts w:hint="eastAsia" w:ascii="宋体" w:hAnsi="宋体" w:eastAsia="宋体" w:cs="宋体"/>
                <w:color w:val="000000"/>
                <w:kern w:val="0"/>
                <w:sz w:val="21"/>
                <w:szCs w:val="21"/>
              </w:rPr>
              <w:t>、金融支出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17</w:t>
            </w:r>
            <w:r>
              <w:rPr>
                <w:rFonts w:hint="eastAsia" w:ascii="宋体" w:hAnsi="宋体" w:eastAsia="宋体" w:cs="宋体"/>
                <w:color w:val="000000"/>
                <w:kern w:val="0"/>
                <w:sz w:val="21"/>
                <w:szCs w:val="21"/>
              </w:rPr>
              <w:t>、援助其他地区支出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18</w:t>
            </w:r>
            <w:r>
              <w:rPr>
                <w:rFonts w:hint="eastAsia" w:ascii="宋体" w:hAnsi="宋体" w:eastAsia="宋体" w:cs="宋体"/>
                <w:color w:val="000000"/>
                <w:kern w:val="0"/>
                <w:sz w:val="21"/>
                <w:szCs w:val="21"/>
              </w:rPr>
              <w:t>、自然资源海洋气象等支出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19</w:t>
            </w:r>
            <w:r>
              <w:rPr>
                <w:rFonts w:hint="eastAsia" w:ascii="宋体" w:hAnsi="宋体" w:eastAsia="宋体" w:cs="宋体"/>
                <w:color w:val="000000"/>
                <w:kern w:val="0"/>
                <w:sz w:val="21"/>
                <w:szCs w:val="21"/>
              </w:rPr>
              <w:t>、住房保障支出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20</w:t>
            </w:r>
            <w:r>
              <w:rPr>
                <w:rFonts w:hint="eastAsia" w:ascii="宋体" w:hAnsi="宋体" w:eastAsia="宋体" w:cs="宋体"/>
                <w:color w:val="000000"/>
                <w:kern w:val="0"/>
                <w:sz w:val="21"/>
                <w:szCs w:val="21"/>
              </w:rPr>
              <w:t>、粮油物资储备支出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21</w:t>
            </w:r>
            <w:r>
              <w:rPr>
                <w:rFonts w:hint="eastAsia" w:ascii="宋体" w:hAnsi="宋体" w:eastAsia="宋体" w:cs="宋体"/>
                <w:color w:val="000000"/>
                <w:kern w:val="0"/>
                <w:sz w:val="21"/>
                <w:szCs w:val="21"/>
              </w:rPr>
              <w:t>、灾害防治及应急管理支出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ind w:firstLine="210" w:firstLineChars="100"/>
              <w:jc w:val="left"/>
              <w:textAlignment w:val="center"/>
              <w:rPr>
                <w:rFonts w:ascii="宋体" w:hAnsi="宋体" w:eastAsia="宋体" w:cs="宋体"/>
                <w:color w:val="000000"/>
                <w:kern w:val="0"/>
                <w:sz w:val="21"/>
                <w:szCs w:val="21"/>
              </w:rPr>
            </w:pPr>
            <w:r>
              <w:rPr>
                <w:rFonts w:ascii="宋体" w:hAnsi="宋体" w:eastAsia="宋体" w:cs="宋体"/>
                <w:color w:val="000000"/>
                <w:kern w:val="0"/>
                <w:sz w:val="21"/>
                <w:szCs w:val="21"/>
              </w:rPr>
              <w:t>22</w:t>
            </w:r>
            <w:r>
              <w:rPr>
                <w:rFonts w:hint="eastAsia" w:ascii="宋体" w:hAnsi="宋体" w:eastAsia="宋体" w:cs="宋体"/>
                <w:color w:val="000000"/>
                <w:kern w:val="0"/>
                <w:sz w:val="21"/>
                <w:szCs w:val="21"/>
              </w:rPr>
              <w:t>、其他支出</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noWrap w:val="0"/>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1010.31</w:t>
            </w:r>
          </w:p>
        </w:tc>
        <w:tc>
          <w:tcPr>
            <w:tcW w:w="3090" w:type="dxa"/>
            <w:tcBorders>
              <w:top w:val="single" w:color="000000" w:sz="4" w:space="0"/>
              <w:left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noWrap w:val="0"/>
            <w:vAlign w:val="center"/>
          </w:tcPr>
          <w:p>
            <w:pP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872.90</w:t>
            </w:r>
          </w:p>
        </w:tc>
      </w:tr>
      <w:tr>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结余分配</w:t>
            </w:r>
            <w:r>
              <w:rPr>
                <w:rFonts w:ascii="宋体" w:hAnsi="宋体" w:eastAsia="宋体" w:cs="宋体"/>
                <w:bCs/>
                <w:color w:val="000000"/>
                <w:kern w:val="0"/>
                <w:sz w:val="21"/>
                <w:szCs w:val="21"/>
              </w:rPr>
              <w:t xml:space="preserve"> </w:t>
            </w:r>
          </w:p>
        </w:tc>
        <w:tc>
          <w:tcPr>
            <w:tcW w:w="1326"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137.41</w:t>
            </w:r>
          </w:p>
        </w:tc>
      </w:tr>
      <w:tr>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1010.31</w:t>
            </w:r>
          </w:p>
        </w:tc>
        <w:tc>
          <w:tcPr>
            <w:tcW w:w="30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1010.31</w:t>
            </w:r>
          </w:p>
        </w:tc>
      </w:tr>
    </w:tbl>
    <w:p>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收入决算表</w:t>
      </w:r>
    </w:p>
    <w:p>
      <w:pPr>
        <w:jc w:val="right"/>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02</w:t>
      </w:r>
      <w:r>
        <w:rPr>
          <w:rFonts w:hint="eastAsia" w:ascii="宋体" w:hAnsi="宋体" w:eastAsia="宋体" w:cs="宋体"/>
          <w:b/>
          <w:bCs/>
          <w:sz w:val="21"/>
          <w:szCs w:val="21"/>
        </w:rPr>
        <w:t>表</w:t>
      </w:r>
    </w:p>
    <w:p>
      <w:pPr>
        <w:rPr>
          <w:rFonts w:ascii="宋体" w:hAnsi="宋体" w:eastAsia="宋体" w:cs="宋体"/>
          <w:b/>
          <w:bCs/>
          <w:sz w:val="48"/>
          <w:szCs w:val="48"/>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西安市阎良区妇幼保健计划生育服务中心</w:t>
      </w:r>
      <w:r>
        <w:rPr>
          <w:rFonts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5"/>
        <w:tblW w:w="8867" w:type="dxa"/>
        <w:tblInd w:w="0" w:type="dxa"/>
        <w:tblLayout w:type="fixed"/>
        <w:tblCellMar>
          <w:top w:w="15" w:type="dxa"/>
          <w:left w:w="15" w:type="dxa"/>
          <w:bottom w:w="15" w:type="dxa"/>
          <w:right w:w="15" w:type="dxa"/>
        </w:tblCellMar>
      </w:tblPr>
      <w:tblGrid>
        <w:gridCol w:w="927"/>
        <w:gridCol w:w="699"/>
        <w:gridCol w:w="911"/>
        <w:gridCol w:w="870"/>
        <w:gridCol w:w="720"/>
        <w:gridCol w:w="720"/>
        <w:gridCol w:w="1470"/>
        <w:gridCol w:w="750"/>
        <w:gridCol w:w="990"/>
        <w:gridCol w:w="810"/>
      </w:tblGrid>
      <w:tr>
        <w:tblPrEx>
          <w:tblCellMar>
            <w:top w:w="15" w:type="dxa"/>
            <w:left w:w="15" w:type="dxa"/>
            <w:bottom w:w="15" w:type="dxa"/>
            <w:right w:w="15" w:type="dxa"/>
          </w:tblCellMar>
        </w:tblPrEx>
        <w:trPr>
          <w:trHeight w:val="439" w:hRule="atLeast"/>
        </w:trPr>
        <w:tc>
          <w:tcPr>
            <w:tcW w:w="162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91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87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21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75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81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tblPrEx>
          <w:tblCellMar>
            <w:top w:w="15" w:type="dxa"/>
            <w:left w:w="15" w:type="dxa"/>
            <w:bottom w:w="15" w:type="dxa"/>
            <w:right w:w="15" w:type="dxa"/>
          </w:tblCellMar>
        </w:tblPrEx>
        <w:trPr>
          <w:trHeight w:val="1125" w:hRule="atLeast"/>
        </w:trPr>
        <w:tc>
          <w:tcPr>
            <w:tcW w:w="927" w:type="dxa"/>
            <w:tcBorders>
              <w:top w:val="single" w:color="000000" w:sz="4" w:space="0"/>
              <w:left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699" w:type="dxa"/>
            <w:tcBorders>
              <w:top w:val="single" w:color="000000" w:sz="4" w:space="0"/>
              <w:left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91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w:t>
            </w:r>
          </w:p>
          <w:p>
            <w:pPr>
              <w:ind w:firstLine="843" w:firstLineChars="400"/>
              <w:rPr>
                <w:rFonts w:ascii="宋体" w:hAnsi="宋体" w:eastAsia="宋体" w:cs="宋体"/>
                <w:b/>
                <w:color w:val="000000"/>
                <w:sz w:val="21"/>
                <w:szCs w:val="21"/>
              </w:rPr>
            </w:pPr>
            <w:r>
              <w:rPr>
                <w:rFonts w:hint="eastAsia" w:ascii="宋体" w:hAnsi="宋体" w:eastAsia="宋体" w:cs="宋体"/>
                <w:b/>
                <w:color w:val="000000"/>
                <w:sz w:val="21"/>
                <w:szCs w:val="21"/>
              </w:rPr>
              <w:t>收费</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9" w:hRule="atLeast"/>
        </w:trPr>
        <w:tc>
          <w:tcPr>
            <w:tcW w:w="162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1010.31</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1010.31</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社会保障和就业支出</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行政事业单位离退休</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2080505</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机关事业单位基本养老保险缴费支出</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卫生健康支出</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972.71</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972.71</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21004</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公共卫生</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895.35</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895.35</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2100403</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妇幼保健机构</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370.77</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370.77</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2100408</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基本公共卫生服务</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81.74</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81.74</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2100409</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重大公共卫生专项</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275.54</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275.54</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2100499</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其他公共卫生支出</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167.30</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167.30</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21007</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计划生育事务</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69.02</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69.02</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2100716</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计划生育机构</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8.47</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8.47</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2100717</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计划生育服务</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28.50</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28.50</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2100799</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其他计划生育事务支出</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32.05</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32.05</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行政事业单位医疗</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8.34</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8.34</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2101102</w:t>
            </w:r>
          </w:p>
        </w:tc>
        <w:tc>
          <w:tcPr>
            <w:tcW w:w="69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事业单位医疗</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8.34</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8.34</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
    <w:p/>
    <w:p/>
    <w:p/>
    <w:p/>
    <w:p/>
    <w:p/>
    <w:p/>
    <w:p/>
    <w:p/>
    <w:p/>
    <w:p>
      <w:pPr>
        <w:jc w:val="center"/>
        <w:rPr>
          <w:rFonts w:hint="eastAsia" w:ascii="宋体" w:hAnsi="宋体" w:eastAsia="宋体" w:cs="宋体"/>
          <w:b/>
          <w:bCs/>
          <w:szCs w:val="32"/>
        </w:rPr>
      </w:pPr>
    </w:p>
    <w:p>
      <w:pPr>
        <w:jc w:val="center"/>
        <w:rPr>
          <w:rFonts w:hint="eastAsia" w:ascii="宋体" w:hAnsi="宋体" w:eastAsia="宋体" w:cs="宋体"/>
          <w:b/>
          <w:bCs/>
          <w:szCs w:val="32"/>
        </w:rPr>
      </w:pPr>
    </w:p>
    <w:p>
      <w:pPr>
        <w:jc w:val="center"/>
        <w:rPr>
          <w:rFonts w:hint="eastAsia" w:ascii="宋体" w:hAnsi="宋体" w:eastAsia="宋体" w:cs="宋体"/>
          <w:b/>
          <w:bCs/>
          <w:szCs w:val="32"/>
        </w:rPr>
      </w:pPr>
    </w:p>
    <w:p>
      <w:pPr>
        <w:jc w:val="center"/>
        <w:rPr>
          <w:rFonts w:ascii="宋体" w:hAnsi="宋体" w:eastAsia="宋体" w:cs="宋体"/>
          <w:b/>
          <w:bCs/>
          <w:szCs w:val="32"/>
        </w:rPr>
      </w:pPr>
      <w:r>
        <w:rPr>
          <w:rFonts w:hint="eastAsia" w:ascii="宋体" w:hAnsi="宋体" w:eastAsia="宋体" w:cs="宋体"/>
          <w:b/>
          <w:bCs/>
          <w:szCs w:val="32"/>
        </w:rPr>
        <w:t>支出决算表</w:t>
      </w:r>
    </w:p>
    <w:p>
      <w:pPr>
        <w:jc w:val="right"/>
        <w:rPr>
          <w:rFonts w:ascii="宋体" w:hAnsi="宋体" w:eastAsia="宋体" w:cs="宋体"/>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03</w:t>
      </w:r>
      <w:r>
        <w:rPr>
          <w:rFonts w:hint="eastAsia" w:ascii="宋体" w:hAnsi="宋体" w:eastAsia="宋体" w:cs="宋体"/>
          <w:b/>
          <w:bCs/>
          <w:sz w:val="21"/>
          <w:szCs w:val="21"/>
        </w:rPr>
        <w:t>表</w:t>
      </w:r>
    </w:p>
    <w:p>
      <w:pPr>
        <w:rPr>
          <w:rFonts w:ascii="宋体" w:hAnsi="宋体" w:eastAsia="宋体" w:cs="宋体"/>
          <w:b/>
          <w:bCs/>
          <w:sz w:val="48"/>
          <w:szCs w:val="48"/>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西安市阎良区妇幼保健计划生育服务中心</w:t>
      </w:r>
      <w:r>
        <w:rPr>
          <w:rFonts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金额单位：万元</w:t>
      </w:r>
    </w:p>
    <w:tbl>
      <w:tblPr>
        <w:tblStyle w:val="5"/>
        <w:tblW w:w="8896" w:type="dxa"/>
        <w:tblInd w:w="0" w:type="dxa"/>
        <w:tblLayout w:type="fixed"/>
        <w:tblCellMar>
          <w:top w:w="15" w:type="dxa"/>
          <w:left w:w="15" w:type="dxa"/>
          <w:bottom w:w="15" w:type="dxa"/>
          <w:right w:w="15" w:type="dxa"/>
        </w:tblCellMar>
      </w:tblPr>
      <w:tblGrid>
        <w:gridCol w:w="914"/>
        <w:gridCol w:w="83"/>
        <w:gridCol w:w="1219"/>
        <w:gridCol w:w="1255"/>
        <w:gridCol w:w="986"/>
        <w:gridCol w:w="1077"/>
        <w:gridCol w:w="1109"/>
        <w:gridCol w:w="908"/>
        <w:gridCol w:w="1345"/>
      </w:tblGrid>
      <w:tr>
        <w:tblPrEx>
          <w:tblCellMar>
            <w:top w:w="15" w:type="dxa"/>
            <w:left w:w="15" w:type="dxa"/>
            <w:bottom w:w="15" w:type="dxa"/>
            <w:right w:w="15" w:type="dxa"/>
          </w:tblCellMar>
        </w:tblPrEx>
        <w:trPr>
          <w:trHeight w:val="372" w:hRule="atLeast"/>
        </w:trPr>
        <w:tc>
          <w:tcPr>
            <w:tcW w:w="2216"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25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98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7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10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90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134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补助支出</w:t>
            </w:r>
          </w:p>
        </w:tc>
      </w:tr>
      <w:tr>
        <w:tblPrEx>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2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2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07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1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0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34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2" w:hRule="atLeast"/>
        </w:trPr>
        <w:tc>
          <w:tcPr>
            <w:tcW w:w="2216"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872.90</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411.96</w:t>
            </w:r>
          </w:p>
        </w:tc>
        <w:tc>
          <w:tcPr>
            <w:tcW w:w="107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460.94</w:t>
            </w:r>
          </w:p>
        </w:tc>
        <w:tc>
          <w:tcPr>
            <w:tcW w:w="110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w:t>
            </w:r>
          </w:p>
        </w:tc>
        <w:tc>
          <w:tcPr>
            <w:tcW w:w="1302"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社会保障和就业支出</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107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w:t>
            </w:r>
          </w:p>
        </w:tc>
        <w:tc>
          <w:tcPr>
            <w:tcW w:w="1302"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行政事业单位离退休</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107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2080505</w:t>
            </w:r>
          </w:p>
        </w:tc>
        <w:tc>
          <w:tcPr>
            <w:tcW w:w="1302"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机关事业单位基本养老保险缴费支出</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107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w:t>
            </w:r>
          </w:p>
        </w:tc>
        <w:tc>
          <w:tcPr>
            <w:tcW w:w="1302"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卫生健康支出</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835.3</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374.36</w:t>
            </w:r>
          </w:p>
        </w:tc>
        <w:tc>
          <w:tcPr>
            <w:tcW w:w="107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460.94</w:t>
            </w:r>
          </w:p>
        </w:tc>
        <w:tc>
          <w:tcPr>
            <w:tcW w:w="110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21004</w:t>
            </w:r>
          </w:p>
        </w:tc>
        <w:tc>
          <w:tcPr>
            <w:tcW w:w="1302"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公共卫生</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764.09</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366.02</w:t>
            </w:r>
          </w:p>
        </w:tc>
        <w:tc>
          <w:tcPr>
            <w:tcW w:w="107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398.07</w:t>
            </w:r>
          </w:p>
        </w:tc>
        <w:tc>
          <w:tcPr>
            <w:tcW w:w="110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2100403</w:t>
            </w:r>
          </w:p>
        </w:tc>
        <w:tc>
          <w:tcPr>
            <w:tcW w:w="1302"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 xml:space="preserve"> 妇幼保健机构</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370.77</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366.02</w:t>
            </w:r>
          </w:p>
        </w:tc>
        <w:tc>
          <w:tcPr>
            <w:tcW w:w="107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4.75</w:t>
            </w:r>
          </w:p>
        </w:tc>
        <w:tc>
          <w:tcPr>
            <w:tcW w:w="110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2100408</w:t>
            </w:r>
          </w:p>
        </w:tc>
        <w:tc>
          <w:tcPr>
            <w:tcW w:w="1302"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基本公共卫生服务</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46.20</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46.20</w:t>
            </w:r>
          </w:p>
        </w:tc>
        <w:tc>
          <w:tcPr>
            <w:tcW w:w="110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2100409</w:t>
            </w:r>
          </w:p>
        </w:tc>
        <w:tc>
          <w:tcPr>
            <w:tcW w:w="1302"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重大公共卫生专项</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218.12</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218.12</w:t>
            </w:r>
          </w:p>
        </w:tc>
        <w:tc>
          <w:tcPr>
            <w:tcW w:w="110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2100499</w:t>
            </w:r>
          </w:p>
        </w:tc>
        <w:tc>
          <w:tcPr>
            <w:tcW w:w="1302"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其他公共卫生支出</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129.00</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129.00</w:t>
            </w:r>
          </w:p>
        </w:tc>
        <w:tc>
          <w:tcPr>
            <w:tcW w:w="110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21007</w:t>
            </w:r>
          </w:p>
        </w:tc>
        <w:tc>
          <w:tcPr>
            <w:tcW w:w="1302"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计划生育事务</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62.87</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62.87</w:t>
            </w:r>
          </w:p>
        </w:tc>
        <w:tc>
          <w:tcPr>
            <w:tcW w:w="110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2100716</w:t>
            </w:r>
          </w:p>
        </w:tc>
        <w:tc>
          <w:tcPr>
            <w:tcW w:w="1302"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计划生育机构</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8.47</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8.47</w:t>
            </w:r>
          </w:p>
        </w:tc>
        <w:tc>
          <w:tcPr>
            <w:tcW w:w="110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2100717</w:t>
            </w:r>
          </w:p>
        </w:tc>
        <w:tc>
          <w:tcPr>
            <w:tcW w:w="1302"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计划生育服务</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28.50</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28.50</w:t>
            </w:r>
          </w:p>
        </w:tc>
        <w:tc>
          <w:tcPr>
            <w:tcW w:w="110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2100799</w:t>
            </w:r>
          </w:p>
        </w:tc>
        <w:tc>
          <w:tcPr>
            <w:tcW w:w="1302"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其他计划生育事务支出</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25.90</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25.90</w:t>
            </w:r>
          </w:p>
        </w:tc>
        <w:tc>
          <w:tcPr>
            <w:tcW w:w="110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w:t>
            </w:r>
          </w:p>
        </w:tc>
        <w:tc>
          <w:tcPr>
            <w:tcW w:w="1302"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行政事业单位医疗</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8.34</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8.34</w:t>
            </w:r>
          </w:p>
        </w:tc>
        <w:tc>
          <w:tcPr>
            <w:tcW w:w="107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p>
        </w:tc>
        <w:tc>
          <w:tcPr>
            <w:tcW w:w="110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2101102</w:t>
            </w:r>
          </w:p>
        </w:tc>
        <w:tc>
          <w:tcPr>
            <w:tcW w:w="1302"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事业单位医疗</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8.34</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8.34</w:t>
            </w:r>
          </w:p>
        </w:tc>
        <w:tc>
          <w:tcPr>
            <w:tcW w:w="1077"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p>
        </w:tc>
        <w:tc>
          <w:tcPr>
            <w:tcW w:w="110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bl>
    <w:p>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
    <w:p>
      <w:pPr>
        <w:jc w:val="both"/>
        <w:rPr>
          <w:rFonts w:hint="eastAsia" w:ascii="宋体" w:hAnsi="宋体" w:eastAsia="宋体" w:cs="宋体"/>
          <w:b/>
          <w:bCs/>
          <w:szCs w:val="32"/>
        </w:rPr>
      </w:pPr>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04</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西安市阎良区妇幼保健计划生育服务中心</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5"/>
        <w:tblW w:w="8700" w:type="dxa"/>
        <w:tblInd w:w="0" w:type="dxa"/>
        <w:tblLayout w:type="fixed"/>
        <w:tblCellMar>
          <w:top w:w="15" w:type="dxa"/>
          <w:left w:w="15" w:type="dxa"/>
          <w:bottom w:w="15" w:type="dxa"/>
          <w:right w:w="15" w:type="dxa"/>
        </w:tblCellMar>
      </w:tblPr>
      <w:tblGrid>
        <w:gridCol w:w="1705"/>
        <w:gridCol w:w="1072"/>
        <w:gridCol w:w="2703"/>
        <w:gridCol w:w="1134"/>
        <w:gridCol w:w="1102"/>
        <w:gridCol w:w="984"/>
      </w:tblGrid>
      <w:tr>
        <w:tblPrEx>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1</w:t>
            </w:r>
            <w:r>
              <w:rPr>
                <w:rFonts w:hint="eastAsia" w:ascii="宋体" w:hAnsi="宋体" w:eastAsia="宋体" w:cs="宋体"/>
                <w:color w:val="000000"/>
                <w:kern w:val="0"/>
                <w:sz w:val="21"/>
                <w:szCs w:val="21"/>
              </w:rPr>
              <w:t>、一般公共预算财政拨款</w:t>
            </w: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1010.31</w:t>
            </w: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w:t>
            </w:r>
            <w:r>
              <w:rPr>
                <w:rFonts w:hint="eastAsia" w:ascii="宋体" w:hAnsi="宋体" w:eastAsia="宋体" w:cs="宋体"/>
                <w:color w:val="000000"/>
                <w:kern w:val="0"/>
                <w:sz w:val="21"/>
                <w:szCs w:val="21"/>
              </w:rPr>
              <w:t>、一般公共服务支出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2</w:t>
            </w:r>
            <w:r>
              <w:rPr>
                <w:rFonts w:hint="eastAsia" w:ascii="宋体" w:hAnsi="宋体" w:eastAsia="宋体" w:cs="宋体"/>
                <w:color w:val="000000"/>
                <w:kern w:val="0"/>
                <w:sz w:val="21"/>
                <w:szCs w:val="21"/>
              </w:rPr>
              <w:t>、政府性基金预算财政拨款</w:t>
            </w: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2</w:t>
            </w:r>
            <w:r>
              <w:rPr>
                <w:rFonts w:hint="eastAsia" w:ascii="宋体" w:hAnsi="宋体" w:eastAsia="宋体" w:cs="宋体"/>
                <w:color w:val="000000"/>
                <w:kern w:val="0"/>
                <w:sz w:val="21"/>
                <w:szCs w:val="21"/>
              </w:rPr>
              <w:t>、外交支出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sz w:val="21"/>
                <w:szCs w:val="21"/>
              </w:rPr>
              <w:t>3</w:t>
            </w:r>
            <w:r>
              <w:rPr>
                <w:rFonts w:hint="eastAsia" w:ascii="宋体" w:hAnsi="宋体" w:eastAsia="宋体" w:cs="宋体"/>
                <w:color w:val="000000"/>
                <w:sz w:val="21"/>
                <w:szCs w:val="21"/>
              </w:rPr>
              <w:t>、国有资本经营预算收入</w:t>
            </w: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3</w:t>
            </w:r>
            <w:r>
              <w:rPr>
                <w:rFonts w:hint="eastAsia" w:ascii="宋体" w:hAnsi="宋体" w:eastAsia="宋体" w:cs="宋体"/>
                <w:color w:val="000000"/>
                <w:kern w:val="0"/>
                <w:sz w:val="21"/>
                <w:szCs w:val="21"/>
              </w:rPr>
              <w:t>、国防支出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4</w:t>
            </w:r>
            <w:r>
              <w:rPr>
                <w:rFonts w:hint="eastAsia" w:ascii="宋体" w:hAnsi="宋体" w:eastAsia="宋体" w:cs="宋体"/>
                <w:color w:val="000000"/>
                <w:kern w:val="0"/>
                <w:sz w:val="21"/>
                <w:szCs w:val="21"/>
              </w:rPr>
              <w:t>、公共安全支出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5</w:t>
            </w:r>
            <w:r>
              <w:rPr>
                <w:rFonts w:hint="eastAsia" w:ascii="宋体" w:hAnsi="宋体" w:eastAsia="宋体" w:cs="宋体"/>
                <w:color w:val="000000"/>
                <w:kern w:val="0"/>
                <w:sz w:val="21"/>
                <w:szCs w:val="21"/>
              </w:rPr>
              <w:t>、教育支出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6</w:t>
            </w:r>
            <w:r>
              <w:rPr>
                <w:rFonts w:hint="eastAsia" w:ascii="宋体" w:hAnsi="宋体" w:eastAsia="宋体" w:cs="宋体"/>
                <w:color w:val="000000"/>
                <w:kern w:val="0"/>
                <w:sz w:val="21"/>
                <w:szCs w:val="21"/>
              </w:rPr>
              <w:t>、科学技术支出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7</w:t>
            </w:r>
            <w:r>
              <w:rPr>
                <w:rFonts w:hint="eastAsia" w:ascii="宋体" w:hAnsi="宋体" w:eastAsia="宋体" w:cs="宋体"/>
                <w:color w:val="000000"/>
                <w:kern w:val="0"/>
                <w:sz w:val="21"/>
                <w:szCs w:val="21"/>
              </w:rPr>
              <w:t>、</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8</w:t>
            </w:r>
            <w:r>
              <w:rPr>
                <w:rFonts w:hint="eastAsia" w:ascii="宋体" w:hAnsi="宋体" w:eastAsia="宋体" w:cs="宋体"/>
                <w:color w:val="000000"/>
                <w:kern w:val="0"/>
                <w:sz w:val="21"/>
                <w:szCs w:val="21"/>
              </w:rPr>
              <w:t>、社会保障和就业支出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9</w:t>
            </w:r>
            <w:r>
              <w:rPr>
                <w:rFonts w:hint="eastAsia" w:ascii="宋体" w:hAnsi="宋体" w:eastAsia="宋体" w:cs="宋体"/>
                <w:color w:val="000000"/>
                <w:kern w:val="0"/>
                <w:sz w:val="21"/>
                <w:szCs w:val="21"/>
              </w:rPr>
              <w:t>、卫生健康支出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835.30</w:t>
            </w: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835.30</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10</w:t>
            </w:r>
            <w:r>
              <w:rPr>
                <w:rFonts w:hint="eastAsia" w:ascii="宋体" w:hAnsi="宋体" w:eastAsia="宋体" w:cs="宋体"/>
                <w:color w:val="000000"/>
                <w:kern w:val="0"/>
                <w:sz w:val="21"/>
                <w:szCs w:val="21"/>
              </w:rPr>
              <w:t>、节能环保支出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11</w:t>
            </w:r>
            <w:r>
              <w:rPr>
                <w:rFonts w:hint="eastAsia" w:ascii="宋体" w:hAnsi="宋体" w:eastAsia="宋体" w:cs="宋体"/>
                <w:color w:val="000000"/>
                <w:kern w:val="0"/>
                <w:sz w:val="21"/>
                <w:szCs w:val="21"/>
              </w:rPr>
              <w:t>、城乡社区支出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12</w:t>
            </w:r>
            <w:r>
              <w:rPr>
                <w:rFonts w:hint="eastAsia" w:ascii="宋体" w:hAnsi="宋体" w:eastAsia="宋体" w:cs="宋体"/>
                <w:color w:val="000000"/>
                <w:kern w:val="0"/>
                <w:sz w:val="21"/>
                <w:szCs w:val="21"/>
              </w:rPr>
              <w:t>、农林水支出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13</w:t>
            </w:r>
            <w:r>
              <w:rPr>
                <w:rFonts w:hint="eastAsia" w:ascii="宋体" w:hAnsi="宋体" w:eastAsia="宋体" w:cs="宋体"/>
                <w:color w:val="000000"/>
                <w:kern w:val="0"/>
                <w:sz w:val="21"/>
                <w:szCs w:val="21"/>
              </w:rPr>
              <w:t>、交通运输支出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14</w:t>
            </w:r>
            <w:r>
              <w:rPr>
                <w:rFonts w:hint="eastAsia" w:ascii="宋体" w:hAnsi="宋体" w:eastAsia="宋体" w:cs="宋体"/>
                <w:color w:val="000000"/>
                <w:kern w:val="0"/>
                <w:sz w:val="21"/>
                <w:szCs w:val="21"/>
              </w:rPr>
              <w:t>、资源勘探信息等支出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15</w:t>
            </w:r>
            <w:r>
              <w:rPr>
                <w:rFonts w:hint="eastAsia" w:ascii="宋体" w:hAnsi="宋体" w:eastAsia="宋体" w:cs="宋体"/>
                <w:color w:val="000000"/>
                <w:kern w:val="0"/>
                <w:sz w:val="21"/>
                <w:szCs w:val="21"/>
              </w:rPr>
              <w:t>、商业服务业等支出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16</w:t>
            </w:r>
            <w:r>
              <w:rPr>
                <w:rFonts w:hint="eastAsia" w:ascii="宋体" w:hAnsi="宋体" w:eastAsia="宋体" w:cs="宋体"/>
                <w:color w:val="000000"/>
                <w:kern w:val="0"/>
                <w:sz w:val="21"/>
                <w:szCs w:val="21"/>
              </w:rPr>
              <w:t>、金融支出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17</w:t>
            </w:r>
            <w:r>
              <w:rPr>
                <w:rFonts w:hint="eastAsia" w:ascii="宋体" w:hAnsi="宋体" w:eastAsia="宋体" w:cs="宋体"/>
                <w:color w:val="000000"/>
                <w:kern w:val="0"/>
                <w:sz w:val="21"/>
                <w:szCs w:val="21"/>
              </w:rPr>
              <w:t>、援助其他地区支出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18</w:t>
            </w:r>
            <w:r>
              <w:rPr>
                <w:rFonts w:hint="eastAsia" w:ascii="宋体" w:hAnsi="宋体" w:eastAsia="宋体" w:cs="宋体"/>
                <w:color w:val="000000"/>
                <w:kern w:val="0"/>
                <w:sz w:val="21"/>
                <w:szCs w:val="21"/>
              </w:rPr>
              <w:t>、</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19</w:t>
            </w:r>
            <w:r>
              <w:rPr>
                <w:rFonts w:hint="eastAsia" w:ascii="宋体" w:hAnsi="宋体" w:eastAsia="宋体" w:cs="宋体"/>
                <w:color w:val="000000"/>
                <w:kern w:val="0"/>
                <w:sz w:val="21"/>
                <w:szCs w:val="21"/>
              </w:rPr>
              <w:t>、住房保障支出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20</w:t>
            </w:r>
            <w:r>
              <w:rPr>
                <w:rFonts w:hint="eastAsia" w:ascii="宋体" w:hAnsi="宋体" w:eastAsia="宋体" w:cs="宋体"/>
                <w:color w:val="000000"/>
                <w:kern w:val="0"/>
                <w:sz w:val="21"/>
                <w:szCs w:val="21"/>
              </w:rPr>
              <w:t>、粮油物资储备支出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21</w:t>
            </w:r>
            <w:r>
              <w:rPr>
                <w:rFonts w:hint="eastAsia" w:ascii="宋体" w:hAnsi="宋体" w:eastAsia="宋体" w:cs="宋体"/>
                <w:color w:val="000000"/>
                <w:kern w:val="0"/>
                <w:sz w:val="21"/>
                <w:szCs w:val="21"/>
              </w:rPr>
              <w:t>、灾害防治及应急管理支出</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kern w:val="0"/>
                <w:sz w:val="21"/>
                <w:szCs w:val="21"/>
              </w:rPr>
            </w:pPr>
            <w:r>
              <w:rPr>
                <w:rFonts w:ascii="宋体" w:hAnsi="宋体" w:eastAsia="宋体" w:cs="宋体"/>
                <w:color w:val="000000"/>
                <w:kern w:val="0"/>
                <w:sz w:val="21"/>
                <w:szCs w:val="21"/>
              </w:rPr>
              <w:t>22</w:t>
            </w:r>
            <w:r>
              <w:rPr>
                <w:rFonts w:hint="eastAsia" w:ascii="宋体" w:hAnsi="宋体" w:eastAsia="宋体" w:cs="宋体"/>
                <w:color w:val="000000"/>
                <w:kern w:val="0"/>
                <w:sz w:val="21"/>
                <w:szCs w:val="21"/>
              </w:rPr>
              <w:t>、其他支出</w:t>
            </w:r>
          </w:p>
        </w:tc>
        <w:tc>
          <w:tcPr>
            <w:tcW w:w="1134" w:type="dxa"/>
            <w:tcBorders>
              <w:top w:val="single" w:color="000000" w:sz="4" w:space="0"/>
              <w:bottom w:val="single" w:color="000000" w:sz="4" w:space="0"/>
              <w:right w:val="single" w:color="000000" w:sz="4" w:space="0"/>
            </w:tcBorders>
            <w:noWrap w:val="0"/>
            <w:vAlign w:val="center"/>
          </w:tcPr>
          <w:p>
            <w:pPr>
              <w:widowControl/>
              <w:ind w:firstLine="210" w:firstLineChars="100"/>
              <w:jc w:val="left"/>
              <w:textAlignment w:val="center"/>
              <w:rPr>
                <w:rFonts w:ascii="宋体" w:hAnsi="宋体" w:eastAsia="宋体" w:cs="宋体"/>
                <w:color w:val="000000"/>
                <w:kern w:val="0"/>
                <w:sz w:val="21"/>
                <w:szCs w:val="21"/>
              </w:rPr>
            </w:pPr>
          </w:p>
        </w:tc>
        <w:tc>
          <w:tcPr>
            <w:tcW w:w="1102" w:type="dxa"/>
            <w:tcBorders>
              <w:top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84" w:type="dxa"/>
            <w:tcBorders>
              <w:top w:val="single" w:color="000000" w:sz="4" w:space="0"/>
              <w:bottom w:val="single" w:color="000000" w:sz="4" w:space="0"/>
              <w:right w:val="single" w:color="000000" w:sz="4" w:space="0"/>
            </w:tcBorders>
            <w:noWrap w:val="0"/>
            <w:vAlign w:val="center"/>
          </w:tcPr>
          <w:p>
            <w:pPr>
              <w:rPr>
                <w:rFonts w:ascii="宋体" w:hAnsi="宋体" w:eastAsia="宋体" w:cs="宋体"/>
                <w:b/>
                <w:color w:val="000000"/>
                <w:sz w:val="21"/>
                <w:szCs w:val="21"/>
              </w:rPr>
            </w:pPr>
          </w:p>
        </w:tc>
      </w:tr>
    </w:tbl>
    <w:p/>
    <w:p/>
    <w:p>
      <w:pPr>
        <w:jc w:val="center"/>
        <w:rPr>
          <w:rFonts w:ascii="宋体" w:hAnsi="宋体" w:eastAsia="宋体" w:cs="宋体"/>
          <w:b/>
          <w:bCs/>
          <w:szCs w:val="32"/>
        </w:rPr>
      </w:pPr>
      <w:r>
        <w:rPr>
          <w:rFonts w:hint="eastAsia" w:ascii="宋体" w:hAnsi="宋体" w:eastAsia="宋体" w:cs="宋体"/>
          <w:b/>
          <w:bCs/>
          <w:szCs w:val="32"/>
        </w:rPr>
        <w:t>财政拨款收入支出决算总表</w:t>
      </w:r>
      <w:r>
        <w:rPr>
          <w:rFonts w:ascii="宋体" w:hAnsi="宋体" w:eastAsia="宋体" w:cs="宋体"/>
          <w:b/>
          <w:bCs/>
          <w:szCs w:val="32"/>
        </w:rPr>
        <w:t xml:space="preserve"> </w:t>
      </w:r>
    </w:p>
    <w:p>
      <w:pPr>
        <w:jc w:val="right"/>
        <w:rPr>
          <w:rFonts w:ascii="宋体" w:hAnsi="宋体" w:eastAsia="宋体" w:cs="宋体"/>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04</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西安市阎良区妇幼保健计划生育服务中心</w:t>
      </w:r>
      <w:r>
        <w:rPr>
          <w:rFonts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金额单位：万元</w:t>
      </w:r>
    </w:p>
    <w:tbl>
      <w:tblPr>
        <w:tblStyle w:val="5"/>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tblPrEx>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1010.31</w:t>
            </w: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872.90</w:t>
            </w:r>
          </w:p>
        </w:tc>
        <w:tc>
          <w:tcPr>
            <w:tcW w:w="10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872.90</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137.41</w:t>
            </w:r>
          </w:p>
        </w:tc>
        <w:tc>
          <w:tcPr>
            <w:tcW w:w="10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137.41</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1010.31</w:t>
            </w:r>
          </w:p>
        </w:tc>
        <w:tc>
          <w:tcPr>
            <w:tcW w:w="18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1010.31</w:t>
            </w:r>
          </w:p>
        </w:tc>
        <w:tc>
          <w:tcPr>
            <w:tcW w:w="10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1010.31</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kern w:val="0"/>
                <w:sz w:val="21"/>
                <w:szCs w:val="21"/>
              </w:rPr>
            </w:pPr>
          </w:p>
        </w:tc>
      </w:tr>
    </w:tbl>
    <w:p>
      <w:pPr>
        <w:rPr>
          <w:rFonts w:ascii="宋体" w:hAnsi="宋体" w:eastAsia="宋体" w:cs="宋体"/>
          <w:sz w:val="21"/>
          <w:szCs w:val="21"/>
        </w:rPr>
      </w:pPr>
    </w:p>
    <w:p>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仿宋_GB2312"/>
          <w:szCs w:val="32"/>
        </w:rPr>
      </w:pPr>
    </w:p>
    <w:p/>
    <w:p/>
    <w:p/>
    <w:p/>
    <w:p/>
    <w:p/>
    <w:p/>
    <w:p/>
    <w:p/>
    <w:p>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pPr>
        <w:rPr>
          <w:rFonts w:ascii="宋体" w:hAnsi="宋体" w:eastAsia="宋体" w:cs="宋体"/>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05</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西安市阎良区妇幼保健计划生育服务中心</w:t>
      </w:r>
      <w:r>
        <w:rPr>
          <w:rFonts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5"/>
        <w:tblW w:w="8777" w:type="dxa"/>
        <w:tblInd w:w="0" w:type="dxa"/>
        <w:tblLayout w:type="fixed"/>
        <w:tblCellMar>
          <w:top w:w="15" w:type="dxa"/>
          <w:left w:w="15" w:type="dxa"/>
          <w:bottom w:w="15" w:type="dxa"/>
          <w:right w:w="15" w:type="dxa"/>
        </w:tblCellMar>
      </w:tblPr>
      <w:tblGrid>
        <w:gridCol w:w="1170"/>
        <w:gridCol w:w="1537"/>
        <w:gridCol w:w="1006"/>
        <w:gridCol w:w="1020"/>
        <w:gridCol w:w="935"/>
        <w:gridCol w:w="1039"/>
        <w:gridCol w:w="1020"/>
        <w:gridCol w:w="1050"/>
      </w:tblGrid>
      <w:tr>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00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994" w:type="dxa"/>
            <w:gridSpan w:val="3"/>
            <w:tcBorders>
              <w:top w:val="single" w:color="000000" w:sz="4" w:space="0"/>
              <w:left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0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872.90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411.96</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411.96</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460.94</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6"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208</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社会保障和就业支出</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70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20805</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行政事业单位离退休</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2080505</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机关事业单位基本养老保险缴费支出</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210</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卫生健康支出</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835.30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374.36</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374.36</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460.94</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21004</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公共卫生</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764.09</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366.02</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366.02</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398.07</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2100403</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妇幼保健机构</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370.77</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366.02</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366.02</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4.75</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2100408</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基本公共卫生服务</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46.20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46.20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2100409</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重大公共卫生专项</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218.12</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218.12</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2100499</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其他公共卫生支出</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129.00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129.00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21007</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计划生育事务</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62.87</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62.87</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2100716</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计划生育机构</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8.47</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8.47</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2100717</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计划生育服务</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28.50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28.50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2100799</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其他计划生育事务支出</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25.90</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25.90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21011</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行政事业单位医疗</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8.34</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8.34</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8.34</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2101102</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事业单位医疗</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8.34</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8.34</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8.34</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Pr>
        <w:jc w:val="center"/>
        <w:rPr>
          <w:rFonts w:hint="eastAsia" w:ascii="宋体" w:hAnsi="宋体" w:eastAsia="宋体" w:cs="宋体"/>
          <w:b/>
          <w:bCs/>
          <w:szCs w:val="32"/>
        </w:rPr>
      </w:pPr>
    </w:p>
    <w:p>
      <w:pPr>
        <w:jc w:val="center"/>
        <w:rPr>
          <w:rFonts w:hint="eastAsia" w:ascii="宋体" w:hAnsi="宋体" w:eastAsia="宋体" w:cs="宋体"/>
          <w:b/>
          <w:bCs/>
          <w:szCs w:val="32"/>
        </w:rPr>
      </w:pPr>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jc w:val="right"/>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06</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西安市阎良区妇幼保健计划生育服务中心</w:t>
      </w:r>
      <w:r>
        <w:rPr>
          <w:rFonts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5"/>
        <w:tblW w:w="8817" w:type="dxa"/>
        <w:tblInd w:w="0" w:type="dxa"/>
        <w:tblLayout w:type="fixed"/>
        <w:tblCellMar>
          <w:top w:w="15" w:type="dxa"/>
          <w:left w:w="15" w:type="dxa"/>
          <w:bottom w:w="15" w:type="dxa"/>
          <w:right w:w="15" w:type="dxa"/>
        </w:tblCellMar>
      </w:tblPr>
      <w:tblGrid>
        <w:gridCol w:w="1157"/>
        <w:gridCol w:w="2046"/>
        <w:gridCol w:w="1659"/>
        <w:gridCol w:w="1437"/>
        <w:gridCol w:w="1363"/>
        <w:gridCol w:w="1155"/>
      </w:tblGrid>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65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659" w:type="dxa"/>
            <w:tcBorders>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411.96</w:t>
            </w:r>
          </w:p>
        </w:tc>
        <w:tc>
          <w:tcPr>
            <w:tcW w:w="1437" w:type="dxa"/>
            <w:tcBorders>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411.96</w:t>
            </w:r>
          </w:p>
        </w:tc>
        <w:tc>
          <w:tcPr>
            <w:tcW w:w="1363" w:type="dxa"/>
            <w:tcBorders>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155" w:type="dxa"/>
            <w:tcBorders>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301</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工资福利支出</w:t>
            </w:r>
            <w:r>
              <w:rPr>
                <w:rFonts w:ascii="宋体" w:hAnsi="宋体" w:eastAsia="宋体" w:cs="宋体"/>
                <w:color w:val="000000"/>
                <w:kern w:val="0"/>
                <w:sz w:val="21"/>
                <w:szCs w:val="21"/>
              </w:rPr>
              <w:t xml:space="preserve"> </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411.96</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411.96</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30101</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基本工资</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113.92</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113.92</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30102</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津贴补贴</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25.66</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25.66</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both"/>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lang w:val="en-US" w:eastAsia="zh-CN"/>
              </w:rPr>
              <w:t>30103</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奖金</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94.00</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94.00</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30107</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绩效工资</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76.01</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76.01</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both"/>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lang w:val="en-US" w:eastAsia="zh-CN"/>
              </w:rPr>
              <w:t>30108</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机关事业单位基本养老保险缴费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37.59</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lang w:val="en-US" w:eastAsia="zh-CN"/>
              </w:rPr>
              <w:t>30109</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职业年金缴费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7.04</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7.04</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30110</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职工基本医疗保险缴费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8.34</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8.34</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30112</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其他社会保障缴费</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16.13</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16.13</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30113</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住房公积金</w:t>
            </w:r>
          </w:p>
        </w:tc>
        <w:tc>
          <w:tcPr>
            <w:tcW w:w="165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33.27</w:t>
            </w:r>
          </w:p>
        </w:tc>
        <w:tc>
          <w:tcPr>
            <w:tcW w:w="14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33.27</w:t>
            </w:r>
          </w:p>
        </w:tc>
        <w:tc>
          <w:tcPr>
            <w:tcW w:w="1363"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Pr>
        <w:jc w:val="center"/>
        <w:rPr>
          <w:rFonts w:hint="eastAsia" w:ascii="宋体" w:hAnsi="宋体" w:eastAsia="宋体" w:cs="宋体"/>
          <w:b/>
          <w:bCs/>
          <w:szCs w:val="32"/>
        </w:rPr>
      </w:pPr>
    </w:p>
    <w:p>
      <w:pPr>
        <w:jc w:val="center"/>
        <w:rPr>
          <w:rFonts w:hint="eastAsia" w:ascii="宋体" w:hAnsi="宋体" w:eastAsia="宋体" w:cs="宋体"/>
          <w:b/>
          <w:bCs/>
          <w:szCs w:val="32"/>
        </w:rPr>
      </w:pPr>
    </w:p>
    <w:p>
      <w:pPr>
        <w:jc w:val="center"/>
        <w:rPr>
          <w:rFonts w:hint="eastAsia" w:ascii="宋体" w:hAnsi="宋体" w:eastAsia="宋体" w:cs="宋体"/>
          <w:b/>
          <w:bCs/>
          <w:szCs w:val="32"/>
        </w:rPr>
      </w:pPr>
    </w:p>
    <w:p>
      <w:pPr>
        <w:jc w:val="center"/>
        <w:rPr>
          <w:rFonts w:hint="eastAsia" w:ascii="宋体" w:hAnsi="宋体" w:eastAsia="宋体" w:cs="宋体"/>
          <w:b/>
          <w:bCs/>
          <w:szCs w:val="32"/>
        </w:rPr>
      </w:pPr>
    </w:p>
    <w:p>
      <w:pPr>
        <w:jc w:val="center"/>
        <w:rPr>
          <w:rFonts w:hint="eastAsia" w:ascii="宋体" w:hAnsi="宋体" w:eastAsia="宋体" w:cs="宋体"/>
          <w:b/>
          <w:bCs/>
          <w:szCs w:val="32"/>
        </w:rPr>
      </w:pPr>
    </w:p>
    <w:p>
      <w:pPr>
        <w:jc w:val="center"/>
        <w:rPr>
          <w:rFonts w:hint="eastAsia" w:ascii="宋体" w:hAnsi="宋体" w:eastAsia="宋体" w:cs="宋体"/>
          <w:b/>
          <w:bCs/>
          <w:szCs w:val="32"/>
        </w:rPr>
      </w:pPr>
    </w:p>
    <w:p>
      <w:pPr>
        <w:jc w:val="center"/>
        <w:rPr>
          <w:rFonts w:hint="eastAsia" w:ascii="宋体" w:hAnsi="宋体" w:eastAsia="宋体" w:cs="宋体"/>
          <w:b/>
          <w:bCs/>
          <w:szCs w:val="32"/>
        </w:rPr>
      </w:pPr>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jc w:val="right"/>
        <w:rPr>
          <w:rFonts w:ascii="宋体" w:hAnsi="宋体" w:eastAsia="宋体" w:cs="宋体"/>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07</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西安市阎良区妇幼保健计划生育服务中心</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5"/>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8</w:t>
            </w:r>
          </w:p>
        </w:tc>
      </w:tr>
      <w:tr>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b/>
                <w:color w:val="000000"/>
                <w:sz w:val="21"/>
                <w:szCs w:val="21"/>
                <w:highlight w:val="none"/>
                <w:lang w:val="en-US" w:eastAsia="zh-CN"/>
              </w:rPr>
            </w:pPr>
            <w:r>
              <w:rPr>
                <w:rFonts w:hint="eastAsia" w:ascii="宋体" w:hAnsi="宋体" w:eastAsia="宋体" w:cs="宋体"/>
                <w:b/>
                <w:color w:val="000000"/>
                <w:sz w:val="21"/>
                <w:szCs w:val="21"/>
                <w:highlight w:val="none"/>
                <w:lang w:val="en-US" w:eastAsia="zh-CN"/>
              </w:rPr>
              <w:t>0.00</w:t>
            </w:r>
          </w:p>
        </w:tc>
        <w:tc>
          <w:tcPr>
            <w:tcW w:w="11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b/>
                <w:color w:val="000000"/>
                <w:sz w:val="21"/>
                <w:szCs w:val="21"/>
                <w:highlight w:val="yellow"/>
                <w:lang w:val="en-US" w:eastAsia="zh-CN"/>
              </w:rPr>
            </w:pPr>
            <w:r>
              <w:rPr>
                <w:rFonts w:hint="eastAsia" w:ascii="宋体" w:hAnsi="宋体" w:eastAsia="宋体" w:cs="宋体"/>
                <w:b/>
                <w:color w:val="000000"/>
                <w:sz w:val="21"/>
                <w:szCs w:val="21"/>
                <w:highlight w:val="none"/>
                <w:lang w:val="en-US" w:eastAsia="zh-CN"/>
              </w:rPr>
              <w:t>0.00</w:t>
            </w:r>
          </w:p>
        </w:tc>
        <w:tc>
          <w:tcPr>
            <w:tcW w:w="8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color w:val="FFFFFF" w:themeColor="background1"/>
                <w:sz w:val="21"/>
                <w:szCs w:val="21"/>
                <w:highlight w:val="none"/>
                <w:lang w:val="en-US" w:eastAsia="zh-CN"/>
                <w14:textFill>
                  <w14:solidFill>
                    <w14:schemeClr w14:val="bg1"/>
                  </w14:solidFill>
                </w14:textFill>
              </w:rPr>
            </w:pPr>
            <w:r>
              <w:rPr>
                <w:rFonts w:hint="eastAsia" w:ascii="宋体" w:hAnsi="宋体" w:eastAsia="宋体" w:cs="宋体"/>
                <w:b/>
                <w:color w:val="FFFFFF" w:themeColor="background1"/>
                <w:sz w:val="21"/>
                <w:szCs w:val="21"/>
                <w:highlight w:val="none"/>
                <w:lang w:val="en-US" w:eastAsia="zh-CN"/>
                <w14:textFill>
                  <w14:solidFill>
                    <w14:schemeClr w14:val="bg1"/>
                  </w14:solidFill>
                </w14:textFill>
              </w:rPr>
              <w:t>00</w:t>
            </w:r>
          </w:p>
          <w:p>
            <w:pPr>
              <w:jc w:val="center"/>
              <w:rPr>
                <w:rFonts w:hint="default" w:ascii="宋体" w:hAnsi="宋体" w:eastAsia="宋体" w:cs="宋体"/>
                <w:b/>
                <w:color w:val="000000"/>
                <w:sz w:val="21"/>
                <w:szCs w:val="21"/>
                <w:highlight w:val="yellow"/>
                <w:lang w:val="en-US" w:eastAsia="zh-CN"/>
              </w:rPr>
            </w:pPr>
            <w:r>
              <w:rPr>
                <w:rFonts w:hint="eastAsia" w:ascii="宋体" w:hAnsi="宋体" w:eastAsia="宋体" w:cs="宋体"/>
                <w:b/>
                <w:color w:val="FFFFFF" w:themeColor="background1"/>
                <w:sz w:val="21"/>
                <w:szCs w:val="21"/>
                <w:highlight w:val="none"/>
                <w:lang w:val="en-US" w:eastAsia="zh-CN"/>
                <w14:textFill>
                  <w14:solidFill>
                    <w14:schemeClr w14:val="bg1"/>
                  </w14:solidFill>
                </w14:textFill>
              </w:rPr>
              <w:t xml:space="preserve"> .</w:t>
            </w:r>
            <w:r>
              <w:rPr>
                <w:rFonts w:hint="eastAsia" w:ascii="宋体" w:hAnsi="宋体" w:eastAsia="宋体" w:cs="宋体"/>
                <w:b/>
                <w:color w:val="000000"/>
                <w:sz w:val="21"/>
                <w:szCs w:val="21"/>
                <w:highlight w:val="none"/>
                <w:lang w:val="en-US" w:eastAsia="zh-CN"/>
              </w:rPr>
              <w:t>0.00</w:t>
            </w:r>
            <w:r>
              <w:rPr>
                <w:rFonts w:hint="eastAsia" w:ascii="宋体" w:hAnsi="宋体" w:eastAsia="宋体" w:cs="宋体"/>
                <w:b/>
                <w:color w:val="FFFFFF" w:themeColor="background1"/>
                <w:sz w:val="21"/>
                <w:szCs w:val="21"/>
                <w:highlight w:val="none"/>
                <w:lang w:val="en-US" w:eastAsia="zh-CN"/>
                <w14:textFill>
                  <w14:solidFill>
                    <w14:schemeClr w14:val="bg1"/>
                  </w14:solidFill>
                </w14:textFill>
              </w:rPr>
              <w:t>000</w:t>
            </w:r>
          </w:p>
        </w:tc>
        <w:tc>
          <w:tcPr>
            <w:tcW w:w="8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highlight w:val="yellow"/>
              </w:rPr>
            </w:pPr>
            <w:r>
              <w:rPr>
                <w:rFonts w:hint="eastAsia" w:ascii="宋体" w:hAnsi="宋体" w:eastAsia="宋体" w:cs="宋体"/>
                <w:b/>
                <w:color w:val="000000"/>
                <w:sz w:val="21"/>
                <w:szCs w:val="21"/>
                <w:highlight w:val="none"/>
                <w:lang w:val="en-US" w:eastAsia="zh-CN"/>
              </w:rPr>
              <w:t>0.00</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highlight w:val="yellow"/>
              </w:rPr>
            </w:pPr>
            <w:r>
              <w:rPr>
                <w:rFonts w:hint="eastAsia" w:ascii="宋体" w:hAnsi="宋体" w:eastAsia="宋体" w:cs="宋体"/>
                <w:b/>
                <w:color w:val="000000"/>
                <w:sz w:val="21"/>
                <w:szCs w:val="21"/>
                <w:highlight w:val="none"/>
                <w:lang w:val="en-US" w:eastAsia="zh-CN"/>
              </w:rPr>
              <w:t>0.00</w:t>
            </w:r>
          </w:p>
        </w:tc>
        <w:tc>
          <w:tcPr>
            <w:tcW w:w="118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b/>
                <w:color w:val="000000"/>
                <w:sz w:val="21"/>
                <w:szCs w:val="21"/>
                <w:highlight w:val="yellow"/>
                <w:lang w:val="en-US" w:eastAsia="zh-CN"/>
              </w:rPr>
            </w:pPr>
            <w:r>
              <w:rPr>
                <w:rFonts w:hint="eastAsia" w:ascii="宋体" w:hAnsi="宋体" w:eastAsia="宋体" w:cs="宋体"/>
                <w:b/>
                <w:color w:val="000000"/>
                <w:sz w:val="21"/>
                <w:szCs w:val="21"/>
                <w:highlight w:val="none"/>
                <w:lang w:val="en-US" w:eastAsia="zh-CN"/>
              </w:rPr>
              <w:t>0.00</w:t>
            </w:r>
          </w:p>
        </w:tc>
        <w:tc>
          <w:tcPr>
            <w:tcW w:w="7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highlight w:val="yellow"/>
              </w:rPr>
            </w:pPr>
            <w:r>
              <w:rPr>
                <w:rFonts w:hint="eastAsia" w:ascii="宋体" w:hAnsi="宋体" w:eastAsia="宋体" w:cs="宋体"/>
                <w:b/>
                <w:color w:val="000000"/>
                <w:sz w:val="21"/>
                <w:szCs w:val="21"/>
                <w:highlight w:val="none"/>
                <w:lang w:val="en-US" w:eastAsia="zh-CN"/>
              </w:rPr>
              <w:t>0.00</w:t>
            </w:r>
          </w:p>
        </w:tc>
        <w:tc>
          <w:tcPr>
            <w:tcW w:w="96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highlight w:val="yellow"/>
              </w:rPr>
            </w:pPr>
            <w:r>
              <w:rPr>
                <w:rFonts w:hint="eastAsia" w:ascii="宋体" w:hAnsi="宋体" w:eastAsia="宋体" w:cs="宋体"/>
                <w:b/>
                <w:color w:val="000000"/>
                <w:sz w:val="21"/>
                <w:szCs w:val="21"/>
                <w:highlight w:val="none"/>
                <w:lang w:val="en-US" w:eastAsia="zh-CN"/>
              </w:rPr>
              <w:t>0.00</w:t>
            </w:r>
          </w:p>
        </w:tc>
      </w:tr>
      <w:tr>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11.56</w:t>
            </w:r>
          </w:p>
        </w:tc>
        <w:tc>
          <w:tcPr>
            <w:tcW w:w="11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highlight w:val="none"/>
                <w:lang w:val="en-US" w:eastAsia="zh-CN"/>
              </w:rPr>
              <w:t>0.00</w:t>
            </w:r>
          </w:p>
        </w:tc>
        <w:tc>
          <w:tcPr>
            <w:tcW w:w="8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1.01</w:t>
            </w:r>
          </w:p>
        </w:tc>
        <w:tc>
          <w:tcPr>
            <w:tcW w:w="8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10.55</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highlight w:val="none"/>
                <w:lang w:val="en-US" w:eastAsia="zh-CN"/>
              </w:rPr>
              <w:t>0.00</w:t>
            </w:r>
          </w:p>
        </w:tc>
        <w:tc>
          <w:tcPr>
            <w:tcW w:w="118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10.55</w:t>
            </w:r>
          </w:p>
        </w:tc>
        <w:tc>
          <w:tcPr>
            <w:tcW w:w="7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highlight w:val="none"/>
                <w:lang w:val="en-US" w:eastAsia="zh-CN"/>
              </w:rPr>
              <w:t>0.00</w:t>
            </w:r>
          </w:p>
        </w:tc>
        <w:tc>
          <w:tcPr>
            <w:tcW w:w="96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8.73</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
    <w:p/>
    <w:p/>
    <w:p/>
    <w:p/>
    <w:p/>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jc w:val="right"/>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08</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西安市阎良区妇幼保健计划生育服务中心</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5"/>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04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noWrap w:val="0"/>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0.00</w:t>
            </w: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0.00</w:t>
            </w: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0.00</w:t>
            </w: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0.00</w:t>
            </w: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w:t>
      </w:r>
      <w:r>
        <w:rPr>
          <w:rFonts w:ascii="黑体" w:hAnsi="宋体" w:eastAsia="黑体"/>
          <w:color w:val="000000"/>
          <w:kern w:val="0"/>
          <w:sz w:val="44"/>
          <w:szCs w:val="44"/>
        </w:rPr>
        <w:t xml:space="preserve"> 2019</w:t>
      </w:r>
      <w:r>
        <w:rPr>
          <w:rFonts w:hint="eastAsia" w:ascii="黑体" w:hAnsi="宋体" w:eastAsia="黑体"/>
          <w:color w:val="000000"/>
          <w:kern w:val="0"/>
          <w:sz w:val="44"/>
          <w:szCs w:val="44"/>
        </w:rPr>
        <w:t>年度部门决算情况说明</w:t>
      </w:r>
    </w:p>
    <w:p>
      <w:pPr>
        <w:widowControl/>
        <w:spacing w:line="560" w:lineRule="exact"/>
        <w:ind w:firstLine="640" w:firstLineChars="200"/>
        <w:jc w:val="left"/>
        <w:rPr>
          <w:rFonts w:ascii="仿宋_GB2312" w:hAnsi="仿宋_GB2312" w:eastAsia="仿宋_GB2312" w:cs="仿宋_GB2312"/>
          <w:szCs w:val="32"/>
          <w:highlight w:val="red"/>
        </w:rPr>
      </w:pPr>
      <w:r>
        <w:rPr>
          <w:rFonts w:hint="eastAsia" w:ascii="黑体" w:hAnsi="黑体" w:eastAsia="黑体"/>
          <w:color w:val="000000"/>
          <w:kern w:val="0"/>
          <w:szCs w:val="32"/>
        </w:rPr>
        <w:t>一、收入支出决算总体情况说明</w:t>
      </w:r>
      <w:r>
        <w:rPr>
          <w:rFonts w:ascii="黑体" w:hAnsi="黑体" w:eastAsia="黑体"/>
          <w:color w:val="000000"/>
          <w:kern w:val="0"/>
          <w:szCs w:val="32"/>
        </w:rPr>
        <w:t xml:space="preserve"> </w:t>
      </w:r>
    </w:p>
    <w:p>
      <w:pPr>
        <w:widowControl/>
        <w:spacing w:line="560" w:lineRule="exact"/>
        <w:ind w:firstLine="640" w:firstLineChars="200"/>
        <w:jc w:val="left"/>
        <w:rPr>
          <w:rFonts w:hint="eastAsia" w:ascii="仿宋_GB2312" w:hAnsi="仿宋" w:eastAsia="仿宋_GB2312"/>
          <w:szCs w:val="32"/>
          <w:lang w:val="en-US" w:eastAsia="zh-CN"/>
        </w:rPr>
      </w:pPr>
      <w:r>
        <w:rPr>
          <w:rFonts w:ascii="仿宋_GB2312" w:hAnsi="仿宋" w:eastAsia="仿宋_GB2312"/>
          <w:szCs w:val="32"/>
        </w:rPr>
        <w:t>2019</w:t>
      </w:r>
      <w:r>
        <w:rPr>
          <w:rFonts w:hint="eastAsia" w:ascii="仿宋_GB2312" w:hAnsi="仿宋" w:eastAsia="仿宋_GB2312"/>
          <w:szCs w:val="32"/>
        </w:rPr>
        <w:t>年度</w:t>
      </w:r>
      <w:r>
        <w:rPr>
          <w:rFonts w:hint="eastAsia" w:ascii="仿宋_GB2312" w:hAnsi="仿宋" w:eastAsia="仿宋_GB2312"/>
          <w:szCs w:val="32"/>
          <w:lang w:eastAsia="zh-CN"/>
        </w:rPr>
        <w:t>总收入为</w:t>
      </w:r>
      <w:r>
        <w:rPr>
          <w:rFonts w:hint="eastAsia" w:ascii="仿宋_GB2312" w:hAnsi="仿宋" w:eastAsia="仿宋_GB2312"/>
          <w:szCs w:val="32"/>
          <w:lang w:val="en-US" w:eastAsia="zh-CN"/>
        </w:rPr>
        <w:t>1010.31万元，其中一般公共预算财政拨款收入1010.31万元；总支出872.90万元，年末财政拨款结转和结余137.41万元。2018年总收入766.30万元，其中一般公共预算财政拨款收入766.30万元；总支出766.30万元，年末无结转。</w:t>
      </w:r>
      <w:r>
        <w:rPr>
          <w:rFonts w:hint="eastAsia" w:ascii="仿宋_GB2312" w:hAnsi="仿宋" w:eastAsia="仿宋_GB2312"/>
          <w:szCs w:val="32"/>
        </w:rPr>
        <w:t>收入总体情况及比上年增长</w:t>
      </w:r>
      <w:r>
        <w:rPr>
          <w:rFonts w:hint="eastAsia" w:ascii="仿宋_GB2312" w:hAnsi="仿宋" w:eastAsia="仿宋_GB2312"/>
          <w:szCs w:val="32"/>
          <w:lang w:val="en-US" w:eastAsia="zh-CN"/>
        </w:rPr>
        <w:t>31.84</w:t>
      </w:r>
      <w:r>
        <w:rPr>
          <w:rFonts w:ascii="仿宋_GB2312" w:hAnsi="宋体" w:eastAsia="仿宋_GB2312" w:cs="仿宋_GB2312"/>
          <w:color w:val="000000"/>
          <w:kern w:val="0"/>
          <w:szCs w:val="32"/>
        </w:rPr>
        <w:t>%</w:t>
      </w:r>
      <w:r>
        <w:rPr>
          <w:rFonts w:hint="eastAsia" w:ascii="仿宋_GB2312" w:hAnsi="仿宋" w:eastAsia="仿宋_GB2312"/>
          <w:szCs w:val="32"/>
        </w:rPr>
        <w:t>，</w:t>
      </w:r>
      <w:r>
        <w:rPr>
          <w:rFonts w:hint="eastAsia" w:ascii="仿宋_GB2312" w:hAnsi="仿宋" w:eastAsia="仿宋_GB2312"/>
          <w:szCs w:val="32"/>
          <w:lang w:eastAsia="zh-CN"/>
        </w:rPr>
        <w:t>主要原因是</w:t>
      </w:r>
      <w:r>
        <w:rPr>
          <w:rFonts w:hint="eastAsia" w:ascii="仿宋_GB2312" w:hAnsi="仿宋" w:eastAsia="仿宋_GB2312"/>
          <w:szCs w:val="32"/>
          <w:lang w:val="en-US" w:eastAsia="zh-CN"/>
        </w:rPr>
        <w:t>增加艾梅乙母婴阻断项目资金、免费产前筛查和新生儿疾病筛查项目资金及妇女免费两癌筛查项目资金，使总收入较上年有所增长。</w:t>
      </w:r>
      <w:r>
        <w:rPr>
          <w:rFonts w:hint="eastAsia" w:ascii="仿宋_GB2312" w:hAnsi="仿宋" w:eastAsia="仿宋_GB2312"/>
          <w:szCs w:val="32"/>
          <w:lang w:eastAsia="zh-CN"/>
        </w:rPr>
        <w:t>总</w:t>
      </w:r>
      <w:r>
        <w:rPr>
          <w:rFonts w:hint="eastAsia" w:ascii="仿宋_GB2312" w:hAnsi="仿宋" w:eastAsia="仿宋_GB2312"/>
          <w:szCs w:val="32"/>
        </w:rPr>
        <w:t>支出</w:t>
      </w:r>
      <w:r>
        <w:rPr>
          <w:rFonts w:hint="eastAsia" w:ascii="仿宋_GB2312" w:hAnsi="仿宋" w:eastAsia="仿宋_GB2312"/>
          <w:szCs w:val="32"/>
          <w:lang w:eastAsia="zh-CN"/>
        </w:rPr>
        <w:t>较</w:t>
      </w:r>
      <w:r>
        <w:rPr>
          <w:rFonts w:hint="eastAsia" w:ascii="仿宋_GB2312" w:hAnsi="仿宋" w:eastAsia="仿宋_GB2312"/>
          <w:szCs w:val="32"/>
        </w:rPr>
        <w:t>上年增长</w:t>
      </w:r>
      <w:r>
        <w:rPr>
          <w:rFonts w:hint="eastAsia" w:ascii="仿宋_GB2312" w:hAnsi="仿宋" w:eastAsia="仿宋_GB2312"/>
          <w:szCs w:val="32"/>
          <w:lang w:val="en-US" w:eastAsia="zh-CN"/>
        </w:rPr>
        <w:t>13.91%</w:t>
      </w:r>
      <w:r>
        <w:rPr>
          <w:rFonts w:hint="eastAsia" w:ascii="仿宋_GB2312" w:hAnsi="仿宋" w:eastAsia="仿宋_GB2312"/>
          <w:szCs w:val="32"/>
        </w:rPr>
        <w:t>，</w:t>
      </w:r>
      <w:r>
        <w:rPr>
          <w:rFonts w:hint="eastAsia" w:ascii="仿宋_GB2312" w:hAnsi="仿宋" w:eastAsia="仿宋_GB2312"/>
          <w:szCs w:val="32"/>
          <w:lang w:eastAsia="zh-CN"/>
        </w:rPr>
        <w:t>原因是</w:t>
      </w:r>
      <w:r>
        <w:rPr>
          <w:rFonts w:hint="eastAsia" w:ascii="仿宋_GB2312" w:hAnsi="仿宋" w:eastAsia="仿宋_GB2312"/>
          <w:szCs w:val="32"/>
          <w:lang w:val="en-US" w:eastAsia="zh-CN"/>
        </w:rPr>
        <w:t>我中心开展艾梅乙母婴阻断、免费产前筛查和新生儿疾病筛查项目及妇女免费两癌筛查项目，中省市专项资金增加对应支出增加。</w:t>
      </w:r>
    </w:p>
    <w:p>
      <w:pPr>
        <w:widowControl/>
        <w:spacing w:after="5525" w:afterLines="1770" w:afterAutospacing="0" w:line="560" w:lineRule="exact"/>
        <w:ind w:firstLine="640" w:firstLineChars="200"/>
        <w:jc w:val="left"/>
        <w:rPr>
          <w:rFonts w:hint="eastAsia" w:ascii="仿宋_GB2312" w:hAnsi="仿宋" w:eastAsia="仿宋_GB2312"/>
          <w:szCs w:val="32"/>
          <w:lang w:val="en-US" w:eastAsia="zh-CN"/>
        </w:rPr>
      </w:pPr>
      <w:r>
        <w:rPr>
          <w:rFonts w:hint="eastAsia" w:ascii="仿宋_GB2312" w:hAnsi="仿宋" w:eastAsia="仿宋_GB2312"/>
          <w:szCs w:val="32"/>
          <w:lang w:val="en-US" w:eastAsia="zh-CN"/>
        </w:rPr>
        <w:drawing>
          <wp:anchor distT="0" distB="0" distL="114300" distR="114300" simplePos="0" relativeHeight="251658240" behindDoc="0" locked="0" layoutInCell="1" allowOverlap="1">
            <wp:simplePos x="0" y="0"/>
            <wp:positionH relativeFrom="column">
              <wp:posOffset>175895</wp:posOffset>
            </wp:positionH>
            <wp:positionV relativeFrom="page">
              <wp:posOffset>5997575</wp:posOffset>
            </wp:positionV>
            <wp:extent cx="4937760" cy="3610610"/>
            <wp:effectExtent l="4445" t="4445" r="10795" b="42545"/>
            <wp:wrapNone/>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Pr>
          <w:rFonts w:hint="eastAsia" w:ascii="仿宋_GB2312" w:hAnsi="仿宋" w:eastAsia="仿宋_GB2312"/>
          <w:szCs w:val="32"/>
          <w:lang w:val="en-US" w:eastAsia="zh-CN"/>
        </w:rPr>
        <w:object>
          <v:shape id="_x0000_i1026" o:spt="75" type="#_x0000_t75" style="height:0.05pt;width:0.05pt;" o:ole="t" filled="f" stroked="f" coordsize="21600,21600">
            <v:path/>
            <v:fill on="f" focussize="0,0"/>
            <v:stroke on="f"/>
            <v:imagedata o:title=""/>
            <o:lock v:ext="edit" aspectratio="t"/>
            <w10:wrap type="none"/>
            <w10:anchorlock/>
          </v:shape>
          <o:OLEObject Type="Embed" ProgID="Excel.Chart.8" ShapeID="_x0000_i1026" DrawAspect="Content" ObjectID="_1468075726" r:id="rId9">
            <o:LockedField>false</o:LockedField>
          </o:OLEObject>
        </w:object>
      </w:r>
      <w:r>
        <w:rPr>
          <w:rFonts w:hint="eastAsia" w:ascii="仿宋_GB2312" w:hAnsi="仿宋" w:eastAsia="仿宋_GB2312"/>
          <w:szCs w:val="32"/>
          <w:lang w:val="en-US" w:eastAsia="zh-CN"/>
        </w:rPr>
        <w:object>
          <v:shape id="_x0000_i1027" o:spt="75" type="#_x0000_t75" style="height:0.05pt;width:0.05pt;" o:ole="t" filled="f" stroked="f" coordsize="21600,21600">
            <v:path/>
            <v:fill on="f" focussize="0,0"/>
            <v:stroke on="f"/>
            <v:imagedata o:title=""/>
            <o:lock v:ext="edit" aspectratio="t"/>
            <w10:wrap type="none"/>
            <w10:anchorlock/>
          </v:shape>
          <o:OLEObject Type="Embed" ProgID="Excel.Chart.8" ShapeID="_x0000_i1027" DrawAspect="Content" ObjectID="_1468075727" r:id="rId10">
            <o:LockedField>false</o:LockedField>
          </o:OLEObject>
        </w:object>
      </w:r>
      <w:r>
        <w:rPr>
          <w:rFonts w:hint="eastAsia" w:ascii="仿宋_GB2312" w:hAnsi="仿宋" w:eastAsia="仿宋_GB2312"/>
          <w:szCs w:val="32"/>
          <w:lang w:val="en-US" w:eastAsia="zh-CN"/>
        </w:rPr>
        <w:object>
          <v:shape id="_x0000_i1028" o:spt="75" type="#_x0000_t75" style="height:0.05pt;width:0.05pt;" o:ole="t" filled="f" stroked="f" coordsize="21600,21600">
            <v:path/>
            <v:fill on="f" focussize="0,0"/>
            <v:stroke on="f"/>
            <v:imagedata o:title=""/>
            <o:lock v:ext="edit" aspectratio="t"/>
            <w10:wrap type="none"/>
            <w10:anchorlock/>
          </v:shape>
          <o:OLEObject Type="Embed" ProgID="Excel.Chart.8" ShapeID="_x0000_i1028" DrawAspect="Content" ObjectID="_1468075728" r:id="rId11">
            <o:LockedField>false</o:LockedField>
          </o:OLEObject>
        </w:object>
      </w:r>
      <w:r>
        <w:rPr>
          <w:rFonts w:hint="eastAsia" w:ascii="仿宋_GB2312" w:hAnsi="仿宋" w:eastAsia="仿宋_GB2312"/>
          <w:szCs w:val="32"/>
          <w:lang w:val="en-US" w:eastAsia="zh-CN"/>
        </w:rPr>
        <w:object>
          <v:shape id="_x0000_i1029" o:spt="75" type="#_x0000_t75" style="height:0.05pt;width:0.05pt;" o:ole="t" filled="f" stroked="f" coordsize="21600,21600">
            <v:path/>
            <v:fill on="f" focussize="0,0"/>
            <v:stroke on="f"/>
            <v:imagedata o:title=""/>
            <o:lock v:ext="edit" aspectratio="t"/>
            <w10:wrap type="none"/>
            <w10:anchorlock/>
          </v:shape>
          <o:OLEObject Type="Embed" ProgID="Excel.Chart.8" ShapeID="_x0000_i1029" DrawAspect="Content" ObjectID="_1468075729" r:id="rId12">
            <o:LockedField>false</o:LockedField>
          </o:OLEObject>
        </w:object>
      </w:r>
    </w:p>
    <w:p>
      <w:pPr>
        <w:widowControl/>
        <w:spacing w:line="560" w:lineRule="exact"/>
        <w:jc w:val="left"/>
        <w:rPr>
          <w:rFonts w:hint="eastAsia" w:ascii="仿宋_GB2312" w:hAnsi="仿宋" w:eastAsia="仿宋_GB2312"/>
          <w:szCs w:val="32"/>
          <w:lang w:val="en-US" w:eastAsia="zh-CN"/>
        </w:rPr>
      </w:pPr>
    </w:p>
    <w:p>
      <w:pPr>
        <w:widowControl/>
        <w:numPr>
          <w:ilvl w:val="0"/>
          <w:numId w:val="3"/>
        </w:numPr>
        <w:spacing w:line="560" w:lineRule="exact"/>
        <w:ind w:firstLine="640" w:firstLineChars="200"/>
        <w:jc w:val="left"/>
        <w:rPr>
          <w:rFonts w:hint="eastAsia" w:ascii="黑体" w:hAnsi="黑体" w:eastAsia="黑体"/>
          <w:color w:val="000000"/>
          <w:kern w:val="0"/>
          <w:szCs w:val="32"/>
        </w:rPr>
      </w:pPr>
      <w:r>
        <w:rPr>
          <w:rFonts w:hint="eastAsia" w:ascii="黑体" w:hAnsi="黑体" w:eastAsia="黑体"/>
          <w:color w:val="000000"/>
          <w:kern w:val="0"/>
          <w:szCs w:val="32"/>
        </w:rPr>
        <w:t>收入决算情况说明</w:t>
      </w: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w:t>
      </w:r>
      <w:r>
        <w:rPr>
          <w:rFonts w:hint="eastAsia" w:ascii="仿宋_GB2312" w:hAnsi="宋体" w:eastAsia="仿宋_GB2312" w:cs="仿宋_GB2312"/>
          <w:color w:val="000000"/>
          <w:kern w:val="0"/>
          <w:szCs w:val="32"/>
        </w:rPr>
        <w:t>收入合计</w:t>
      </w:r>
      <w:r>
        <w:rPr>
          <w:rFonts w:hint="eastAsia" w:ascii="仿宋_GB2312" w:hAnsi="宋体" w:eastAsia="仿宋_GB2312" w:cs="仿宋_GB2312"/>
          <w:color w:val="000000"/>
          <w:kern w:val="0"/>
          <w:szCs w:val="32"/>
          <w:lang w:val="en-US" w:eastAsia="zh-CN"/>
        </w:rPr>
        <w:t>1010.31</w:t>
      </w:r>
      <w:r>
        <w:rPr>
          <w:rFonts w:hint="eastAsia" w:ascii="仿宋_GB2312" w:hAnsi="宋体" w:eastAsia="仿宋_GB2312" w:cs="仿宋_GB2312"/>
          <w:color w:val="000000"/>
          <w:kern w:val="0"/>
          <w:szCs w:val="32"/>
        </w:rPr>
        <w:t>万元，其中：</w:t>
      </w:r>
      <w:r>
        <w:rPr>
          <w:rFonts w:hint="eastAsia" w:ascii="仿宋_GB2312" w:hAnsi="宋体" w:eastAsia="仿宋_GB2312" w:cs="仿宋_GB2312"/>
          <w:color w:val="000000"/>
          <w:kern w:val="0"/>
          <w:szCs w:val="32"/>
          <w:lang w:eastAsia="zh-CN"/>
        </w:rPr>
        <w:t>一般公共预算</w:t>
      </w:r>
      <w:r>
        <w:rPr>
          <w:rFonts w:hint="eastAsia" w:ascii="仿宋_GB2312" w:hAnsi="宋体" w:eastAsia="仿宋_GB2312" w:cs="仿宋_GB2312"/>
          <w:color w:val="000000"/>
          <w:kern w:val="0"/>
          <w:szCs w:val="32"/>
        </w:rPr>
        <w:t>财政拨款收入</w:t>
      </w:r>
      <w:r>
        <w:rPr>
          <w:rFonts w:hint="eastAsia" w:ascii="仿宋_GB2312" w:hAnsi="宋体" w:eastAsia="仿宋_GB2312" w:cs="仿宋_GB2312"/>
          <w:color w:val="000000"/>
          <w:kern w:val="0"/>
          <w:szCs w:val="32"/>
          <w:lang w:val="en-US" w:eastAsia="zh-CN"/>
        </w:rPr>
        <w:t>1010.31</w:t>
      </w:r>
      <w:r>
        <w:rPr>
          <w:rFonts w:hint="eastAsia"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lang w:eastAsia="zh-CN"/>
        </w:rPr>
        <w:t>。</w:t>
      </w: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r>
        <w:rPr>
          <w:rFonts w:hint="eastAsia" w:ascii="仿宋_GB2312" w:hAnsi="宋体" w:eastAsia="仿宋_GB2312" w:cs="仿宋_GB2312"/>
          <w:color w:val="000000"/>
          <w:kern w:val="0"/>
          <w:szCs w:val="32"/>
          <w:lang w:eastAsia="zh-CN"/>
        </w:rPr>
        <w:drawing>
          <wp:anchor distT="0" distB="0" distL="114300" distR="114300" simplePos="0" relativeHeight="251659264" behindDoc="0" locked="0" layoutInCell="1" allowOverlap="1">
            <wp:simplePos x="0" y="0"/>
            <wp:positionH relativeFrom="column">
              <wp:posOffset>588010</wp:posOffset>
            </wp:positionH>
            <wp:positionV relativeFrom="paragraph">
              <wp:posOffset>121285</wp:posOffset>
            </wp:positionV>
            <wp:extent cx="4436745" cy="2921000"/>
            <wp:effectExtent l="4445" t="4445" r="8890" b="15875"/>
            <wp:wrapNone/>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p>
    <w:p>
      <w:pPr>
        <w:widowControl/>
        <w:spacing w:line="560" w:lineRule="exact"/>
        <w:jc w:val="left"/>
        <w:rPr>
          <w:rFonts w:hint="eastAsia" w:ascii="仿宋_GB2312" w:hAnsi="宋体" w:eastAsia="仿宋_GB2312" w:cs="仿宋_GB2312"/>
          <w:color w:val="000000"/>
          <w:kern w:val="0"/>
          <w:szCs w:val="32"/>
          <w:lang w:eastAsia="zh-CN"/>
        </w:rPr>
      </w:pPr>
    </w:p>
    <w:p>
      <w:pPr>
        <w:widowControl/>
        <w:spacing w:line="560" w:lineRule="exact"/>
        <w:ind w:firstLine="320" w:firstLineChars="100"/>
        <w:jc w:val="left"/>
        <w:rPr>
          <w:rFonts w:ascii="黑体" w:hAnsi="黑体" w:eastAsia="黑体"/>
        </w:rPr>
      </w:pPr>
      <w:r>
        <w:rPr>
          <w:rFonts w:hint="eastAsia" w:ascii="黑体" w:hAnsi="黑体" w:eastAsia="黑体"/>
          <w:color w:val="000000"/>
          <w:kern w:val="0"/>
          <w:szCs w:val="32"/>
        </w:rPr>
        <w:t>三、支出决算情况说明</w:t>
      </w:r>
      <w:r>
        <w:rPr>
          <w:rFonts w:ascii="黑体" w:hAnsi="黑体" w:eastAsia="黑体"/>
          <w:color w:val="000000"/>
          <w:kern w:val="0"/>
          <w:szCs w:val="32"/>
        </w:rPr>
        <w:t xml:space="preserve">  </w:t>
      </w: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w:t>
      </w:r>
      <w:r>
        <w:rPr>
          <w:rFonts w:hint="eastAsia" w:ascii="仿宋_GB2312" w:hAnsi="宋体" w:eastAsia="仿宋_GB2312" w:cs="仿宋_GB2312"/>
          <w:color w:val="000000"/>
          <w:kern w:val="0"/>
          <w:szCs w:val="32"/>
        </w:rPr>
        <w:t>支出合计</w:t>
      </w:r>
      <w:r>
        <w:rPr>
          <w:rFonts w:hint="eastAsia" w:ascii="仿宋_GB2312" w:hAnsi="宋体" w:eastAsia="仿宋_GB2312" w:cs="仿宋_GB2312"/>
          <w:color w:val="000000"/>
          <w:kern w:val="0"/>
          <w:szCs w:val="32"/>
          <w:lang w:val="en-US" w:eastAsia="zh-CN"/>
        </w:rPr>
        <w:t>872.9</w:t>
      </w:r>
      <w:r>
        <w:rPr>
          <w:rFonts w:hint="eastAsia" w:ascii="仿宋_GB2312" w:hAnsi="宋体" w:eastAsia="仿宋_GB2312" w:cs="仿宋_GB2312"/>
          <w:color w:val="000000"/>
          <w:kern w:val="0"/>
          <w:szCs w:val="32"/>
        </w:rPr>
        <w:t>万元，其中：基本支出</w:t>
      </w:r>
      <w:r>
        <w:rPr>
          <w:rFonts w:hint="eastAsia" w:ascii="仿宋_GB2312" w:hAnsi="宋体" w:eastAsia="仿宋_GB2312" w:cs="仿宋_GB2312"/>
          <w:color w:val="000000"/>
          <w:kern w:val="0"/>
          <w:szCs w:val="32"/>
          <w:lang w:val="en-US" w:eastAsia="zh-CN"/>
        </w:rPr>
        <w:t>411.96</w:t>
      </w:r>
      <w:r>
        <w:rPr>
          <w:rFonts w:hint="eastAsia"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47.19</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；项目支出</w:t>
      </w:r>
      <w:r>
        <w:rPr>
          <w:rFonts w:hint="eastAsia" w:ascii="仿宋_GB2312" w:hAnsi="宋体" w:eastAsia="仿宋_GB2312" w:cs="仿宋_GB2312"/>
          <w:color w:val="000000"/>
          <w:kern w:val="0"/>
          <w:szCs w:val="32"/>
          <w:lang w:val="en-US" w:eastAsia="zh-CN"/>
        </w:rPr>
        <w:t>460.94</w:t>
      </w:r>
      <w:r>
        <w:rPr>
          <w:rFonts w:hint="eastAsia"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52.81</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lang w:eastAsia="zh-CN"/>
        </w:rPr>
        <w:t>。</w:t>
      </w: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r>
        <w:rPr>
          <w:rFonts w:hint="eastAsia" w:ascii="仿宋_GB2312" w:hAnsi="宋体" w:eastAsia="仿宋_GB2312" w:cs="仿宋_GB2312"/>
          <w:color w:val="000000"/>
          <w:kern w:val="0"/>
          <w:szCs w:val="32"/>
          <w:lang w:eastAsia="zh-CN"/>
        </w:rPr>
        <w:drawing>
          <wp:anchor distT="0" distB="0" distL="114300" distR="114300" simplePos="0" relativeHeight="251660288" behindDoc="0" locked="0" layoutInCell="1" allowOverlap="1">
            <wp:simplePos x="0" y="0"/>
            <wp:positionH relativeFrom="column">
              <wp:posOffset>572135</wp:posOffset>
            </wp:positionH>
            <wp:positionV relativeFrom="paragraph">
              <wp:posOffset>179705</wp:posOffset>
            </wp:positionV>
            <wp:extent cx="4292600" cy="2913380"/>
            <wp:effectExtent l="4445" t="4445" r="15875" b="8255"/>
            <wp:wrapNone/>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r>
        <w:rPr>
          <w:rFonts w:ascii="黑体" w:hAnsi="黑体" w:eastAsia="黑体"/>
          <w:color w:val="000000"/>
          <w:kern w:val="0"/>
          <w:szCs w:val="32"/>
        </w:rPr>
        <w:t xml:space="preserve">  </w:t>
      </w:r>
    </w:p>
    <w:p>
      <w:pPr>
        <w:widowControl/>
        <w:spacing w:line="560" w:lineRule="exact"/>
        <w:ind w:firstLine="640" w:firstLineChars="200"/>
        <w:jc w:val="left"/>
        <w:rPr>
          <w:rFonts w:hint="eastAsia" w:ascii="仿宋_GB2312" w:hAnsi="仿宋" w:eastAsia="仿宋_GB2312"/>
          <w:szCs w:val="32"/>
          <w:lang w:val="en-US" w:eastAsia="zh-CN"/>
        </w:rPr>
      </w:pPr>
      <w:r>
        <w:rPr>
          <w:rFonts w:ascii="仿宋_GB2312" w:hAnsi="仿宋" w:eastAsia="仿宋_GB2312"/>
          <w:szCs w:val="32"/>
        </w:rPr>
        <w:t>2019</w:t>
      </w:r>
      <w:r>
        <w:rPr>
          <w:rFonts w:hint="eastAsia" w:ascii="仿宋_GB2312" w:hAnsi="仿宋" w:eastAsia="仿宋_GB2312"/>
          <w:szCs w:val="32"/>
        </w:rPr>
        <w:t>年度</w:t>
      </w:r>
      <w:r>
        <w:rPr>
          <w:rFonts w:hint="eastAsia" w:ascii="仿宋_GB2312" w:hAnsi="仿宋" w:eastAsia="仿宋_GB2312"/>
          <w:szCs w:val="32"/>
          <w:lang w:eastAsia="zh-CN"/>
        </w:rPr>
        <w:t>总收入为</w:t>
      </w:r>
      <w:r>
        <w:rPr>
          <w:rFonts w:hint="eastAsia" w:ascii="仿宋_GB2312" w:hAnsi="仿宋" w:eastAsia="仿宋_GB2312"/>
          <w:szCs w:val="32"/>
          <w:lang w:val="en-US" w:eastAsia="zh-CN"/>
        </w:rPr>
        <w:t>1010.31万元，其中：一般公共预算财政拨款收入1010.31万元，2018年总收入766.3万元，其中：一般公共预算财政拨款收入766.3万元，收入较去年增加244.01万元，增长31.84%，</w:t>
      </w:r>
      <w:r>
        <w:rPr>
          <w:rFonts w:hint="eastAsia" w:ascii="仿宋_GB2312" w:hAnsi="仿宋" w:eastAsia="仿宋_GB2312"/>
          <w:szCs w:val="32"/>
          <w:lang w:eastAsia="zh-CN"/>
        </w:rPr>
        <w:t>主要原因是</w:t>
      </w:r>
      <w:r>
        <w:rPr>
          <w:rFonts w:hint="eastAsia" w:ascii="仿宋_GB2312" w:hAnsi="仿宋" w:eastAsia="仿宋_GB2312"/>
          <w:szCs w:val="32"/>
          <w:lang w:val="en-US" w:eastAsia="zh-CN"/>
        </w:rPr>
        <w:t>增加艾梅乙母婴阻断项目资金和免费产前筛查和新生儿疾病筛查项目资金及妇女免费两癌筛查项目资金。</w:t>
      </w:r>
    </w:p>
    <w:p>
      <w:pPr>
        <w:widowControl/>
        <w:spacing w:line="560" w:lineRule="exact"/>
        <w:ind w:firstLine="640" w:firstLineChars="200"/>
        <w:jc w:val="left"/>
        <w:rPr>
          <w:rFonts w:hint="eastAsia" w:ascii="仿宋_GB2312" w:hAnsi="仿宋" w:eastAsia="仿宋_GB2312"/>
          <w:szCs w:val="32"/>
          <w:lang w:val="en-US" w:eastAsia="zh-CN"/>
        </w:rPr>
      </w:pPr>
      <w:r>
        <w:rPr>
          <w:rFonts w:hint="eastAsia" w:ascii="仿宋_GB2312" w:hAnsi="仿宋" w:eastAsia="仿宋_GB2312"/>
          <w:szCs w:val="32"/>
          <w:lang w:val="en-US" w:eastAsia="zh-CN"/>
        </w:rPr>
        <w:drawing>
          <wp:anchor distT="0" distB="0" distL="114300" distR="114300" simplePos="0" relativeHeight="251661312" behindDoc="0" locked="0" layoutInCell="1" allowOverlap="1">
            <wp:simplePos x="0" y="0"/>
            <wp:positionH relativeFrom="column">
              <wp:posOffset>504825</wp:posOffset>
            </wp:positionH>
            <wp:positionV relativeFrom="page">
              <wp:posOffset>4190365</wp:posOffset>
            </wp:positionV>
            <wp:extent cx="4410075" cy="2877185"/>
            <wp:effectExtent l="4445" t="5080" r="5080" b="43815"/>
            <wp:wrapNone/>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pPr>
        <w:widowControl/>
        <w:spacing w:line="560" w:lineRule="exact"/>
        <w:ind w:firstLine="640" w:firstLineChars="200"/>
        <w:jc w:val="left"/>
        <w:rPr>
          <w:rFonts w:hint="eastAsia" w:ascii="仿宋_GB2312" w:hAnsi="仿宋" w:eastAsia="仿宋_GB2312"/>
          <w:szCs w:val="32"/>
          <w:lang w:val="en-US" w:eastAsia="zh-CN"/>
        </w:rPr>
      </w:pPr>
    </w:p>
    <w:p>
      <w:pPr>
        <w:widowControl/>
        <w:spacing w:line="560" w:lineRule="exact"/>
        <w:ind w:firstLine="640" w:firstLineChars="200"/>
        <w:jc w:val="left"/>
        <w:rPr>
          <w:rFonts w:hint="eastAsia" w:ascii="仿宋_GB2312" w:hAnsi="仿宋" w:eastAsia="仿宋_GB2312"/>
          <w:szCs w:val="32"/>
          <w:lang w:val="en-US" w:eastAsia="zh-CN"/>
        </w:rPr>
      </w:pPr>
    </w:p>
    <w:p>
      <w:pPr>
        <w:widowControl/>
        <w:spacing w:line="560" w:lineRule="exact"/>
        <w:ind w:firstLine="640" w:firstLineChars="200"/>
        <w:jc w:val="left"/>
        <w:rPr>
          <w:rFonts w:hint="eastAsia" w:ascii="仿宋_GB2312" w:hAnsi="仿宋" w:eastAsia="仿宋_GB2312"/>
          <w:szCs w:val="32"/>
          <w:lang w:val="en-US" w:eastAsia="zh-CN"/>
        </w:rPr>
      </w:pPr>
    </w:p>
    <w:p>
      <w:pPr>
        <w:widowControl/>
        <w:spacing w:line="560" w:lineRule="exact"/>
        <w:ind w:firstLine="640" w:firstLineChars="200"/>
        <w:jc w:val="left"/>
        <w:rPr>
          <w:rFonts w:hint="eastAsia" w:ascii="仿宋_GB2312" w:hAnsi="仿宋" w:eastAsia="仿宋_GB2312"/>
          <w:szCs w:val="32"/>
          <w:lang w:val="en-US" w:eastAsia="zh-CN"/>
        </w:rPr>
      </w:pPr>
    </w:p>
    <w:p>
      <w:pPr>
        <w:widowControl/>
        <w:spacing w:line="560" w:lineRule="exact"/>
        <w:ind w:firstLine="640" w:firstLineChars="200"/>
        <w:jc w:val="left"/>
        <w:rPr>
          <w:rFonts w:hint="eastAsia" w:ascii="仿宋_GB2312" w:hAnsi="仿宋" w:eastAsia="仿宋_GB2312"/>
          <w:szCs w:val="32"/>
          <w:lang w:val="en-US" w:eastAsia="zh-CN"/>
        </w:rPr>
      </w:pPr>
    </w:p>
    <w:p>
      <w:pPr>
        <w:widowControl/>
        <w:spacing w:line="560" w:lineRule="exact"/>
        <w:ind w:firstLine="640" w:firstLineChars="200"/>
        <w:jc w:val="left"/>
        <w:rPr>
          <w:rFonts w:hint="eastAsia" w:ascii="仿宋_GB2312" w:hAnsi="仿宋" w:eastAsia="仿宋_GB2312"/>
          <w:szCs w:val="32"/>
          <w:lang w:val="en-US" w:eastAsia="zh-CN"/>
        </w:rPr>
      </w:pPr>
    </w:p>
    <w:p>
      <w:pPr>
        <w:widowControl/>
        <w:spacing w:line="560" w:lineRule="exact"/>
        <w:ind w:firstLine="640" w:firstLineChars="200"/>
        <w:jc w:val="left"/>
        <w:rPr>
          <w:rFonts w:hint="eastAsia" w:ascii="仿宋_GB2312" w:hAnsi="仿宋" w:eastAsia="仿宋_GB2312"/>
          <w:szCs w:val="32"/>
          <w:lang w:val="en-US" w:eastAsia="zh-CN"/>
        </w:rPr>
      </w:pPr>
    </w:p>
    <w:p>
      <w:pPr>
        <w:widowControl/>
        <w:spacing w:line="560" w:lineRule="exact"/>
        <w:ind w:firstLine="640" w:firstLineChars="200"/>
        <w:jc w:val="left"/>
        <w:rPr>
          <w:rFonts w:hint="eastAsia" w:ascii="仿宋_GB2312" w:hAnsi="仿宋" w:eastAsia="仿宋_GB2312"/>
          <w:szCs w:val="32"/>
          <w:lang w:val="en-US" w:eastAsia="zh-CN"/>
        </w:rPr>
      </w:pPr>
    </w:p>
    <w:p>
      <w:pPr>
        <w:widowControl/>
        <w:spacing w:line="560" w:lineRule="exact"/>
        <w:ind w:firstLine="640" w:firstLineChars="200"/>
        <w:jc w:val="left"/>
        <w:rPr>
          <w:rFonts w:hint="eastAsia" w:ascii="仿宋_GB2312" w:hAnsi="仿宋" w:eastAsia="仿宋_GB2312"/>
          <w:szCs w:val="32"/>
          <w:lang w:val="en-US" w:eastAsia="zh-CN"/>
        </w:rPr>
      </w:pPr>
      <w:r>
        <w:rPr>
          <w:rFonts w:hint="eastAsia" w:ascii="仿宋_GB2312" w:hAnsi="仿宋" w:eastAsia="仿宋_GB2312"/>
          <w:szCs w:val="32"/>
          <w:lang w:val="en-US" w:eastAsia="zh-CN"/>
        </w:rPr>
        <w:t>2019年度一般公共预算财政拨款支出872.9万元，其中社会保障和就业支出37.59万元</w:t>
      </w:r>
      <w:r>
        <w:rPr>
          <w:rFonts w:hint="eastAsia" w:ascii="仿宋_GB2312" w:hAnsi="仿宋" w:eastAsia="仿宋_GB2312"/>
          <w:color w:val="000000" w:themeColor="text1"/>
          <w:szCs w:val="32"/>
          <w:lang w:val="en-US" w:eastAsia="zh-CN"/>
          <w14:textFill>
            <w14:solidFill>
              <w14:schemeClr w14:val="tx1"/>
            </w14:solidFill>
          </w14:textFill>
        </w:rPr>
        <w:t>，妇幼保健机构支出370.77万元，基本公共卫生服务46.20万元，重大公共卫生专项218.12万元，其他公共卫生支出129.00万元，计划生育机构8.47万元，计划生育服务28.50万元，其他计划生育事务支出25.90万元，行政事业单位医疗支出8.34万元。2018年度一般公共预算财政拨款支出766.3万元，其中妇幼保健机构271.5万元，基本公共卫生服务15万元，重大公共卫生专项142.57万元，其他公共卫生支出9万元，计划生育机构77.18万元，计划生育服务75.6万元，其他计划生育事务支出110.45万元，中医（民族医）药专项10万元，城市社区卫生机构50万元</w:t>
      </w:r>
      <w:r>
        <w:rPr>
          <w:rFonts w:hint="eastAsia" w:ascii="仿宋_GB2312" w:hAnsi="仿宋" w:eastAsia="仿宋_GB2312"/>
          <w:szCs w:val="32"/>
          <w:lang w:val="en-US" w:eastAsia="zh-CN"/>
        </w:rPr>
        <w:t>，其他医疗卫生与计划生育管理事务支出5万元。总支出较上年增长13.91%，原因是增加艾梅乙母婴阻断项目和免费产前筛查和新生儿疾病筛查项目以及两癌筛查项目经费增加,收入增长对应支出增加。</w:t>
      </w:r>
    </w:p>
    <w:p>
      <w:pPr>
        <w:widowControl/>
        <w:spacing w:line="560" w:lineRule="exact"/>
        <w:ind w:firstLine="640" w:firstLineChars="200"/>
        <w:jc w:val="left"/>
        <w:rPr>
          <w:rFonts w:hint="eastAsia" w:ascii="仿宋_GB2312" w:hAnsi="仿宋" w:eastAsia="仿宋_GB2312"/>
          <w:szCs w:val="32"/>
          <w:lang w:val="en-US" w:eastAsia="zh-CN"/>
        </w:rPr>
      </w:pPr>
      <w:r>
        <w:rPr>
          <w:rFonts w:hint="default" w:ascii="仿宋_GB2312" w:hAnsi="仿宋" w:eastAsia="仿宋_GB2312"/>
          <w:szCs w:val="32"/>
          <w:lang w:val="en-US" w:eastAsia="zh-CN"/>
        </w:rPr>
        <w:drawing>
          <wp:anchor distT="0" distB="0" distL="114300" distR="114300" simplePos="0" relativeHeight="251662336" behindDoc="0" locked="0" layoutInCell="1" allowOverlap="1">
            <wp:simplePos x="0" y="0"/>
            <wp:positionH relativeFrom="column">
              <wp:posOffset>71755</wp:posOffset>
            </wp:positionH>
            <wp:positionV relativeFrom="paragraph">
              <wp:posOffset>197485</wp:posOffset>
            </wp:positionV>
            <wp:extent cx="5080000" cy="3810000"/>
            <wp:effectExtent l="4445" t="4445" r="5715" b="10795"/>
            <wp:wrapNone/>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pPr>
        <w:widowControl/>
        <w:spacing w:line="560" w:lineRule="exact"/>
        <w:ind w:firstLine="640" w:firstLineChars="200"/>
        <w:jc w:val="left"/>
        <w:rPr>
          <w:rFonts w:hint="eastAsia" w:ascii="仿宋_GB2312" w:hAnsi="仿宋" w:eastAsia="仿宋_GB2312"/>
          <w:szCs w:val="32"/>
          <w:lang w:val="en-US" w:eastAsia="zh-CN"/>
        </w:rPr>
      </w:pPr>
    </w:p>
    <w:p>
      <w:pPr>
        <w:widowControl/>
        <w:spacing w:line="560" w:lineRule="exact"/>
        <w:ind w:firstLine="640" w:firstLineChars="200"/>
        <w:jc w:val="left"/>
        <w:rPr>
          <w:rFonts w:hint="eastAsia" w:ascii="仿宋_GB2312" w:hAnsi="仿宋" w:eastAsia="仿宋_GB2312"/>
          <w:szCs w:val="32"/>
          <w:lang w:val="en-US" w:eastAsia="zh-CN"/>
        </w:rPr>
      </w:pPr>
    </w:p>
    <w:p>
      <w:pPr>
        <w:widowControl/>
        <w:spacing w:line="560" w:lineRule="exact"/>
        <w:ind w:firstLine="640" w:firstLineChars="200"/>
        <w:jc w:val="left"/>
        <w:rPr>
          <w:rFonts w:hint="eastAsia" w:ascii="仿宋_GB2312" w:hAnsi="仿宋" w:eastAsia="仿宋_GB2312"/>
          <w:szCs w:val="32"/>
          <w:lang w:val="en-US" w:eastAsia="zh-CN"/>
        </w:rPr>
      </w:pPr>
    </w:p>
    <w:p>
      <w:pPr>
        <w:widowControl/>
        <w:spacing w:line="560" w:lineRule="exact"/>
        <w:ind w:firstLine="640" w:firstLineChars="200"/>
        <w:jc w:val="left"/>
        <w:rPr>
          <w:rFonts w:hint="eastAsia" w:ascii="仿宋_GB2312" w:hAnsi="仿宋" w:eastAsia="仿宋_GB2312"/>
          <w:szCs w:val="32"/>
          <w:lang w:val="en-US" w:eastAsia="zh-CN"/>
        </w:rPr>
      </w:pPr>
    </w:p>
    <w:p>
      <w:pPr>
        <w:widowControl/>
        <w:spacing w:line="560" w:lineRule="exact"/>
        <w:ind w:firstLine="640" w:firstLineChars="200"/>
        <w:jc w:val="left"/>
        <w:rPr>
          <w:rFonts w:hint="eastAsia" w:ascii="仿宋_GB2312" w:hAnsi="仿宋" w:eastAsia="仿宋_GB2312"/>
          <w:szCs w:val="32"/>
          <w:lang w:val="en-US" w:eastAsia="zh-CN"/>
        </w:rPr>
      </w:pPr>
    </w:p>
    <w:p>
      <w:pPr>
        <w:widowControl/>
        <w:spacing w:line="560" w:lineRule="exact"/>
        <w:ind w:firstLine="640" w:firstLineChars="200"/>
        <w:jc w:val="left"/>
        <w:rPr>
          <w:rFonts w:hint="eastAsia" w:ascii="仿宋_GB2312" w:hAnsi="仿宋" w:eastAsia="仿宋_GB2312"/>
          <w:szCs w:val="32"/>
          <w:lang w:val="en-US" w:eastAsia="zh-CN"/>
        </w:rPr>
      </w:pPr>
    </w:p>
    <w:p>
      <w:pPr>
        <w:widowControl/>
        <w:spacing w:line="560" w:lineRule="exact"/>
        <w:ind w:firstLine="640" w:firstLineChars="200"/>
        <w:jc w:val="left"/>
        <w:rPr>
          <w:rFonts w:hint="eastAsia" w:ascii="仿宋_GB2312" w:hAnsi="仿宋" w:eastAsia="仿宋_GB2312"/>
          <w:szCs w:val="32"/>
          <w:lang w:val="en-US" w:eastAsia="zh-CN"/>
        </w:rPr>
      </w:pPr>
    </w:p>
    <w:p>
      <w:pPr>
        <w:widowControl/>
        <w:spacing w:line="560" w:lineRule="exact"/>
        <w:ind w:firstLine="640" w:firstLineChars="200"/>
        <w:jc w:val="left"/>
        <w:rPr>
          <w:rFonts w:hint="eastAsia" w:ascii="仿宋_GB2312" w:hAnsi="仿宋" w:eastAsia="仿宋_GB2312"/>
          <w:szCs w:val="32"/>
          <w:lang w:val="en-US" w:eastAsia="zh-CN"/>
        </w:rPr>
      </w:pPr>
    </w:p>
    <w:p>
      <w:pPr>
        <w:widowControl/>
        <w:spacing w:line="560" w:lineRule="exact"/>
        <w:ind w:firstLine="640" w:firstLineChars="200"/>
        <w:jc w:val="left"/>
        <w:rPr>
          <w:rFonts w:hint="default" w:ascii="仿宋_GB2312" w:hAnsi="仿宋" w:eastAsia="仿宋_GB2312"/>
          <w:szCs w:val="32"/>
          <w:lang w:val="en-US" w:eastAsia="zh-CN"/>
        </w:rPr>
      </w:pPr>
    </w:p>
    <w:p>
      <w:pPr>
        <w:widowControl/>
        <w:spacing w:line="560" w:lineRule="exact"/>
        <w:ind w:firstLine="640" w:firstLineChars="200"/>
        <w:jc w:val="left"/>
        <w:rPr>
          <w:rFonts w:hint="eastAsia" w:ascii="黑体" w:hAnsi="黑体" w:eastAsia="黑体"/>
          <w:color w:val="000000"/>
          <w:kern w:val="0"/>
          <w:szCs w:val="32"/>
        </w:rPr>
      </w:pPr>
    </w:p>
    <w:p>
      <w:pPr>
        <w:widowControl/>
        <w:spacing w:line="560" w:lineRule="exact"/>
        <w:ind w:firstLine="640" w:firstLineChars="200"/>
        <w:jc w:val="left"/>
        <w:rPr>
          <w:rFonts w:hint="eastAsia" w:ascii="黑体" w:hAnsi="黑体" w:eastAsia="黑体"/>
          <w:color w:val="000000"/>
          <w:kern w:val="0"/>
          <w:szCs w:val="32"/>
        </w:rPr>
      </w:pPr>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pPr>
        <w:widowControl/>
        <w:spacing w:line="560" w:lineRule="exact"/>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（一）财政拨款支出决算总体情况说明。</w:t>
      </w:r>
    </w:p>
    <w:p>
      <w:pPr>
        <w:spacing w:line="560" w:lineRule="exact"/>
        <w:ind w:firstLine="640" w:firstLineChars="200"/>
        <w:rPr>
          <w:rFonts w:hint="eastAsia" w:ascii="仿宋_GB2312" w:hAnsi="宋体" w:eastAsia="仿宋_GB2312" w:cs="仿宋_GB2312"/>
          <w:color w:val="000000"/>
          <w:kern w:val="0"/>
          <w:szCs w:val="32"/>
          <w:lang w:val="en-US" w:eastAsia="zh-CN"/>
        </w:rPr>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color w:val="000000"/>
          <w:szCs w:val="32"/>
        </w:rPr>
        <w:t>度</w:t>
      </w:r>
      <w:r>
        <w:rPr>
          <w:rFonts w:hint="eastAsia" w:ascii="仿宋_GB2312" w:hAnsi="宋体" w:eastAsia="仿宋_GB2312" w:cs="仿宋_GB2312"/>
          <w:color w:val="000000"/>
          <w:kern w:val="0"/>
          <w:szCs w:val="32"/>
        </w:rPr>
        <w:t>财政拨款支出</w:t>
      </w:r>
      <w:r>
        <w:rPr>
          <w:rFonts w:hint="eastAsia" w:ascii="仿宋_GB2312" w:hAnsi="宋体" w:eastAsia="仿宋_GB2312" w:cs="仿宋_GB2312"/>
          <w:color w:val="000000"/>
          <w:kern w:val="0"/>
          <w:szCs w:val="32"/>
          <w:lang w:val="en-US" w:eastAsia="zh-CN"/>
        </w:rPr>
        <w:t>872.9</w:t>
      </w:r>
      <w:r>
        <w:rPr>
          <w:rFonts w:hint="eastAsia" w:ascii="仿宋_GB2312" w:hAnsi="宋体" w:eastAsia="仿宋_GB2312" w:cs="仿宋_GB2312"/>
          <w:color w:val="000000"/>
          <w:kern w:val="0"/>
          <w:szCs w:val="32"/>
        </w:rPr>
        <w:t>万元，占本年支出合计的</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。与上年相比，财政拨款支出增加</w:t>
      </w:r>
      <w:r>
        <w:rPr>
          <w:rFonts w:hint="eastAsia" w:ascii="仿宋_GB2312" w:hAnsi="宋体" w:eastAsia="仿宋_GB2312" w:cs="仿宋_GB2312"/>
          <w:color w:val="000000"/>
          <w:kern w:val="0"/>
          <w:szCs w:val="32"/>
          <w:lang w:val="en-US" w:eastAsia="zh-CN"/>
        </w:rPr>
        <w:t>106.6</w:t>
      </w:r>
      <w:r>
        <w:rPr>
          <w:rFonts w:hint="eastAsia" w:ascii="仿宋_GB2312" w:hAnsi="宋体" w:eastAsia="仿宋_GB2312" w:cs="仿宋_GB2312"/>
          <w:color w:val="000000"/>
          <w:kern w:val="0"/>
          <w:szCs w:val="32"/>
        </w:rPr>
        <w:t>万元，增长</w:t>
      </w:r>
      <w:r>
        <w:rPr>
          <w:rFonts w:hint="eastAsia" w:ascii="仿宋_GB2312" w:hAnsi="宋体" w:eastAsia="仿宋_GB2312" w:cs="仿宋_GB2312"/>
          <w:color w:val="000000"/>
          <w:kern w:val="0"/>
          <w:szCs w:val="32"/>
          <w:lang w:val="en-US" w:eastAsia="zh-CN"/>
        </w:rPr>
        <w:t>13.91</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hint="eastAsia" w:ascii="仿宋_GB2312" w:hAnsi="宋体" w:eastAsia="仿宋_GB2312" w:cs="仿宋_GB2312"/>
          <w:color w:val="000000"/>
          <w:kern w:val="0"/>
          <w:szCs w:val="32"/>
          <w:lang w:eastAsia="zh-CN"/>
        </w:rPr>
        <w:t>主要</w:t>
      </w:r>
      <w:r>
        <w:rPr>
          <w:rFonts w:hint="eastAsia" w:ascii="仿宋_GB2312" w:hAnsi="宋体" w:eastAsia="仿宋_GB2312" w:cs="仿宋_GB2312"/>
          <w:color w:val="000000"/>
          <w:kern w:val="0"/>
          <w:szCs w:val="32"/>
          <w:lang w:val="en-US" w:eastAsia="zh-CN"/>
        </w:rPr>
        <w:t>原因是增加艾梅乙母婴阻断项目和免费产前筛查和新生儿疾病筛查项目以及两癌筛查项目经费增加,对应支出增加。</w:t>
      </w:r>
    </w:p>
    <w:p>
      <w:pPr>
        <w:spacing w:line="560" w:lineRule="exact"/>
        <w:ind w:firstLine="640" w:firstLineChars="200"/>
        <w:rPr>
          <w:rFonts w:hint="eastAsia" w:ascii="仿宋_GB2312" w:hAnsi="宋体" w:eastAsia="仿宋_GB2312" w:cs="仿宋_GB2312"/>
          <w:color w:val="000000"/>
          <w:kern w:val="0"/>
          <w:szCs w:val="32"/>
          <w:lang w:val="en-US" w:eastAsia="zh-CN"/>
        </w:rPr>
      </w:pPr>
      <w:r>
        <w:rPr>
          <w:rFonts w:hint="eastAsia" w:ascii="仿宋_GB2312" w:hAnsi="仿宋" w:eastAsia="仿宋_GB2312"/>
          <w:szCs w:val="32"/>
          <w:lang w:val="en-US" w:eastAsia="zh-CN"/>
        </w:rPr>
        <w:drawing>
          <wp:anchor distT="0" distB="0" distL="114300" distR="114300" simplePos="0" relativeHeight="251666432" behindDoc="0" locked="0" layoutInCell="1" allowOverlap="1">
            <wp:simplePos x="0" y="0"/>
            <wp:positionH relativeFrom="column">
              <wp:posOffset>610870</wp:posOffset>
            </wp:positionH>
            <wp:positionV relativeFrom="page">
              <wp:posOffset>2421255</wp:posOffset>
            </wp:positionV>
            <wp:extent cx="4022090" cy="2954020"/>
            <wp:effectExtent l="5080" t="4445" r="11430" b="4381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pPr>
        <w:spacing w:line="560" w:lineRule="exact"/>
        <w:ind w:firstLine="640" w:firstLineChars="200"/>
        <w:rPr>
          <w:rFonts w:hint="eastAsia" w:ascii="仿宋_GB2312" w:hAnsi="宋体" w:eastAsia="仿宋_GB2312" w:cs="仿宋_GB2312"/>
          <w:color w:val="000000"/>
          <w:kern w:val="0"/>
          <w:szCs w:val="32"/>
          <w:lang w:val="en-US" w:eastAsia="zh-CN"/>
        </w:rPr>
      </w:pPr>
    </w:p>
    <w:p>
      <w:pPr>
        <w:spacing w:line="560" w:lineRule="exact"/>
        <w:ind w:firstLine="640" w:firstLineChars="200"/>
        <w:rPr>
          <w:rFonts w:hint="eastAsia" w:ascii="仿宋_GB2312" w:hAnsi="宋体" w:eastAsia="仿宋_GB2312" w:cs="仿宋_GB2312"/>
          <w:color w:val="000000"/>
          <w:kern w:val="0"/>
          <w:szCs w:val="32"/>
          <w:lang w:val="en-US" w:eastAsia="zh-CN"/>
        </w:rPr>
      </w:pPr>
    </w:p>
    <w:p>
      <w:pPr>
        <w:spacing w:line="560" w:lineRule="exact"/>
        <w:ind w:firstLine="640" w:firstLineChars="200"/>
        <w:rPr>
          <w:rFonts w:hint="eastAsia" w:ascii="仿宋_GB2312" w:hAnsi="宋体" w:eastAsia="仿宋_GB2312" w:cs="仿宋_GB2312"/>
          <w:color w:val="000000"/>
          <w:kern w:val="0"/>
          <w:szCs w:val="32"/>
          <w:lang w:val="en-US" w:eastAsia="zh-CN"/>
        </w:rPr>
      </w:pPr>
    </w:p>
    <w:p>
      <w:pPr>
        <w:spacing w:line="560" w:lineRule="exact"/>
        <w:ind w:firstLine="640" w:firstLineChars="200"/>
        <w:rPr>
          <w:rFonts w:hint="eastAsia" w:ascii="仿宋_GB2312" w:hAnsi="宋体" w:eastAsia="仿宋_GB2312" w:cs="仿宋_GB2312"/>
          <w:color w:val="000000"/>
          <w:kern w:val="0"/>
          <w:szCs w:val="32"/>
          <w:lang w:val="en-US" w:eastAsia="zh-CN"/>
        </w:rPr>
      </w:pPr>
    </w:p>
    <w:p>
      <w:pPr>
        <w:spacing w:line="560" w:lineRule="exact"/>
        <w:ind w:firstLine="640" w:firstLineChars="200"/>
        <w:rPr>
          <w:rFonts w:hint="eastAsia" w:ascii="仿宋_GB2312" w:hAnsi="宋体" w:eastAsia="仿宋_GB2312" w:cs="仿宋_GB2312"/>
          <w:color w:val="000000"/>
          <w:kern w:val="0"/>
          <w:szCs w:val="32"/>
          <w:lang w:val="en-US" w:eastAsia="zh-CN"/>
        </w:rPr>
      </w:pPr>
    </w:p>
    <w:p>
      <w:pPr>
        <w:spacing w:line="560" w:lineRule="exact"/>
        <w:ind w:firstLine="640" w:firstLineChars="200"/>
        <w:rPr>
          <w:rFonts w:hint="eastAsia" w:ascii="仿宋_GB2312" w:hAnsi="宋体" w:eastAsia="仿宋_GB2312" w:cs="仿宋_GB2312"/>
          <w:color w:val="000000"/>
          <w:kern w:val="0"/>
          <w:szCs w:val="32"/>
          <w:lang w:val="en-US" w:eastAsia="zh-CN"/>
        </w:rPr>
      </w:pPr>
    </w:p>
    <w:p>
      <w:pPr>
        <w:spacing w:line="560" w:lineRule="exact"/>
        <w:ind w:firstLine="640" w:firstLineChars="200"/>
        <w:rPr>
          <w:rFonts w:hint="eastAsia" w:ascii="仿宋_GB2312" w:hAnsi="宋体" w:eastAsia="仿宋_GB2312" w:cs="仿宋_GB2312"/>
          <w:color w:val="000000"/>
          <w:kern w:val="0"/>
          <w:szCs w:val="32"/>
          <w:lang w:val="en-US" w:eastAsia="zh-CN"/>
        </w:rPr>
      </w:pPr>
    </w:p>
    <w:p>
      <w:pPr>
        <w:spacing w:line="560" w:lineRule="exact"/>
        <w:ind w:firstLine="321" w:firstLineChars="100"/>
        <w:rPr>
          <w:rFonts w:hint="eastAsia" w:ascii="楷体_GB2312" w:hAnsi="宋体" w:eastAsia="楷体_GB2312" w:cs="楷体_GB2312"/>
          <w:b/>
          <w:color w:val="000000"/>
          <w:kern w:val="0"/>
          <w:szCs w:val="32"/>
        </w:rPr>
      </w:pPr>
    </w:p>
    <w:p>
      <w:pPr>
        <w:spacing w:line="560" w:lineRule="exact"/>
        <w:ind w:firstLine="321" w:firstLineChars="1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（二）财政拨款支出决算具体情况说明。</w:t>
      </w:r>
    </w:p>
    <w:p>
      <w:pPr>
        <w:widowControl/>
        <w:spacing w:line="560" w:lineRule="exact"/>
        <w:ind w:firstLine="640" w:firstLineChars="200"/>
        <w:jc w:val="left"/>
        <w:rPr>
          <w:rFonts w:hint="eastAsia" w:ascii="仿宋_GB2312" w:hAnsi="仿宋_GB2312" w:eastAsia="仿宋_GB2312" w:cs="仿宋_GB2312"/>
          <w:b w:val="0"/>
          <w:bCs/>
          <w:color w:val="000000"/>
          <w:kern w:val="0"/>
          <w:szCs w:val="32"/>
          <w:lang w:val="en-US" w:eastAsia="zh-CN"/>
        </w:rPr>
      </w:pPr>
      <w:r>
        <w:rPr>
          <w:rFonts w:hint="eastAsia" w:ascii="仿宋_GB2312" w:hAnsi="仿宋_GB2312" w:eastAsia="仿宋_GB2312" w:cs="仿宋_GB2312"/>
          <w:b w:val="0"/>
          <w:bCs/>
          <w:color w:val="FFC000"/>
          <w:kern w:val="0"/>
          <w:szCs w:val="32"/>
          <w:lang w:val="en-US" w:eastAsia="zh-CN"/>
        </w:rPr>
        <w:t xml:space="preserve"> </w:t>
      </w:r>
      <w:r>
        <w:rPr>
          <w:rFonts w:hint="eastAsia" w:ascii="仿宋_GB2312" w:hAnsi="仿宋_GB2312" w:eastAsia="仿宋_GB2312" w:cs="仿宋_GB2312"/>
          <w:b w:val="0"/>
          <w:bCs/>
          <w:color w:val="000000"/>
          <w:kern w:val="0"/>
          <w:szCs w:val="32"/>
          <w:lang w:val="en-US" w:eastAsia="zh-CN"/>
        </w:rPr>
        <w:t>2019年度财政拨款支出年初预算数为708.86万元，支出决算为872.90万元，完成年初预算的123.14%按照政府功能分类科目，其中：</w:t>
      </w:r>
    </w:p>
    <w:p>
      <w:pPr>
        <w:widowControl/>
        <w:spacing w:line="560" w:lineRule="exact"/>
        <w:ind w:firstLine="643" w:firstLineChars="200"/>
        <w:jc w:val="left"/>
      </w:pPr>
      <w:r>
        <w:rPr>
          <w:rFonts w:hint="eastAsia" w:ascii="仿宋_GB2312" w:hAnsi="宋体" w:eastAsia="仿宋_GB2312" w:cs="仿宋_GB2312"/>
          <w:b/>
          <w:color w:val="000000"/>
          <w:kern w:val="0"/>
          <w:szCs w:val="32"/>
          <w:lang w:val="en-US" w:eastAsia="zh-CN"/>
        </w:rPr>
        <w:t>1</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lang w:eastAsia="zh-CN"/>
        </w:rPr>
        <w:t>卫生健康支出</w:t>
      </w:r>
      <w:r>
        <w:rPr>
          <w:rFonts w:hint="eastAsia"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lang w:eastAsia="zh-CN"/>
        </w:rPr>
        <w:t>公共卫生</w:t>
      </w:r>
      <w:r>
        <w:rPr>
          <w:rFonts w:hint="eastAsia"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eastAsia="zh-CN"/>
        </w:rPr>
        <w:t>妇幼保健机构</w:t>
      </w:r>
      <w:r>
        <w:rPr>
          <w:rFonts w:hint="eastAsia" w:ascii="仿宋_GB2312" w:hAnsi="宋体" w:eastAsia="仿宋_GB2312" w:cs="仿宋_GB2312"/>
          <w:b/>
          <w:color w:val="000000"/>
          <w:kern w:val="0"/>
          <w:szCs w:val="32"/>
        </w:rPr>
        <w:t>（项）。</w:t>
      </w:r>
      <w:r>
        <w:rPr>
          <w:rFonts w:ascii="仿宋_GB2312" w:hAnsi="宋体" w:eastAsia="仿宋_GB2312" w:cs="仿宋_GB2312"/>
          <w:b/>
          <w:color w:val="000000"/>
          <w:kern w:val="0"/>
          <w:szCs w:val="32"/>
        </w:rPr>
        <w:t xml:space="preserve"> </w:t>
      </w: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r>
        <w:rPr>
          <w:rFonts w:hint="eastAsia"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lang w:val="en-US" w:eastAsia="zh-CN"/>
        </w:rPr>
        <w:t>257.86</w:t>
      </w:r>
      <w:r>
        <w:rPr>
          <w:rFonts w:hint="eastAsia"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370.77</w:t>
      </w:r>
      <w:r>
        <w:rPr>
          <w:rFonts w:hint="eastAsia"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lang w:val="en-US" w:eastAsia="zh-CN"/>
        </w:rPr>
        <w:t>143.79</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hint="eastAsia" w:ascii="仿宋_GB2312" w:hAnsi="宋体" w:eastAsia="仿宋_GB2312" w:cs="仿宋_GB2312"/>
          <w:color w:val="000000"/>
          <w:kern w:val="0"/>
          <w:szCs w:val="32"/>
          <w:lang w:eastAsia="zh-CN"/>
        </w:rPr>
        <w:t>支出决算数大于预算数的主要原因是人员工资福利支出增加、人员经费支出增加。</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lang w:val="en-US" w:eastAsia="zh-CN"/>
        </w:rPr>
        <w:t>2.</w:t>
      </w:r>
      <w:r>
        <w:rPr>
          <w:rFonts w:hint="eastAsia" w:ascii="仿宋_GB2312" w:hAnsi="宋体" w:eastAsia="仿宋_GB2312" w:cs="仿宋_GB2312"/>
          <w:b/>
          <w:color w:val="000000"/>
          <w:kern w:val="0"/>
          <w:szCs w:val="32"/>
          <w:lang w:eastAsia="zh-CN"/>
        </w:rPr>
        <w:t>卫生健康支出</w:t>
      </w:r>
      <w:r>
        <w:rPr>
          <w:rFonts w:hint="eastAsia"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lang w:eastAsia="zh-CN"/>
        </w:rPr>
        <w:t>公共卫生</w:t>
      </w:r>
      <w:r>
        <w:rPr>
          <w:rFonts w:hint="eastAsia"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eastAsia="zh-CN"/>
        </w:rPr>
        <w:t>基本公共卫生服务</w:t>
      </w:r>
      <w:r>
        <w:rPr>
          <w:rFonts w:hint="eastAsia" w:ascii="仿宋_GB2312" w:hAnsi="宋体" w:eastAsia="仿宋_GB2312" w:cs="仿宋_GB2312"/>
          <w:b/>
          <w:color w:val="000000"/>
          <w:kern w:val="0"/>
          <w:szCs w:val="32"/>
        </w:rPr>
        <w:t>（项）。</w:t>
      </w:r>
    </w:p>
    <w:p>
      <w:pPr>
        <w:widowControl/>
        <w:numPr>
          <w:ilvl w:val="0"/>
          <w:numId w:val="0"/>
        </w:numPr>
        <w:spacing w:line="560" w:lineRule="exact"/>
        <w:ind w:firstLine="640" w:firstLineChars="200"/>
        <w:jc w:val="left"/>
        <w:rPr>
          <w:rFonts w:hint="eastAsia" w:eastAsia="仿宋_GB2312"/>
          <w:b w:val="0"/>
          <w:bCs/>
          <w:lang w:eastAsia="zh-CN"/>
        </w:rPr>
      </w:pPr>
      <w:r>
        <w:rPr>
          <w:rFonts w:hint="eastAsia" w:ascii="仿宋_GB2312" w:hAnsi="宋体" w:eastAsia="仿宋_GB2312" w:cs="仿宋_GB2312"/>
          <w:b w:val="0"/>
          <w:bCs/>
          <w:color w:val="000000"/>
          <w:kern w:val="0"/>
          <w:szCs w:val="32"/>
          <w:lang w:eastAsia="zh-CN"/>
        </w:rPr>
        <w:t>年初无此预算，支出决算为</w:t>
      </w:r>
      <w:r>
        <w:rPr>
          <w:rFonts w:hint="eastAsia" w:ascii="仿宋_GB2312" w:hAnsi="宋体" w:eastAsia="仿宋_GB2312" w:cs="仿宋_GB2312"/>
          <w:b w:val="0"/>
          <w:bCs/>
          <w:color w:val="000000"/>
          <w:kern w:val="0"/>
          <w:szCs w:val="32"/>
          <w:lang w:val="en-US" w:eastAsia="zh-CN"/>
        </w:rPr>
        <w:t>46.20万元。支出决算数大于预算数的主要原因是年初无此项目预算</w:t>
      </w:r>
      <w:r>
        <w:rPr>
          <w:rFonts w:ascii="仿宋_GB2312" w:hAnsi="宋体" w:eastAsia="仿宋_GB2312" w:cs="仿宋_GB2312"/>
          <w:b w:val="0"/>
          <w:bCs/>
          <w:color w:val="000000"/>
          <w:kern w:val="0"/>
          <w:szCs w:val="32"/>
        </w:rPr>
        <w:t xml:space="preserve"> </w:t>
      </w:r>
      <w:r>
        <w:rPr>
          <w:rFonts w:hint="eastAsia" w:ascii="仿宋_GB2312" w:hAnsi="宋体" w:eastAsia="仿宋_GB2312" w:cs="仿宋_GB2312"/>
          <w:b w:val="0"/>
          <w:bCs/>
          <w:color w:val="000000"/>
          <w:kern w:val="0"/>
          <w:szCs w:val="32"/>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color w:val="000000"/>
          <w:kern w:val="0"/>
          <w:szCs w:val="32"/>
        </w:rPr>
      </w:pPr>
      <w:r>
        <w:rPr>
          <w:rFonts w:ascii="仿宋_GB2312" w:hAnsi="宋体" w:eastAsia="仿宋_GB2312" w:cs="仿宋_GB2312"/>
          <w:b w:val="0"/>
          <w:bCs/>
          <w:color w:val="000000"/>
          <w:kern w:val="0"/>
          <w:szCs w:val="32"/>
        </w:rPr>
        <w:t xml:space="preserve"> </w:t>
      </w:r>
      <w:r>
        <w:rPr>
          <w:rFonts w:hint="eastAsia" w:ascii="仿宋_GB2312" w:hAnsi="宋体" w:eastAsia="仿宋_GB2312" w:cs="仿宋_GB2312"/>
          <w:b w:val="0"/>
          <w:bCs/>
          <w:color w:val="000000"/>
          <w:kern w:val="0"/>
          <w:szCs w:val="32"/>
          <w:lang w:val="en-US" w:eastAsia="zh-CN"/>
        </w:rPr>
        <w:t>3</w:t>
      </w:r>
      <w:r>
        <w:rPr>
          <w:rFonts w:hint="eastAsia" w:ascii="仿宋_GB2312" w:hAnsi="宋体" w:eastAsia="仿宋_GB2312" w:cs="仿宋_GB2312"/>
          <w:b/>
          <w:color w:val="000000"/>
          <w:kern w:val="0"/>
          <w:szCs w:val="32"/>
          <w:lang w:val="en-US" w:eastAsia="zh-CN"/>
        </w:rPr>
        <w:t>.</w:t>
      </w:r>
      <w:r>
        <w:rPr>
          <w:rFonts w:hint="eastAsia" w:ascii="仿宋_GB2312" w:hAnsi="宋体" w:eastAsia="仿宋_GB2312" w:cs="仿宋_GB2312"/>
          <w:b/>
          <w:color w:val="000000"/>
          <w:kern w:val="0"/>
          <w:szCs w:val="32"/>
          <w:lang w:eastAsia="zh-CN"/>
        </w:rPr>
        <w:t>卫生健康支出</w:t>
      </w:r>
      <w:r>
        <w:rPr>
          <w:rFonts w:hint="eastAsia"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lang w:eastAsia="zh-CN"/>
        </w:rPr>
        <w:t>公共卫生</w:t>
      </w:r>
      <w:r>
        <w:rPr>
          <w:rFonts w:hint="eastAsia"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eastAsia="zh-CN"/>
        </w:rPr>
        <w:t>重大公共卫生专项</w:t>
      </w:r>
      <w:r>
        <w:rPr>
          <w:rFonts w:hint="eastAsia" w:ascii="仿宋_GB2312" w:hAnsi="宋体" w:eastAsia="仿宋_GB2312" w:cs="仿宋_GB2312"/>
          <w:b/>
          <w:color w:val="000000"/>
          <w:kern w:val="0"/>
          <w:szCs w:val="32"/>
        </w:rPr>
        <w:t>（项）。</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宋体" w:eastAsia="仿宋_GB2312" w:cs="仿宋_GB2312"/>
          <w:b w:val="0"/>
          <w:bCs/>
          <w:color w:val="000000"/>
          <w:kern w:val="0"/>
          <w:szCs w:val="32"/>
          <w:lang w:val="en-US" w:eastAsia="zh-CN"/>
        </w:rPr>
      </w:pPr>
      <w:r>
        <w:rPr>
          <w:rFonts w:hint="eastAsia" w:ascii="仿宋_GB2312" w:hAnsi="宋体" w:eastAsia="仿宋_GB2312" w:cs="仿宋_GB2312"/>
          <w:b w:val="0"/>
          <w:bCs/>
          <w:color w:val="000000"/>
          <w:kern w:val="0"/>
          <w:szCs w:val="32"/>
          <w:lang w:eastAsia="zh-CN"/>
        </w:rPr>
        <w:t>年初预算为</w:t>
      </w:r>
      <w:r>
        <w:rPr>
          <w:rFonts w:hint="eastAsia" w:ascii="仿宋_GB2312" w:hAnsi="宋体" w:eastAsia="仿宋_GB2312" w:cs="仿宋_GB2312"/>
          <w:b w:val="0"/>
          <w:bCs/>
          <w:color w:val="000000"/>
          <w:kern w:val="0"/>
          <w:szCs w:val="32"/>
          <w:lang w:val="en-US" w:eastAsia="zh-CN"/>
        </w:rPr>
        <w:t>203万元，支出决算为218.12万元。支出决算数大于预算数的主要原因是</w:t>
      </w:r>
      <w:r>
        <w:rPr>
          <w:rFonts w:hint="eastAsia" w:ascii="仿宋_GB2312" w:hAnsi="仿宋_GB2312" w:eastAsia="仿宋_GB2312" w:cs="仿宋_GB2312"/>
          <w:sz w:val="32"/>
          <w:szCs w:val="32"/>
          <w:lang w:val="en-US" w:eastAsia="zh-CN"/>
        </w:rPr>
        <w:t>2019年我中心开展适龄妇女免费“两癌”筛查工作，“两癌”经费增加，项目支出增加。</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color w:val="000000"/>
          <w:kern w:val="0"/>
          <w:szCs w:val="32"/>
        </w:rPr>
      </w:pPr>
      <w:r>
        <w:rPr>
          <w:rFonts w:ascii="仿宋_GB2312" w:hAnsi="宋体" w:eastAsia="仿宋_GB2312" w:cs="仿宋_GB2312"/>
          <w:b w:val="0"/>
          <w:bCs/>
          <w:color w:val="000000"/>
          <w:kern w:val="0"/>
          <w:szCs w:val="32"/>
        </w:rPr>
        <w:t xml:space="preserve"> </w:t>
      </w:r>
      <w:r>
        <w:rPr>
          <w:rFonts w:hint="eastAsia" w:ascii="仿宋_GB2312" w:hAnsi="宋体" w:eastAsia="仿宋_GB2312" w:cs="仿宋_GB2312"/>
          <w:b w:val="0"/>
          <w:bCs/>
          <w:color w:val="000000"/>
          <w:kern w:val="0"/>
          <w:szCs w:val="32"/>
          <w:lang w:val="en-US" w:eastAsia="zh-CN"/>
        </w:rPr>
        <w:t>4</w:t>
      </w:r>
      <w:r>
        <w:rPr>
          <w:rFonts w:hint="eastAsia" w:ascii="仿宋_GB2312" w:hAnsi="宋体" w:eastAsia="仿宋_GB2312" w:cs="仿宋_GB2312"/>
          <w:b/>
          <w:color w:val="000000"/>
          <w:kern w:val="0"/>
          <w:szCs w:val="32"/>
          <w:lang w:val="en-US" w:eastAsia="zh-CN"/>
        </w:rPr>
        <w:t>.</w:t>
      </w:r>
      <w:r>
        <w:rPr>
          <w:rFonts w:hint="eastAsia" w:ascii="仿宋_GB2312" w:hAnsi="宋体" w:eastAsia="仿宋_GB2312" w:cs="仿宋_GB2312"/>
          <w:b/>
          <w:color w:val="000000"/>
          <w:kern w:val="0"/>
          <w:szCs w:val="32"/>
          <w:lang w:eastAsia="zh-CN"/>
        </w:rPr>
        <w:t>卫生健康支出</w:t>
      </w:r>
      <w:r>
        <w:rPr>
          <w:rFonts w:hint="eastAsia"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lang w:eastAsia="zh-CN"/>
        </w:rPr>
        <w:t>公共卫生</w:t>
      </w:r>
      <w:r>
        <w:rPr>
          <w:rFonts w:hint="eastAsia"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eastAsia="zh-CN"/>
        </w:rPr>
        <w:t>其他公共卫生支出</w:t>
      </w:r>
      <w:r>
        <w:rPr>
          <w:rFonts w:hint="eastAsia" w:ascii="仿宋_GB2312" w:hAnsi="宋体" w:eastAsia="仿宋_GB2312" w:cs="仿宋_GB2312"/>
          <w:b/>
          <w:color w:val="000000"/>
          <w:kern w:val="0"/>
          <w:szCs w:val="32"/>
        </w:rPr>
        <w:t>（项）。</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000000"/>
          <w:kern w:val="0"/>
          <w:szCs w:val="32"/>
          <w:lang w:eastAsia="zh-CN"/>
        </w:rPr>
      </w:pPr>
      <w:r>
        <w:rPr>
          <w:rFonts w:hint="eastAsia" w:ascii="仿宋_GB2312" w:hAnsi="仿宋_GB2312" w:eastAsia="仿宋_GB2312" w:cs="仿宋_GB2312"/>
          <w:b w:val="0"/>
          <w:bCs/>
          <w:lang w:eastAsia="zh-CN"/>
        </w:rPr>
        <w:t>年初预算为</w:t>
      </w:r>
      <w:r>
        <w:rPr>
          <w:rFonts w:hint="eastAsia" w:ascii="仿宋_GB2312" w:hAnsi="仿宋_GB2312" w:eastAsia="仿宋_GB2312" w:cs="仿宋_GB2312"/>
          <w:b w:val="0"/>
          <w:bCs/>
          <w:lang w:val="en-US" w:eastAsia="zh-CN"/>
        </w:rPr>
        <w:t>15万元，支出决算为129万元。支出决算数大于预算数的主要原因是包含中省市专项资金</w:t>
      </w:r>
      <w:r>
        <w:rPr>
          <w:rFonts w:hint="eastAsia" w:ascii="仿宋_GB2312" w:hAnsi="宋体" w:eastAsia="仿宋_GB2312" w:cs="仿宋_GB2312"/>
          <w:color w:val="000000"/>
          <w:kern w:val="0"/>
          <w:szCs w:val="32"/>
          <w:lang w:eastAsia="zh-CN"/>
        </w:rPr>
        <w:t>，项目支出增加。</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color w:val="000000"/>
          <w:kern w:val="0"/>
          <w:szCs w:val="32"/>
        </w:rPr>
      </w:pPr>
      <w:r>
        <w:rPr>
          <w:rFonts w:ascii="仿宋_GB2312" w:hAnsi="宋体" w:eastAsia="仿宋_GB2312" w:cs="仿宋_GB2312"/>
          <w:b w:val="0"/>
          <w:bCs/>
          <w:color w:val="000000"/>
          <w:kern w:val="0"/>
          <w:szCs w:val="32"/>
        </w:rPr>
        <w:t xml:space="preserve"> </w:t>
      </w:r>
      <w:r>
        <w:rPr>
          <w:rFonts w:hint="eastAsia" w:ascii="仿宋_GB2312" w:hAnsi="宋体" w:eastAsia="仿宋_GB2312" w:cs="仿宋_GB2312"/>
          <w:b w:val="0"/>
          <w:bCs/>
          <w:color w:val="000000"/>
          <w:kern w:val="0"/>
          <w:szCs w:val="32"/>
          <w:lang w:val="en-US" w:eastAsia="zh-CN"/>
        </w:rPr>
        <w:t>5</w:t>
      </w:r>
      <w:r>
        <w:rPr>
          <w:rFonts w:hint="eastAsia" w:ascii="仿宋_GB2312" w:hAnsi="宋体" w:eastAsia="仿宋_GB2312" w:cs="仿宋_GB2312"/>
          <w:b/>
          <w:color w:val="000000"/>
          <w:kern w:val="0"/>
          <w:szCs w:val="32"/>
          <w:lang w:val="en-US" w:eastAsia="zh-CN"/>
        </w:rPr>
        <w:t>.卫生健康支出</w:t>
      </w:r>
      <w:r>
        <w:rPr>
          <w:rFonts w:hint="eastAsia"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lang w:eastAsia="zh-CN"/>
        </w:rPr>
        <w:t>计划生育事务</w:t>
      </w:r>
      <w:r>
        <w:rPr>
          <w:rFonts w:hint="eastAsia"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eastAsia="zh-CN"/>
        </w:rPr>
        <w:t>计划生育机构</w:t>
      </w:r>
      <w:r>
        <w:rPr>
          <w:rFonts w:hint="eastAsia" w:ascii="仿宋_GB2312" w:hAnsi="宋体" w:eastAsia="仿宋_GB2312" w:cs="仿宋_GB2312"/>
          <w:b/>
          <w:color w:val="000000"/>
          <w:kern w:val="0"/>
          <w:szCs w:val="32"/>
        </w:rPr>
        <w:t>（项）。</w:t>
      </w:r>
    </w:p>
    <w:p>
      <w:pPr>
        <w:widowControl/>
        <w:numPr>
          <w:ilvl w:val="0"/>
          <w:numId w:val="0"/>
        </w:numPr>
        <w:spacing w:line="560" w:lineRule="exact"/>
        <w:ind w:firstLine="640" w:firstLineChars="200"/>
        <w:jc w:val="left"/>
        <w:rPr>
          <w:rFonts w:hint="eastAsia" w:eastAsia="仿宋_GB2312"/>
          <w:b w:val="0"/>
          <w:bCs/>
          <w:lang w:eastAsia="zh-CN"/>
        </w:rPr>
      </w:pPr>
      <w:r>
        <w:rPr>
          <w:rFonts w:hint="eastAsia" w:ascii="仿宋_GB2312" w:hAnsi="宋体" w:eastAsia="仿宋_GB2312" w:cs="仿宋_GB2312"/>
          <w:b w:val="0"/>
          <w:bCs/>
          <w:color w:val="000000"/>
          <w:kern w:val="0"/>
          <w:szCs w:val="32"/>
          <w:lang w:eastAsia="zh-CN"/>
        </w:rPr>
        <w:t>年初无此预算，支出决算为</w:t>
      </w:r>
      <w:r>
        <w:rPr>
          <w:rFonts w:hint="eastAsia" w:ascii="仿宋_GB2312" w:hAnsi="宋体" w:eastAsia="仿宋_GB2312" w:cs="仿宋_GB2312"/>
          <w:b w:val="0"/>
          <w:bCs/>
          <w:color w:val="000000"/>
          <w:kern w:val="0"/>
          <w:szCs w:val="32"/>
          <w:lang w:val="en-US" w:eastAsia="zh-CN"/>
        </w:rPr>
        <w:t>8.47万元。支出决算数大于预算数的主要原因是年初无此项目预算</w:t>
      </w:r>
      <w:r>
        <w:rPr>
          <w:rFonts w:ascii="仿宋_GB2312" w:hAnsi="宋体" w:eastAsia="仿宋_GB2312" w:cs="仿宋_GB2312"/>
          <w:b w:val="0"/>
          <w:bCs/>
          <w:color w:val="000000"/>
          <w:kern w:val="0"/>
          <w:szCs w:val="32"/>
        </w:rPr>
        <w:t xml:space="preserve"> </w:t>
      </w:r>
      <w:r>
        <w:rPr>
          <w:rFonts w:hint="eastAsia" w:ascii="仿宋_GB2312" w:hAnsi="宋体" w:eastAsia="仿宋_GB2312" w:cs="仿宋_GB2312"/>
          <w:b w:val="0"/>
          <w:bCs/>
          <w:color w:val="000000"/>
          <w:kern w:val="0"/>
          <w:szCs w:val="32"/>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color w:val="000000"/>
          <w:kern w:val="0"/>
          <w:szCs w:val="32"/>
        </w:rPr>
      </w:pPr>
      <w:r>
        <w:rPr>
          <w:rFonts w:ascii="仿宋_GB2312" w:hAnsi="宋体" w:eastAsia="仿宋_GB2312" w:cs="仿宋_GB2312"/>
          <w:b w:val="0"/>
          <w:bCs/>
          <w:color w:val="000000"/>
          <w:kern w:val="0"/>
          <w:szCs w:val="32"/>
        </w:rPr>
        <w:t xml:space="preserve"> </w:t>
      </w:r>
      <w:r>
        <w:rPr>
          <w:rFonts w:hint="eastAsia" w:ascii="仿宋_GB2312" w:hAnsi="宋体" w:eastAsia="仿宋_GB2312" w:cs="仿宋_GB2312"/>
          <w:b w:val="0"/>
          <w:bCs/>
          <w:color w:val="000000"/>
          <w:kern w:val="0"/>
          <w:szCs w:val="32"/>
          <w:lang w:val="en-US" w:eastAsia="zh-CN"/>
        </w:rPr>
        <w:t>6</w:t>
      </w:r>
      <w:r>
        <w:rPr>
          <w:rFonts w:hint="eastAsia" w:ascii="仿宋_GB2312" w:hAnsi="宋体" w:eastAsia="仿宋_GB2312" w:cs="仿宋_GB2312"/>
          <w:b/>
          <w:color w:val="000000"/>
          <w:kern w:val="0"/>
          <w:szCs w:val="32"/>
          <w:lang w:val="en-US" w:eastAsia="zh-CN"/>
        </w:rPr>
        <w:t>.卫生健康支出</w:t>
      </w:r>
      <w:r>
        <w:rPr>
          <w:rFonts w:hint="eastAsia"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lang w:eastAsia="zh-CN"/>
        </w:rPr>
        <w:t>计划生育事务</w:t>
      </w:r>
      <w:r>
        <w:rPr>
          <w:rFonts w:hint="eastAsia"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eastAsia="zh-CN"/>
        </w:rPr>
        <w:t>计划生育服务</w:t>
      </w:r>
      <w:r>
        <w:rPr>
          <w:rFonts w:hint="eastAsia" w:ascii="仿宋_GB2312" w:hAnsi="宋体" w:eastAsia="仿宋_GB2312" w:cs="仿宋_GB2312"/>
          <w:b/>
          <w:color w:val="000000"/>
          <w:kern w:val="0"/>
          <w:szCs w:val="32"/>
        </w:rPr>
        <w:t>（项）。</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lang w:val="en-US" w:eastAsia="zh-CN"/>
        </w:rPr>
      </w:pPr>
      <w:r>
        <w:rPr>
          <w:rFonts w:hint="eastAsia" w:ascii="仿宋_GB2312" w:hAnsi="仿宋_GB2312" w:eastAsia="仿宋_GB2312" w:cs="仿宋_GB2312"/>
          <w:b w:val="0"/>
          <w:bCs/>
          <w:lang w:eastAsia="zh-CN"/>
        </w:rPr>
        <w:t>年初预算为</w:t>
      </w:r>
      <w:r>
        <w:rPr>
          <w:rFonts w:hint="eastAsia" w:ascii="仿宋_GB2312" w:hAnsi="仿宋_GB2312" w:eastAsia="仿宋_GB2312" w:cs="仿宋_GB2312"/>
          <w:b w:val="0"/>
          <w:bCs/>
          <w:lang w:val="en-US" w:eastAsia="zh-CN"/>
        </w:rPr>
        <w:t>30万元，支出决算为28.50万元。决算数小于预算数的主要原因是按实际支出数填报决算。</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color w:val="000000"/>
          <w:kern w:val="0"/>
          <w:szCs w:val="32"/>
        </w:rPr>
      </w:pPr>
      <w:r>
        <w:rPr>
          <w:rFonts w:ascii="仿宋_GB2312" w:hAnsi="宋体" w:eastAsia="仿宋_GB2312" w:cs="仿宋_GB2312"/>
          <w:b w:val="0"/>
          <w:bCs/>
          <w:color w:val="000000"/>
          <w:kern w:val="0"/>
          <w:szCs w:val="32"/>
        </w:rPr>
        <w:t xml:space="preserve"> </w:t>
      </w:r>
      <w:r>
        <w:rPr>
          <w:rFonts w:hint="eastAsia" w:ascii="仿宋_GB2312" w:hAnsi="宋体" w:eastAsia="仿宋_GB2312" w:cs="仿宋_GB2312"/>
          <w:b w:val="0"/>
          <w:bCs/>
          <w:color w:val="000000"/>
          <w:kern w:val="0"/>
          <w:szCs w:val="32"/>
          <w:lang w:val="en-US" w:eastAsia="zh-CN"/>
        </w:rPr>
        <w:t>7</w:t>
      </w:r>
      <w:r>
        <w:rPr>
          <w:rFonts w:hint="eastAsia" w:ascii="仿宋_GB2312" w:hAnsi="宋体" w:eastAsia="仿宋_GB2312" w:cs="仿宋_GB2312"/>
          <w:b/>
          <w:color w:val="000000"/>
          <w:kern w:val="0"/>
          <w:szCs w:val="32"/>
          <w:lang w:val="en-US" w:eastAsia="zh-CN"/>
        </w:rPr>
        <w:t>.卫生健康支出</w:t>
      </w:r>
      <w:r>
        <w:rPr>
          <w:rFonts w:hint="eastAsia"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lang w:eastAsia="zh-CN"/>
        </w:rPr>
        <w:t>计划生育事务</w:t>
      </w:r>
      <w:r>
        <w:rPr>
          <w:rFonts w:hint="eastAsia"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eastAsia="zh-CN"/>
        </w:rPr>
        <w:t>其他计划生育事务支出</w:t>
      </w:r>
      <w:r>
        <w:rPr>
          <w:rFonts w:hint="eastAsia" w:ascii="仿宋_GB2312" w:hAnsi="宋体" w:eastAsia="仿宋_GB2312" w:cs="仿宋_GB2312"/>
          <w:b/>
          <w:color w:val="000000"/>
          <w:kern w:val="0"/>
          <w:szCs w:val="32"/>
        </w:rPr>
        <w:t>（项）。</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000000"/>
          <w:kern w:val="0"/>
          <w:szCs w:val="32"/>
          <w:lang w:eastAsia="zh-CN"/>
        </w:rPr>
      </w:pPr>
      <w:r>
        <w:rPr>
          <w:rFonts w:hint="eastAsia" w:ascii="仿宋_GB2312" w:hAnsi="仿宋_GB2312" w:eastAsia="仿宋_GB2312" w:cs="仿宋_GB2312"/>
          <w:b w:val="0"/>
          <w:bCs/>
          <w:lang w:eastAsia="zh-CN"/>
        </w:rPr>
        <w:t>年初预算为</w:t>
      </w:r>
      <w:r>
        <w:rPr>
          <w:rFonts w:hint="eastAsia" w:ascii="仿宋_GB2312" w:hAnsi="仿宋_GB2312" w:eastAsia="仿宋_GB2312" w:cs="仿宋_GB2312"/>
          <w:b w:val="0"/>
          <w:bCs/>
          <w:lang w:val="en-US" w:eastAsia="zh-CN"/>
        </w:rPr>
        <w:t>203万元，支出决算为25.90万元。决算数小于预算数的主要原因是年初预算数中包含办公设备采购，决算数中未列支</w:t>
      </w:r>
      <w:r>
        <w:rPr>
          <w:rFonts w:hint="eastAsia" w:ascii="仿宋_GB2312" w:hAnsi="宋体" w:eastAsia="仿宋_GB2312" w:cs="仿宋_GB2312"/>
          <w:color w:val="000000"/>
          <w:kern w:val="0"/>
          <w:szCs w:val="32"/>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color w:val="000000"/>
          <w:kern w:val="0"/>
          <w:szCs w:val="32"/>
        </w:rPr>
      </w:pPr>
      <w:r>
        <w:rPr>
          <w:rFonts w:ascii="仿宋_GB2312" w:hAnsi="宋体" w:eastAsia="仿宋_GB2312" w:cs="仿宋_GB2312"/>
          <w:b w:val="0"/>
          <w:bCs/>
          <w:color w:val="000000"/>
          <w:kern w:val="0"/>
          <w:szCs w:val="32"/>
        </w:rPr>
        <w:t xml:space="preserve"> </w:t>
      </w:r>
      <w:r>
        <w:rPr>
          <w:rFonts w:hint="eastAsia" w:ascii="仿宋_GB2312" w:hAnsi="宋体" w:eastAsia="仿宋_GB2312" w:cs="仿宋_GB2312"/>
          <w:b w:val="0"/>
          <w:bCs/>
          <w:color w:val="000000"/>
          <w:kern w:val="0"/>
          <w:szCs w:val="32"/>
          <w:lang w:val="en-US" w:eastAsia="zh-CN"/>
        </w:rPr>
        <w:t>8</w:t>
      </w:r>
      <w:r>
        <w:rPr>
          <w:rFonts w:hint="eastAsia" w:ascii="仿宋_GB2312" w:hAnsi="宋体" w:eastAsia="仿宋_GB2312" w:cs="仿宋_GB2312"/>
          <w:b/>
          <w:color w:val="000000"/>
          <w:kern w:val="0"/>
          <w:szCs w:val="32"/>
          <w:lang w:val="en-US" w:eastAsia="zh-CN"/>
        </w:rPr>
        <w:t>.卫生健康支出</w:t>
      </w:r>
      <w:r>
        <w:rPr>
          <w:rFonts w:hint="eastAsia"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lang w:eastAsia="zh-CN"/>
        </w:rPr>
        <w:t>行政事业单位医疗</w:t>
      </w:r>
      <w:r>
        <w:rPr>
          <w:rFonts w:hint="eastAsia"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eastAsia="zh-CN"/>
        </w:rPr>
        <w:t>事业单位医疗</w:t>
      </w:r>
      <w:r>
        <w:rPr>
          <w:rFonts w:hint="eastAsia" w:ascii="仿宋_GB2312" w:hAnsi="宋体" w:eastAsia="仿宋_GB2312" w:cs="仿宋_GB2312"/>
          <w:b/>
          <w:color w:val="000000"/>
          <w:kern w:val="0"/>
          <w:szCs w:val="32"/>
        </w:rPr>
        <w:t>（项）。</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lang w:val="en-US" w:eastAsia="zh-CN"/>
        </w:rPr>
      </w:pPr>
      <w:r>
        <w:rPr>
          <w:rFonts w:hint="eastAsia" w:ascii="仿宋_GB2312" w:hAnsi="仿宋_GB2312" w:eastAsia="仿宋_GB2312" w:cs="仿宋_GB2312"/>
          <w:b w:val="0"/>
          <w:bCs/>
          <w:lang w:val="en-US" w:eastAsia="zh-CN"/>
        </w:rPr>
        <w:t>年初无此预算，支出决算为8.34万元。决算数大于预算数的主要原因是年初无此项目预算，该项目资金为事业单位医疗。</w:t>
      </w:r>
    </w:p>
    <w:p>
      <w:pPr>
        <w:widowControl/>
        <w:numPr>
          <w:ilvl w:val="0"/>
          <w:numId w:val="0"/>
        </w:numPr>
        <w:spacing w:line="560" w:lineRule="exact"/>
        <w:ind w:firstLine="643" w:firstLineChars="200"/>
        <w:jc w:val="left"/>
        <w:rPr>
          <w:rFonts w:hint="eastAsia"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lang w:val="en-US" w:eastAsia="zh-CN"/>
        </w:rPr>
        <w:t>9.</w:t>
      </w:r>
      <w:r>
        <w:rPr>
          <w:rFonts w:hint="eastAsia" w:ascii="仿宋_GB2312" w:hAnsi="宋体" w:eastAsia="仿宋_GB2312" w:cs="仿宋_GB2312"/>
          <w:b/>
          <w:color w:val="000000"/>
          <w:kern w:val="0"/>
          <w:szCs w:val="32"/>
          <w:lang w:eastAsia="zh-CN"/>
        </w:rPr>
        <w:t>社会保障和就业支出</w:t>
      </w:r>
      <w:r>
        <w:rPr>
          <w:rFonts w:hint="eastAsia"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lang w:eastAsia="zh-CN"/>
        </w:rPr>
        <w:t>行政事业单位离退休</w:t>
      </w:r>
      <w:r>
        <w:rPr>
          <w:rFonts w:hint="eastAsia"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eastAsia="zh-CN"/>
        </w:rPr>
        <w:t>机关事业单位基本养老保险缴费支出</w:t>
      </w:r>
      <w:r>
        <w:rPr>
          <w:rFonts w:hint="eastAsia" w:ascii="仿宋_GB2312" w:hAnsi="宋体" w:eastAsia="仿宋_GB2312" w:cs="仿宋_GB2312"/>
          <w:b/>
          <w:color w:val="000000"/>
          <w:kern w:val="0"/>
          <w:szCs w:val="32"/>
        </w:rPr>
        <w:t>（项）。</w:t>
      </w:r>
    </w:p>
    <w:p>
      <w:pPr>
        <w:widowControl/>
        <w:numPr>
          <w:ilvl w:val="0"/>
          <w:numId w:val="0"/>
        </w:numPr>
        <w:spacing w:line="560" w:lineRule="exact"/>
        <w:jc w:val="left"/>
        <w:rPr>
          <w:rFonts w:hint="default"/>
          <w:b w:val="0"/>
          <w:bCs/>
          <w:lang w:val="en-US"/>
        </w:rPr>
      </w:pPr>
      <w:r>
        <w:rPr>
          <w:rFonts w:hint="eastAsia" w:ascii="仿宋_GB2312" w:hAnsi="宋体" w:eastAsia="仿宋_GB2312" w:cs="仿宋_GB2312"/>
          <w:b/>
          <w:color w:val="000000"/>
          <w:kern w:val="0"/>
          <w:szCs w:val="32"/>
          <w:lang w:val="en-US" w:eastAsia="zh-CN"/>
        </w:rPr>
        <w:t xml:space="preserve">   </w:t>
      </w:r>
      <w:r>
        <w:rPr>
          <w:rFonts w:hint="eastAsia" w:ascii="仿宋_GB2312" w:hAnsi="宋体" w:eastAsia="仿宋_GB2312" w:cs="仿宋_GB2312"/>
          <w:b w:val="0"/>
          <w:bCs/>
          <w:color w:val="000000"/>
          <w:kern w:val="0"/>
          <w:szCs w:val="32"/>
          <w:lang w:val="en-US" w:eastAsia="zh-CN"/>
        </w:rPr>
        <w:t xml:space="preserve">  年初无此预算，支出决算为37.59万元。支出决算数大于预算数的主要原因是年初无此项目预算。</w:t>
      </w:r>
    </w:p>
    <w:p>
      <w:pPr>
        <w:spacing w:line="560" w:lineRule="exact"/>
        <w:ind w:firstLine="640" w:firstLineChars="200"/>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r>
        <w:rPr>
          <w:rFonts w:ascii="黑体" w:hAnsi="黑体" w:eastAsia="黑体"/>
          <w:color w:val="000000"/>
          <w:kern w:val="0"/>
          <w:szCs w:val="32"/>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rPr>
          <w:rFonts w:hint="eastAsia" w:ascii="仿宋_GB2312" w:hAnsi="仿宋_GB2312" w:eastAsia="仿宋_GB2312" w:cs="仿宋_GB2312"/>
          <w:color w:val="000000"/>
          <w:kern w:val="0"/>
          <w:sz w:val="31"/>
          <w:szCs w:val="31"/>
          <w:lang w:eastAsia="zh-CN"/>
        </w:rPr>
      </w:pPr>
      <w:r>
        <w:rPr>
          <w:rFonts w:ascii="仿宋_GB2312" w:hAnsi="仿宋_GB2312" w:eastAsia="仿宋_GB2312" w:cs="仿宋_GB2312"/>
          <w:color w:val="000000"/>
          <w:kern w:val="0"/>
          <w:sz w:val="31"/>
          <w:szCs w:val="31"/>
        </w:rPr>
        <w:t>2019</w:t>
      </w:r>
      <w:r>
        <w:rPr>
          <w:rFonts w:hint="eastAsia" w:ascii="仿宋_GB2312" w:hAnsi="仿宋_GB2312" w:eastAsia="仿宋_GB2312" w:cs="仿宋_GB2312"/>
          <w:color w:val="000000"/>
          <w:kern w:val="0"/>
          <w:sz w:val="31"/>
          <w:szCs w:val="31"/>
        </w:rPr>
        <w:t>年</w:t>
      </w:r>
      <w:r>
        <w:rPr>
          <w:rFonts w:hint="eastAsia" w:ascii="仿宋_GB2312" w:hAnsi="仿宋" w:eastAsia="仿宋_GB2312"/>
          <w:szCs w:val="32"/>
        </w:rPr>
        <w:t>度</w:t>
      </w:r>
      <w:r>
        <w:rPr>
          <w:rFonts w:hint="eastAsia" w:ascii="仿宋_GB2312" w:hAnsi="仿宋_GB2312" w:eastAsia="仿宋_GB2312" w:cs="仿宋_GB2312"/>
          <w:color w:val="000000"/>
          <w:kern w:val="0"/>
          <w:sz w:val="31"/>
          <w:szCs w:val="31"/>
        </w:rPr>
        <w:t>一般公共预算财政拨款基本支出</w:t>
      </w:r>
      <w:r>
        <w:rPr>
          <w:rFonts w:hint="eastAsia" w:ascii="仿宋_GB2312" w:hAnsi="仿宋_GB2312" w:eastAsia="仿宋_GB2312" w:cs="仿宋_GB2312"/>
          <w:color w:val="000000"/>
          <w:kern w:val="0"/>
          <w:sz w:val="31"/>
          <w:szCs w:val="31"/>
          <w:lang w:val="en-US" w:eastAsia="zh-CN"/>
        </w:rPr>
        <w:t>411.96</w:t>
      </w:r>
      <w:r>
        <w:rPr>
          <w:rFonts w:hint="eastAsia" w:ascii="仿宋_GB2312" w:hAnsi="仿宋_GB2312" w:eastAsia="仿宋_GB2312" w:cs="仿宋_GB2312"/>
          <w:color w:val="000000"/>
          <w:kern w:val="0"/>
          <w:sz w:val="31"/>
          <w:szCs w:val="31"/>
        </w:rPr>
        <w:t>万元</w:t>
      </w:r>
      <w:r>
        <w:rPr>
          <w:rFonts w:hint="eastAsia" w:ascii="仿宋_GB2312" w:hAnsi="仿宋_GB2312" w:eastAsia="仿宋_GB2312" w:cs="仿宋_GB2312"/>
          <w:color w:val="000000"/>
          <w:kern w:val="0"/>
          <w:sz w:val="31"/>
          <w:szCs w:val="31"/>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22" w:firstLineChars="200"/>
        <w:jc w:val="left"/>
        <w:textAlignment w:val="auto"/>
        <w:rPr>
          <w:rFonts w:hint="default" w:ascii="仿宋_GB2312" w:hAnsi="仿宋_GB2312" w:eastAsia="仿宋_GB2312" w:cs="仿宋_GB2312"/>
          <w:color w:val="000000"/>
          <w:kern w:val="0"/>
          <w:sz w:val="31"/>
          <w:szCs w:val="31"/>
          <w:lang w:val="en-US" w:eastAsia="zh-CN"/>
        </w:rPr>
      </w:pPr>
      <w:r>
        <w:rPr>
          <w:rFonts w:hint="eastAsia" w:ascii="仿宋_GB2312" w:hAnsi="仿宋_GB2312" w:eastAsia="仿宋_GB2312" w:cs="仿宋_GB2312"/>
          <w:b/>
          <w:bCs/>
          <w:color w:val="000000"/>
          <w:kern w:val="0"/>
          <w:sz w:val="31"/>
          <w:szCs w:val="31"/>
        </w:rPr>
        <w:t>人员经费</w:t>
      </w:r>
      <w:r>
        <w:rPr>
          <w:rFonts w:hint="eastAsia" w:ascii="仿宋_GB2312" w:hAnsi="仿宋_GB2312" w:eastAsia="仿宋_GB2312" w:cs="仿宋_GB2312"/>
          <w:color w:val="000000"/>
          <w:kern w:val="0"/>
          <w:sz w:val="31"/>
          <w:szCs w:val="31"/>
          <w:lang w:val="en-US" w:eastAsia="zh-CN"/>
        </w:rPr>
        <w:t>411.96</w:t>
      </w:r>
      <w:r>
        <w:rPr>
          <w:rFonts w:hint="eastAsia" w:ascii="仿宋_GB2312" w:hAnsi="仿宋_GB2312" w:eastAsia="仿宋_GB2312" w:cs="仿宋_GB2312"/>
          <w:color w:val="000000"/>
          <w:kern w:val="0"/>
          <w:sz w:val="31"/>
          <w:szCs w:val="31"/>
        </w:rPr>
        <w:t>万元</w:t>
      </w:r>
      <w:r>
        <w:rPr>
          <w:rFonts w:hint="eastAsia" w:ascii="仿宋_GB2312" w:hAnsi="仿宋_GB2312" w:eastAsia="仿宋_GB2312" w:cs="仿宋_GB2312"/>
          <w:color w:val="000000"/>
          <w:kern w:val="0"/>
          <w:sz w:val="31"/>
          <w:szCs w:val="31"/>
          <w:lang w:eastAsia="zh-CN"/>
        </w:rPr>
        <w:t>，主要包括：基本工资</w:t>
      </w:r>
      <w:r>
        <w:rPr>
          <w:rFonts w:hint="eastAsia" w:ascii="仿宋_GB2312" w:hAnsi="仿宋_GB2312" w:eastAsia="仿宋_GB2312" w:cs="仿宋_GB2312"/>
          <w:color w:val="000000"/>
          <w:kern w:val="0"/>
          <w:sz w:val="31"/>
          <w:szCs w:val="31"/>
          <w:lang w:val="en-US" w:eastAsia="zh-CN"/>
        </w:rPr>
        <w:t>113.92万元</w:t>
      </w:r>
      <w:r>
        <w:rPr>
          <w:rFonts w:hint="eastAsia" w:ascii="仿宋_GB2312" w:hAnsi="仿宋_GB2312" w:eastAsia="仿宋_GB2312" w:cs="仿宋_GB2312"/>
          <w:sz w:val="32"/>
          <w:szCs w:val="32"/>
          <w:lang w:val="en-US" w:eastAsia="zh-CN"/>
        </w:rPr>
        <w:t>；津贴补贴25.66万元；奖金94万元；绩效工资76.01万元；机关事业单位基本养老保险缴费37.59万元；职业年金缴费7.04万元；职工基本医疗保险缴费8.34万元；其他社会保障缴费16.13万元；住房公积金33.27万元。</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eastAsia" w:eastAsia="仿宋_GB2312"/>
          <w:lang w:eastAsia="zh-CN"/>
        </w:rPr>
      </w:pPr>
      <w:r>
        <w:rPr>
          <w:rFonts w:hint="eastAsia" w:ascii="仿宋_GB2312" w:hAnsi="宋体" w:eastAsia="仿宋_GB2312" w:cs="仿宋_GB2312"/>
          <w:b/>
          <w:bCs/>
          <w:color w:val="000000"/>
          <w:kern w:val="0"/>
          <w:szCs w:val="32"/>
        </w:rPr>
        <w:t>公用经费</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lang w:eastAsia="zh-CN"/>
        </w:rPr>
        <w:t>，无公用经费支出。</w:t>
      </w:r>
    </w:p>
    <w:p>
      <w:pPr>
        <w:spacing w:line="560" w:lineRule="exact"/>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r>
        <w:rPr>
          <w:rFonts w:ascii="黑体" w:hAnsi="黑体" w:eastAsia="黑体"/>
          <w:color w:val="000000"/>
          <w:kern w:val="0"/>
          <w:szCs w:val="32"/>
        </w:rPr>
        <w:t xml:space="preserve"> </w:t>
      </w:r>
    </w:p>
    <w:p>
      <w:pPr>
        <w:widowControl/>
        <w:spacing w:line="560" w:lineRule="exact"/>
        <w:ind w:firstLine="643" w:firstLineChars="200"/>
        <w:jc w:val="left"/>
      </w:pPr>
      <w:r>
        <w:rPr>
          <w:rFonts w:hint="eastAsia" w:ascii="楷体_GB2312" w:hAnsi="宋体" w:eastAsia="楷体_GB2312" w:cs="楷体_GB2312"/>
          <w:b/>
          <w:color w:val="000000"/>
          <w:kern w:val="0"/>
          <w:szCs w:val="32"/>
        </w:rPr>
        <w:t>（一）“三公”经费财政拨款支出决算总体情况说明。</w:t>
      </w:r>
      <w:r>
        <w:rPr>
          <w:rFonts w:ascii="楷体_GB2312" w:hAnsi="宋体" w:eastAsia="楷体_GB2312" w:cs="楷体_GB2312"/>
          <w:b/>
          <w:color w:val="000000"/>
          <w:kern w:val="0"/>
          <w:szCs w:val="32"/>
        </w:rPr>
        <w:t xml:space="preserve"> </w:t>
      </w:r>
    </w:p>
    <w:p>
      <w:pPr>
        <w:widowControl/>
        <w:spacing w:line="560" w:lineRule="exact"/>
        <w:ind w:firstLine="640" w:firstLineChars="200"/>
        <w:jc w:val="left"/>
        <w:rPr>
          <w:rFonts w:hint="eastAsia" w:eastAsia="仿宋_GB2312"/>
          <w:lang w:eastAsia="zh-CN"/>
        </w:rPr>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w:t>
      </w:r>
      <w:r>
        <w:rPr>
          <w:rFonts w:hint="eastAsia" w:ascii="仿宋_GB2312" w:hAnsi="宋体" w:eastAsia="仿宋_GB2312" w:cs="仿宋_GB2312"/>
          <w:color w:val="000000"/>
          <w:kern w:val="0"/>
          <w:szCs w:val="32"/>
        </w:rPr>
        <w:t>“三公”经费财政拨款支出</w:t>
      </w:r>
      <w:r>
        <w:rPr>
          <w:rFonts w:hint="eastAsia" w:ascii="仿宋_GB2312" w:hAnsi="宋体" w:eastAsia="仿宋_GB2312" w:cs="仿宋_GB2312"/>
          <w:color w:val="000000"/>
          <w:kern w:val="0"/>
          <w:szCs w:val="32"/>
          <w:lang w:eastAsia="zh-CN"/>
        </w:rPr>
        <w:t>年初无</w:t>
      </w:r>
      <w:r>
        <w:rPr>
          <w:rFonts w:hint="eastAsia" w:ascii="仿宋_GB2312" w:hAnsi="宋体" w:eastAsia="仿宋_GB2312" w:cs="仿宋_GB2312"/>
          <w:color w:val="000000"/>
          <w:kern w:val="0"/>
          <w:szCs w:val="32"/>
        </w:rPr>
        <w:t>预算</w:t>
      </w:r>
      <w:r>
        <w:rPr>
          <w:rFonts w:hint="eastAsia" w:ascii="仿宋_GB2312" w:hAnsi="宋体" w:eastAsia="仿宋_GB2312" w:cs="仿宋_GB2312"/>
          <w:color w:val="000000"/>
          <w:kern w:val="0"/>
          <w:szCs w:val="32"/>
          <w:lang w:eastAsia="zh-CN"/>
        </w:rPr>
        <w:t>，</w:t>
      </w:r>
      <w:r>
        <w:rPr>
          <w:rFonts w:hint="eastAsia" w:ascii="仿宋_GB2312" w:hAnsi="宋体" w:eastAsia="仿宋_GB2312" w:cs="仿宋_GB2312"/>
          <w:color w:val="000000"/>
          <w:kern w:val="0"/>
          <w:szCs w:val="32"/>
        </w:rPr>
        <w:t>支出决算为</w:t>
      </w:r>
      <w:r>
        <w:rPr>
          <w:rFonts w:hint="eastAsia" w:ascii="仿宋_GB2312" w:hAnsi="宋体" w:eastAsia="仿宋_GB2312" w:cs="仿宋_GB2312"/>
          <w:color w:val="000000"/>
          <w:kern w:val="0"/>
          <w:szCs w:val="32"/>
          <w:lang w:val="en-US" w:eastAsia="zh-CN"/>
        </w:rPr>
        <w:t>20.29</w:t>
      </w:r>
      <w:r>
        <w:rPr>
          <w:rFonts w:hint="eastAsia" w:ascii="仿宋_GB2312" w:hAnsi="宋体" w:eastAsia="仿宋_GB2312" w:cs="仿宋_GB2312"/>
          <w:color w:val="000000"/>
          <w:kern w:val="0"/>
          <w:szCs w:val="32"/>
        </w:rPr>
        <w:t>万元，决算数较预算数增加</w:t>
      </w:r>
      <w:r>
        <w:rPr>
          <w:rFonts w:hint="eastAsia" w:ascii="仿宋_GB2312" w:hAnsi="宋体" w:eastAsia="仿宋_GB2312" w:cs="仿宋_GB2312"/>
          <w:color w:val="000000"/>
          <w:kern w:val="0"/>
          <w:szCs w:val="32"/>
          <w:lang w:val="en-US" w:eastAsia="zh-CN"/>
        </w:rPr>
        <w:t>20.29</w:t>
      </w:r>
      <w:r>
        <w:rPr>
          <w:rFonts w:hint="eastAsia" w:ascii="仿宋_GB2312" w:hAnsi="宋体" w:eastAsia="仿宋_GB2312" w:cs="仿宋_GB2312"/>
          <w:color w:val="000000"/>
          <w:kern w:val="0"/>
          <w:szCs w:val="32"/>
        </w:rPr>
        <w:t>万元，主要原因是</w:t>
      </w:r>
      <w:r>
        <w:rPr>
          <w:rFonts w:hint="eastAsia" w:ascii="仿宋_GB2312" w:hAnsi="宋体" w:eastAsia="仿宋_GB2312" w:cs="仿宋_GB2312"/>
          <w:color w:val="000000"/>
          <w:kern w:val="0"/>
          <w:szCs w:val="32"/>
          <w:lang w:eastAsia="zh-CN"/>
        </w:rPr>
        <w:t>年初无此预算。</w:t>
      </w:r>
    </w:p>
    <w:p>
      <w:pPr>
        <w:spacing w:line="560" w:lineRule="exact"/>
        <w:ind w:left="640" w:leftChars="200" w:firstLine="0" w:firstLineChars="0"/>
        <w:rPr>
          <w:rFonts w:hint="eastAsia"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（二）“三公”经费财政拨款支出决算具体情况说明</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w:t>
      </w:r>
      <w:r>
        <w:rPr>
          <w:rFonts w:hint="eastAsia" w:ascii="仿宋_GB2312" w:hAnsi="宋体" w:eastAsia="仿宋_GB2312" w:cs="仿宋_GB2312"/>
          <w:color w:val="000000"/>
          <w:kern w:val="0"/>
          <w:szCs w:val="32"/>
        </w:rPr>
        <w:t>“三公”经费财政拨款支出决算中，因公出国（境）费支出决算</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lang w:eastAsia="zh-CN"/>
        </w:rPr>
        <w:t>，</w:t>
      </w:r>
      <w:r>
        <w:rPr>
          <w:rFonts w:hint="eastAsia" w:ascii="仿宋_GB2312" w:hAnsi="宋体" w:eastAsia="仿宋_GB2312" w:cs="仿宋_GB2312"/>
          <w:color w:val="000000"/>
          <w:kern w:val="0"/>
          <w:szCs w:val="32"/>
        </w:rPr>
        <w:t>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；公务用车购置费支出</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；公务用车运行</w:t>
      </w:r>
      <w:r>
        <w:rPr>
          <w:rFonts w:hint="eastAsia" w:ascii="仿宋_GB2312" w:hAnsi="仿宋" w:eastAsia="仿宋_GB2312"/>
          <w:szCs w:val="32"/>
        </w:rPr>
        <w:t>维护</w:t>
      </w:r>
      <w:r>
        <w:rPr>
          <w:rFonts w:hint="eastAsia" w:ascii="仿宋_GB2312" w:hAnsi="宋体" w:eastAsia="仿宋_GB2312" w:cs="仿宋_GB2312"/>
          <w:color w:val="000000"/>
          <w:kern w:val="0"/>
          <w:szCs w:val="32"/>
        </w:rPr>
        <w:t>费支出决算</w:t>
      </w:r>
      <w:r>
        <w:rPr>
          <w:rFonts w:hint="eastAsia" w:ascii="仿宋_GB2312" w:hAnsi="宋体" w:eastAsia="仿宋_GB2312" w:cs="仿宋_GB2312"/>
          <w:color w:val="000000"/>
          <w:kern w:val="0"/>
          <w:szCs w:val="32"/>
          <w:lang w:val="en-US" w:eastAsia="zh-CN"/>
        </w:rPr>
        <w:t>10.55</w:t>
      </w:r>
      <w:r>
        <w:rPr>
          <w:rFonts w:hint="eastAsia"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52</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；公务接待费支出决算</w:t>
      </w:r>
      <w:r>
        <w:rPr>
          <w:rFonts w:hint="eastAsia" w:ascii="仿宋_GB2312" w:hAnsi="宋体" w:eastAsia="仿宋_GB2312" w:cs="仿宋_GB2312"/>
          <w:color w:val="000000"/>
          <w:kern w:val="0"/>
          <w:szCs w:val="32"/>
          <w:lang w:val="en-US" w:eastAsia="zh-CN"/>
        </w:rPr>
        <w:t>1.01</w:t>
      </w:r>
      <w:r>
        <w:rPr>
          <w:rFonts w:hint="eastAsia"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4.98</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lang w:eastAsia="zh-CN"/>
        </w:rPr>
        <w:t>，培训费</w:t>
      </w:r>
      <w:r>
        <w:rPr>
          <w:rFonts w:hint="eastAsia" w:ascii="仿宋_GB2312" w:hAnsi="宋体" w:eastAsia="仿宋_GB2312" w:cs="仿宋_GB2312"/>
          <w:color w:val="000000"/>
          <w:kern w:val="0"/>
          <w:szCs w:val="32"/>
          <w:lang w:val="en-US" w:eastAsia="zh-CN"/>
        </w:rPr>
        <w:t>8.73万元，占43.02</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lang w:eastAsia="zh-CN"/>
        </w:rPr>
        <w:t>。</w:t>
      </w:r>
      <w:r>
        <w:rPr>
          <w:rFonts w:hint="eastAsia" w:ascii="仿宋_GB2312" w:hAnsi="宋体" w:eastAsia="仿宋_GB2312" w:cs="仿宋_GB2312"/>
          <w:color w:val="000000"/>
          <w:kern w:val="0"/>
          <w:szCs w:val="32"/>
        </w:rPr>
        <w:t>具体情况如下：</w:t>
      </w:r>
    </w:p>
    <w:p>
      <w:pPr>
        <w:spacing w:line="560" w:lineRule="exact"/>
        <w:ind w:firstLine="643" w:firstLineChars="200"/>
        <w:rPr>
          <w:rFonts w:ascii="仿宋_GB2312" w:hAnsi="仿宋" w:eastAsia="仿宋_GB2312"/>
          <w:b/>
          <w:bCs/>
          <w:szCs w:val="32"/>
        </w:rPr>
      </w:pPr>
      <w:r>
        <w:rPr>
          <w:rFonts w:ascii="仿宋_GB2312" w:hAnsi="仿宋" w:eastAsia="仿宋_GB2312"/>
          <w:b/>
          <w:bCs/>
          <w:szCs w:val="32"/>
        </w:rPr>
        <w:t>1.</w:t>
      </w:r>
      <w:r>
        <w:rPr>
          <w:rFonts w:hint="eastAsia" w:ascii="仿宋_GB2312" w:hAnsi="仿宋" w:eastAsia="仿宋_GB2312"/>
          <w:b/>
          <w:bCs/>
          <w:szCs w:val="32"/>
        </w:rPr>
        <w:t>因公出国（境）支出情况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spacing w:line="560" w:lineRule="exact"/>
        <w:ind w:firstLine="640" w:firstLineChars="200"/>
        <w:jc w:val="left"/>
        <w:rPr>
          <w:rFonts w:hint="eastAsia" w:eastAsia="仿宋_GB2312"/>
          <w:lang w:eastAsia="zh-CN"/>
        </w:rPr>
      </w:pPr>
      <w:r>
        <w:rPr>
          <w:rFonts w:ascii="仿宋_GB2312" w:hAnsi="仿宋" w:eastAsia="仿宋_GB2312"/>
          <w:szCs w:val="32"/>
        </w:rPr>
        <w:t>2019</w:t>
      </w:r>
      <w:r>
        <w:rPr>
          <w:rFonts w:hint="eastAsia" w:ascii="仿宋_GB2312" w:hAnsi="仿宋" w:eastAsia="仿宋_GB2312"/>
          <w:szCs w:val="32"/>
        </w:rPr>
        <w:t>年度因公出国（境）团组</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个，</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人次，</w:t>
      </w:r>
      <w:r>
        <w:rPr>
          <w:rFonts w:hint="eastAsia"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，决算数较预算数</w:t>
      </w:r>
      <w:r>
        <w:rPr>
          <w:rFonts w:hint="eastAsia" w:ascii="仿宋_GB2312" w:hAnsi="宋体" w:eastAsia="仿宋_GB2312" w:cs="仿宋_GB2312"/>
          <w:color w:val="000000"/>
          <w:kern w:val="0"/>
          <w:szCs w:val="32"/>
          <w:lang w:eastAsia="zh-CN"/>
        </w:rPr>
        <w:t>无增减变化。</w:t>
      </w:r>
    </w:p>
    <w:p>
      <w:pPr>
        <w:spacing w:line="560" w:lineRule="exact"/>
        <w:ind w:firstLine="643" w:firstLineChars="200"/>
        <w:rPr>
          <w:rFonts w:ascii="仿宋_GB2312" w:hAnsi="仿宋" w:eastAsia="仿宋_GB2312"/>
          <w:b/>
          <w:bCs/>
          <w:szCs w:val="32"/>
        </w:rPr>
      </w:pPr>
      <w:r>
        <w:rPr>
          <w:rFonts w:ascii="仿宋_GB2312" w:hAnsi="仿宋" w:eastAsia="仿宋_GB2312"/>
          <w:b/>
          <w:bCs/>
          <w:szCs w:val="32"/>
        </w:rPr>
        <w:t>2.</w:t>
      </w:r>
      <w:r>
        <w:rPr>
          <w:rFonts w:hint="eastAsia" w:ascii="仿宋_GB2312" w:hAnsi="仿宋" w:eastAsia="仿宋_GB2312"/>
          <w:b/>
          <w:bCs/>
          <w:szCs w:val="32"/>
        </w:rPr>
        <w:t>公务用车购置费用支出情况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spacing w:line="560" w:lineRule="exact"/>
        <w:ind w:firstLine="640" w:firstLineChars="200"/>
        <w:jc w:val="left"/>
        <w:rPr>
          <w:rFonts w:hint="eastAsia" w:eastAsia="仿宋_GB2312"/>
          <w:lang w:eastAsia="zh-CN"/>
        </w:rPr>
      </w:pPr>
      <w:r>
        <w:rPr>
          <w:rFonts w:ascii="仿宋_GB2312" w:hAnsi="仿宋" w:eastAsia="仿宋_GB2312"/>
          <w:szCs w:val="32"/>
        </w:rPr>
        <w:t>2019</w:t>
      </w:r>
      <w:r>
        <w:rPr>
          <w:rFonts w:hint="eastAsia" w:ascii="仿宋_GB2312" w:hAnsi="仿宋" w:eastAsia="仿宋_GB2312"/>
          <w:szCs w:val="32"/>
        </w:rPr>
        <w:t>年度购置车辆</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w:t>
      </w:r>
      <w:r>
        <w:rPr>
          <w:rFonts w:hint="eastAsia"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，决算数较预算数</w:t>
      </w:r>
      <w:r>
        <w:rPr>
          <w:rFonts w:hint="eastAsia" w:ascii="仿宋_GB2312" w:hAnsi="宋体" w:eastAsia="仿宋_GB2312" w:cs="仿宋_GB2312"/>
          <w:color w:val="000000"/>
          <w:kern w:val="0"/>
          <w:szCs w:val="32"/>
          <w:lang w:eastAsia="zh-CN"/>
        </w:rPr>
        <w:t>无增减变化。</w:t>
      </w:r>
    </w:p>
    <w:p>
      <w:pPr>
        <w:spacing w:line="560" w:lineRule="exact"/>
        <w:ind w:firstLine="321" w:firstLineChars="100"/>
        <w:rPr>
          <w:rFonts w:ascii="仿宋_GB2312" w:hAnsi="仿宋" w:eastAsia="仿宋_GB2312"/>
          <w:b/>
          <w:bCs/>
          <w:szCs w:val="32"/>
        </w:rPr>
      </w:pPr>
      <w:r>
        <w:rPr>
          <w:rFonts w:ascii="仿宋_GB2312" w:hAnsi="仿宋" w:eastAsia="仿宋_GB2312"/>
          <w:b/>
          <w:bCs/>
          <w:szCs w:val="32"/>
        </w:rPr>
        <w:t>3.</w:t>
      </w:r>
      <w:r>
        <w:rPr>
          <w:rFonts w:hint="eastAsia" w:ascii="仿宋_GB2312" w:hAnsi="仿宋" w:eastAsia="仿宋_GB2312"/>
          <w:b/>
          <w:bCs/>
          <w:szCs w:val="32"/>
        </w:rPr>
        <w:t>公务用车运行维护费用支出情况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spacing w:line="560" w:lineRule="exact"/>
        <w:ind w:firstLine="640" w:firstLineChars="200"/>
        <w:jc w:val="left"/>
        <w:rPr>
          <w:rFonts w:hint="eastAsia" w:ascii="仿宋_GB2312" w:hAnsi="宋体" w:eastAsia="仿宋_GB2312" w:cs="仿宋_GB2312"/>
          <w:color w:val="000000"/>
          <w:kern w:val="0"/>
          <w:szCs w:val="32"/>
          <w:lang w:eastAsia="zh-CN"/>
        </w:rPr>
      </w:pPr>
      <w:r>
        <w:rPr>
          <w:rFonts w:ascii="仿宋_GB2312" w:hAnsi="仿宋" w:eastAsia="仿宋_GB2312"/>
          <w:szCs w:val="32"/>
        </w:rPr>
        <w:t>2019</w:t>
      </w:r>
      <w:r>
        <w:rPr>
          <w:rFonts w:hint="eastAsia" w:ascii="仿宋_GB2312" w:hAnsi="仿宋" w:eastAsia="仿宋_GB2312"/>
          <w:szCs w:val="32"/>
        </w:rPr>
        <w:t>年度</w:t>
      </w:r>
      <w:r>
        <w:rPr>
          <w:rFonts w:hint="eastAsia" w:ascii="仿宋_GB2312" w:hAnsi="仿宋_GB2312" w:eastAsia="仿宋_GB2312" w:cs="仿宋_GB2312"/>
          <w:szCs w:val="32"/>
        </w:rPr>
        <w:t>公务用车运行维护费</w:t>
      </w:r>
      <w:r>
        <w:rPr>
          <w:rFonts w:hint="eastAsia"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10.55</w:t>
      </w:r>
      <w:r>
        <w:rPr>
          <w:rFonts w:hint="eastAsia" w:ascii="仿宋_GB2312" w:hAnsi="宋体" w:eastAsia="仿宋_GB2312" w:cs="仿宋_GB2312"/>
          <w:color w:val="000000"/>
          <w:kern w:val="0"/>
          <w:szCs w:val="32"/>
        </w:rPr>
        <w:t>万元，决算数较预算数增加</w:t>
      </w:r>
      <w:r>
        <w:rPr>
          <w:rFonts w:hint="eastAsia" w:ascii="仿宋_GB2312" w:hAnsi="宋体" w:eastAsia="仿宋_GB2312" w:cs="仿宋_GB2312"/>
          <w:color w:val="000000"/>
          <w:kern w:val="0"/>
          <w:szCs w:val="32"/>
          <w:lang w:val="en-US" w:eastAsia="zh-CN"/>
        </w:rPr>
        <w:t>10.55</w:t>
      </w:r>
      <w:r>
        <w:rPr>
          <w:rFonts w:hint="eastAsia" w:ascii="仿宋_GB2312" w:hAnsi="宋体" w:eastAsia="仿宋_GB2312" w:cs="仿宋_GB2312"/>
          <w:color w:val="000000"/>
          <w:kern w:val="0"/>
          <w:szCs w:val="32"/>
        </w:rPr>
        <w:t>万元，主要原因</w:t>
      </w:r>
      <w:r>
        <w:rPr>
          <w:rFonts w:hint="eastAsia" w:ascii="仿宋_GB2312" w:hAnsi="宋体" w:eastAsia="仿宋_GB2312" w:cs="仿宋_GB2312"/>
          <w:color w:val="000000"/>
          <w:kern w:val="0"/>
          <w:szCs w:val="32"/>
          <w:lang w:eastAsia="zh-CN"/>
        </w:rPr>
        <w:t>是年初无此预算项目。</w:t>
      </w:r>
    </w:p>
    <w:p>
      <w:pPr>
        <w:numPr>
          <w:ilvl w:val="0"/>
          <w:numId w:val="4"/>
        </w:numPr>
        <w:spacing w:line="560" w:lineRule="exact"/>
        <w:ind w:firstLine="643" w:firstLineChars="200"/>
        <w:rPr>
          <w:rFonts w:ascii="仿宋_GB2312" w:hAnsi="仿宋" w:eastAsia="仿宋_GB2312"/>
          <w:b/>
          <w:bCs/>
          <w:szCs w:val="32"/>
        </w:rPr>
      </w:pPr>
      <w:r>
        <w:rPr>
          <w:rFonts w:hint="eastAsia" w:ascii="仿宋_GB2312" w:hAnsi="仿宋" w:eastAsia="仿宋_GB2312"/>
          <w:b/>
          <w:bCs/>
          <w:szCs w:val="32"/>
        </w:rPr>
        <w:t>公务接待费支出情况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spacing w:line="560" w:lineRule="exact"/>
        <w:ind w:firstLine="640" w:firstLineChars="200"/>
        <w:rPr>
          <w:rFonts w:hint="eastAsia" w:ascii="仿宋_GB2312" w:hAnsi="宋体" w:eastAsia="仿宋_GB2312" w:cs="仿宋_GB2312"/>
          <w:color w:val="000000" w:themeColor="text1"/>
          <w:kern w:val="0"/>
          <w:szCs w:val="32"/>
          <w:lang w:eastAsia="zh-CN"/>
          <w14:textFill>
            <w14:solidFill>
              <w14:schemeClr w14:val="tx1"/>
            </w14:solidFill>
          </w14:textFill>
        </w:rPr>
      </w:pPr>
      <w:r>
        <w:rPr>
          <w:rFonts w:ascii="仿宋_GB2312" w:hAnsi="仿宋" w:eastAsia="仿宋_GB2312"/>
          <w:color w:val="000000" w:themeColor="text1"/>
          <w:szCs w:val="32"/>
          <w14:textFill>
            <w14:solidFill>
              <w14:schemeClr w14:val="tx1"/>
            </w14:solidFill>
          </w14:textFill>
        </w:rPr>
        <w:t>2019</w:t>
      </w:r>
      <w:r>
        <w:rPr>
          <w:rFonts w:hint="eastAsia" w:ascii="仿宋_GB2312" w:hAnsi="仿宋" w:eastAsia="仿宋_GB2312"/>
          <w:color w:val="000000" w:themeColor="text1"/>
          <w:szCs w:val="32"/>
          <w14:textFill>
            <w14:solidFill>
              <w14:schemeClr w14:val="tx1"/>
            </w14:solidFill>
          </w14:textFill>
        </w:rPr>
        <w:t>年度公务接待</w:t>
      </w:r>
      <w:r>
        <w:rPr>
          <w:rFonts w:hint="eastAsia" w:ascii="仿宋_GB2312" w:hAnsi="仿宋" w:eastAsia="仿宋_GB2312"/>
          <w:color w:val="000000" w:themeColor="text1"/>
          <w:szCs w:val="32"/>
          <w:lang w:val="en-US" w:eastAsia="zh-CN"/>
          <w14:textFill>
            <w14:solidFill>
              <w14:schemeClr w14:val="tx1"/>
            </w14:solidFill>
          </w14:textFill>
        </w:rPr>
        <w:t>16</w:t>
      </w:r>
      <w:r>
        <w:rPr>
          <w:rFonts w:hint="eastAsia" w:ascii="仿宋_GB2312" w:hAnsi="仿宋_GB2312" w:eastAsia="仿宋_GB2312" w:cs="仿宋_GB2312"/>
          <w:color w:val="000000" w:themeColor="text1"/>
          <w:szCs w:val="32"/>
          <w14:textFill>
            <w14:solidFill>
              <w14:schemeClr w14:val="tx1"/>
            </w14:solidFill>
          </w14:textFill>
        </w:rPr>
        <w:t>批次，</w:t>
      </w:r>
      <w:r>
        <w:rPr>
          <w:rFonts w:hint="eastAsia" w:ascii="仿宋_GB2312" w:hAnsi="仿宋_GB2312" w:eastAsia="仿宋_GB2312" w:cs="仿宋_GB2312"/>
          <w:color w:val="000000" w:themeColor="text1"/>
          <w:szCs w:val="32"/>
          <w:lang w:val="en-US" w:eastAsia="zh-CN"/>
          <w14:textFill>
            <w14:solidFill>
              <w14:schemeClr w14:val="tx1"/>
            </w14:solidFill>
          </w14:textFill>
        </w:rPr>
        <w:t>140</w:t>
      </w:r>
      <w:r>
        <w:rPr>
          <w:rFonts w:hint="eastAsia" w:ascii="仿宋_GB2312" w:hAnsi="仿宋_GB2312" w:eastAsia="仿宋_GB2312" w:cs="仿宋_GB2312"/>
          <w:color w:val="000000" w:themeColor="text1"/>
          <w:szCs w:val="32"/>
          <w14:textFill>
            <w14:solidFill>
              <w14:schemeClr w14:val="tx1"/>
            </w14:solidFill>
          </w14:textFill>
        </w:rPr>
        <w:t>人次，</w:t>
      </w:r>
      <w:r>
        <w:rPr>
          <w:rFonts w:hint="eastAsia" w:ascii="仿宋_GB2312" w:hAnsi="宋体" w:eastAsia="仿宋_GB2312" w:cs="仿宋_GB2312"/>
          <w:color w:val="000000" w:themeColor="text1"/>
          <w:kern w:val="0"/>
          <w:szCs w:val="32"/>
          <w14:textFill>
            <w14:solidFill>
              <w14:schemeClr w14:val="tx1"/>
            </w14:solidFill>
          </w14:textFill>
        </w:rPr>
        <w:t>预算为</w:t>
      </w:r>
      <w:r>
        <w:rPr>
          <w:rFonts w:hint="eastAsia" w:ascii="仿宋_GB2312" w:hAnsi="宋体" w:eastAsia="仿宋_GB2312" w:cs="仿宋_GB2312"/>
          <w:color w:val="000000" w:themeColor="text1"/>
          <w:kern w:val="0"/>
          <w:szCs w:val="32"/>
          <w:lang w:val="en-US" w:eastAsia="zh-CN"/>
          <w14:textFill>
            <w14:solidFill>
              <w14:schemeClr w14:val="tx1"/>
            </w14:solidFill>
          </w14:textFill>
        </w:rPr>
        <w:t>0</w:t>
      </w:r>
      <w:r>
        <w:rPr>
          <w:rFonts w:hint="eastAsia" w:ascii="仿宋_GB2312" w:hAnsi="宋体" w:eastAsia="仿宋_GB2312" w:cs="仿宋_GB2312"/>
          <w:color w:val="000000" w:themeColor="text1"/>
          <w:kern w:val="0"/>
          <w:szCs w:val="32"/>
          <w14:textFill>
            <w14:solidFill>
              <w14:schemeClr w14:val="tx1"/>
            </w14:solidFill>
          </w14:textFill>
        </w:rPr>
        <w:t>万元，支出决算为</w:t>
      </w:r>
      <w:r>
        <w:rPr>
          <w:rFonts w:hint="eastAsia" w:ascii="仿宋_GB2312" w:hAnsi="宋体" w:eastAsia="仿宋_GB2312" w:cs="仿宋_GB2312"/>
          <w:color w:val="000000" w:themeColor="text1"/>
          <w:kern w:val="0"/>
          <w:szCs w:val="32"/>
          <w:lang w:val="en-US" w:eastAsia="zh-CN"/>
          <w14:textFill>
            <w14:solidFill>
              <w14:schemeClr w14:val="tx1"/>
            </w14:solidFill>
          </w14:textFill>
        </w:rPr>
        <w:t>1.01</w:t>
      </w:r>
      <w:r>
        <w:rPr>
          <w:rFonts w:hint="eastAsia" w:ascii="仿宋_GB2312" w:hAnsi="宋体" w:eastAsia="仿宋_GB2312" w:cs="仿宋_GB2312"/>
          <w:color w:val="000000" w:themeColor="text1"/>
          <w:kern w:val="0"/>
          <w:szCs w:val="32"/>
          <w14:textFill>
            <w14:solidFill>
              <w14:schemeClr w14:val="tx1"/>
            </w14:solidFill>
          </w14:textFill>
        </w:rPr>
        <w:t>万元，决算数较预算数增加</w:t>
      </w:r>
      <w:r>
        <w:rPr>
          <w:rFonts w:hint="eastAsia" w:ascii="仿宋_GB2312" w:hAnsi="宋体" w:eastAsia="仿宋_GB2312" w:cs="仿宋_GB2312"/>
          <w:color w:val="000000" w:themeColor="text1"/>
          <w:kern w:val="0"/>
          <w:szCs w:val="32"/>
          <w:lang w:val="en-US" w:eastAsia="zh-CN"/>
          <w14:textFill>
            <w14:solidFill>
              <w14:schemeClr w14:val="tx1"/>
            </w14:solidFill>
          </w14:textFill>
        </w:rPr>
        <w:t>1.01</w:t>
      </w:r>
      <w:r>
        <w:rPr>
          <w:rFonts w:hint="eastAsia" w:ascii="仿宋_GB2312" w:hAnsi="宋体" w:eastAsia="仿宋_GB2312" w:cs="仿宋_GB2312"/>
          <w:color w:val="000000" w:themeColor="text1"/>
          <w:kern w:val="0"/>
          <w:szCs w:val="32"/>
          <w14:textFill>
            <w14:solidFill>
              <w14:schemeClr w14:val="tx1"/>
            </w14:solidFill>
          </w14:textFill>
        </w:rPr>
        <w:t>万元，主要原因是</w:t>
      </w:r>
      <w:r>
        <w:rPr>
          <w:rFonts w:hint="eastAsia" w:ascii="仿宋_GB2312" w:hAnsi="宋体" w:eastAsia="仿宋_GB2312" w:cs="仿宋_GB2312"/>
          <w:color w:val="000000" w:themeColor="text1"/>
          <w:kern w:val="0"/>
          <w:szCs w:val="32"/>
          <w:lang w:eastAsia="zh-CN"/>
          <w14:textFill>
            <w14:solidFill>
              <w14:schemeClr w14:val="tx1"/>
            </w14:solidFill>
          </w14:textFill>
        </w:rPr>
        <w:t>年初无此项预算。</w:t>
      </w:r>
    </w:p>
    <w:p>
      <w:pPr>
        <w:spacing w:line="560" w:lineRule="exact"/>
        <w:ind w:firstLine="640" w:firstLineChars="200"/>
        <w:rPr>
          <w:rFonts w:hint="eastAsia" w:ascii="仿宋_GB2312" w:hAnsi="宋体" w:eastAsia="仿宋_GB2312" w:cs="仿宋_GB2312"/>
          <w:color w:val="8496B0"/>
          <w:kern w:val="0"/>
          <w:szCs w:val="32"/>
          <w:lang w:eastAsia="zh-CN"/>
        </w:rPr>
      </w:pPr>
    </w:p>
    <w:p>
      <w:pPr>
        <w:spacing w:line="560" w:lineRule="exact"/>
        <w:ind w:firstLine="640" w:firstLineChars="200"/>
        <w:rPr>
          <w:rFonts w:hint="eastAsia" w:ascii="仿宋_GB2312" w:hAnsi="宋体" w:eastAsia="仿宋_GB2312" w:cs="仿宋_GB2312"/>
          <w:color w:val="8496B0"/>
          <w:kern w:val="0"/>
          <w:szCs w:val="32"/>
          <w:lang w:eastAsia="zh-CN"/>
        </w:rPr>
      </w:pPr>
    </w:p>
    <w:p>
      <w:pPr>
        <w:spacing w:line="560" w:lineRule="exact"/>
        <w:ind w:firstLine="640" w:firstLineChars="200"/>
        <w:rPr>
          <w:rFonts w:hint="eastAsia" w:ascii="仿宋_GB2312" w:hAnsi="宋体" w:eastAsia="仿宋_GB2312" w:cs="仿宋_GB2312"/>
          <w:color w:val="8496B0"/>
          <w:kern w:val="0"/>
          <w:szCs w:val="32"/>
          <w:lang w:eastAsia="zh-CN"/>
        </w:rPr>
      </w:pPr>
    </w:p>
    <w:p>
      <w:pPr>
        <w:spacing w:line="560" w:lineRule="exact"/>
        <w:ind w:firstLine="640" w:firstLineChars="200"/>
        <w:rPr>
          <w:rFonts w:hint="eastAsia" w:ascii="仿宋_GB2312" w:hAnsi="宋体" w:eastAsia="仿宋_GB2312" w:cs="仿宋_GB2312"/>
          <w:color w:val="8496B0"/>
          <w:kern w:val="0"/>
          <w:szCs w:val="32"/>
          <w:lang w:eastAsia="zh-CN"/>
        </w:rPr>
      </w:pPr>
    </w:p>
    <w:p>
      <w:pPr>
        <w:spacing w:line="560" w:lineRule="exact"/>
        <w:ind w:firstLine="640" w:firstLineChars="200"/>
        <w:rPr>
          <w:rFonts w:hint="eastAsia" w:ascii="仿宋_GB2312" w:hAnsi="宋体" w:eastAsia="仿宋_GB2312" w:cs="仿宋_GB2312"/>
          <w:color w:val="8496B0"/>
          <w:kern w:val="0"/>
          <w:szCs w:val="32"/>
          <w:lang w:eastAsia="zh-CN"/>
        </w:rPr>
      </w:pPr>
    </w:p>
    <w:p>
      <w:pPr>
        <w:spacing w:line="560" w:lineRule="exact"/>
        <w:ind w:firstLine="640" w:firstLineChars="200"/>
        <w:rPr>
          <w:rFonts w:hint="eastAsia" w:ascii="楷体_GB2312" w:hAnsi="宋体" w:eastAsia="楷体_GB2312" w:cs="楷体_GB2312"/>
          <w:b/>
          <w:color w:val="000000"/>
          <w:kern w:val="0"/>
          <w:szCs w:val="32"/>
        </w:rPr>
      </w:pPr>
      <w:r>
        <w:rPr>
          <w:rFonts w:hint="default" w:ascii="仿宋_GB2312" w:hAnsi="仿宋" w:eastAsia="仿宋_GB2312"/>
          <w:szCs w:val="32"/>
          <w:lang w:val="en-US" w:eastAsia="zh-CN"/>
        </w:rPr>
        <w:drawing>
          <wp:anchor distT="0" distB="0" distL="114300" distR="114300" simplePos="0" relativeHeight="251671552" behindDoc="0" locked="0" layoutInCell="1" allowOverlap="1">
            <wp:simplePos x="0" y="0"/>
            <wp:positionH relativeFrom="column">
              <wp:posOffset>440690</wp:posOffset>
            </wp:positionH>
            <wp:positionV relativeFrom="paragraph">
              <wp:posOffset>234950</wp:posOffset>
            </wp:positionV>
            <wp:extent cx="4284345" cy="4284345"/>
            <wp:effectExtent l="4445" t="4445" r="8890" b="8890"/>
            <wp:wrapNone/>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p>
    <w:p>
      <w:pPr>
        <w:spacing w:line="560" w:lineRule="exact"/>
        <w:ind w:firstLine="643" w:firstLineChars="200"/>
        <w:rPr>
          <w:rFonts w:hint="eastAsia" w:ascii="楷体_GB2312" w:hAnsi="宋体" w:eastAsia="楷体_GB2312" w:cs="楷体_GB2312"/>
          <w:b/>
          <w:color w:val="000000"/>
          <w:kern w:val="0"/>
          <w:szCs w:val="32"/>
        </w:rPr>
      </w:pPr>
    </w:p>
    <w:p>
      <w:pPr>
        <w:spacing w:line="560" w:lineRule="exact"/>
        <w:ind w:firstLine="643" w:firstLineChars="200"/>
        <w:rPr>
          <w:rFonts w:hint="eastAsia" w:ascii="楷体_GB2312" w:hAnsi="宋体" w:eastAsia="楷体_GB2312" w:cs="楷体_GB2312"/>
          <w:b/>
          <w:color w:val="000000"/>
          <w:kern w:val="0"/>
          <w:szCs w:val="32"/>
        </w:rPr>
      </w:pPr>
    </w:p>
    <w:p>
      <w:pPr>
        <w:spacing w:line="560" w:lineRule="exact"/>
        <w:ind w:firstLine="643" w:firstLineChars="200"/>
        <w:rPr>
          <w:rFonts w:hint="eastAsia" w:ascii="楷体_GB2312" w:hAnsi="宋体" w:eastAsia="楷体_GB2312" w:cs="楷体_GB2312"/>
          <w:b/>
          <w:color w:val="000000"/>
          <w:kern w:val="0"/>
          <w:szCs w:val="32"/>
        </w:rPr>
      </w:pPr>
    </w:p>
    <w:p>
      <w:pPr>
        <w:spacing w:line="560" w:lineRule="exact"/>
        <w:ind w:firstLine="643" w:firstLineChars="200"/>
        <w:rPr>
          <w:rFonts w:hint="eastAsia" w:ascii="楷体_GB2312" w:hAnsi="宋体" w:eastAsia="楷体_GB2312" w:cs="楷体_GB2312"/>
          <w:b/>
          <w:color w:val="000000"/>
          <w:kern w:val="0"/>
          <w:szCs w:val="32"/>
        </w:rPr>
      </w:pPr>
    </w:p>
    <w:p>
      <w:pPr>
        <w:spacing w:line="560" w:lineRule="exact"/>
        <w:ind w:firstLine="643" w:firstLineChars="200"/>
        <w:rPr>
          <w:rFonts w:hint="eastAsia" w:ascii="楷体_GB2312" w:hAnsi="宋体" w:eastAsia="楷体_GB2312" w:cs="楷体_GB2312"/>
          <w:b/>
          <w:color w:val="000000"/>
          <w:kern w:val="0"/>
          <w:szCs w:val="32"/>
        </w:rPr>
      </w:pPr>
    </w:p>
    <w:p>
      <w:pPr>
        <w:spacing w:line="560" w:lineRule="exact"/>
        <w:ind w:firstLine="643" w:firstLineChars="200"/>
        <w:rPr>
          <w:rFonts w:hint="eastAsia" w:ascii="楷体_GB2312" w:hAnsi="宋体" w:eastAsia="楷体_GB2312" w:cs="楷体_GB2312"/>
          <w:b/>
          <w:color w:val="000000"/>
          <w:kern w:val="0"/>
          <w:szCs w:val="32"/>
        </w:rPr>
      </w:pPr>
    </w:p>
    <w:p>
      <w:pPr>
        <w:spacing w:line="560" w:lineRule="exact"/>
        <w:ind w:firstLine="643" w:firstLineChars="200"/>
        <w:rPr>
          <w:rFonts w:hint="eastAsia" w:ascii="楷体_GB2312" w:hAnsi="宋体" w:eastAsia="楷体_GB2312" w:cs="楷体_GB2312"/>
          <w:b/>
          <w:color w:val="000000"/>
          <w:kern w:val="0"/>
          <w:szCs w:val="32"/>
        </w:rPr>
      </w:pPr>
    </w:p>
    <w:p>
      <w:pPr>
        <w:spacing w:line="560" w:lineRule="exact"/>
        <w:ind w:firstLine="643" w:firstLineChars="200"/>
        <w:rPr>
          <w:rFonts w:hint="eastAsia" w:ascii="楷体_GB2312" w:hAnsi="宋体" w:eastAsia="楷体_GB2312" w:cs="楷体_GB2312"/>
          <w:b/>
          <w:color w:val="000000"/>
          <w:kern w:val="0"/>
          <w:szCs w:val="32"/>
        </w:rPr>
      </w:pPr>
    </w:p>
    <w:p>
      <w:pPr>
        <w:spacing w:line="560" w:lineRule="exact"/>
        <w:ind w:firstLine="643" w:firstLineChars="200"/>
        <w:rPr>
          <w:rFonts w:hint="eastAsia" w:ascii="楷体_GB2312" w:hAnsi="宋体" w:eastAsia="楷体_GB2312" w:cs="楷体_GB2312"/>
          <w:b/>
          <w:color w:val="000000"/>
          <w:kern w:val="0"/>
          <w:szCs w:val="32"/>
        </w:rPr>
      </w:pPr>
    </w:p>
    <w:p>
      <w:pPr>
        <w:spacing w:line="560" w:lineRule="exact"/>
        <w:ind w:firstLine="643" w:firstLineChars="200"/>
        <w:rPr>
          <w:rFonts w:hint="eastAsia" w:ascii="楷体_GB2312" w:hAnsi="宋体" w:eastAsia="楷体_GB2312" w:cs="楷体_GB2312"/>
          <w:b/>
          <w:color w:val="000000"/>
          <w:kern w:val="0"/>
          <w:szCs w:val="32"/>
        </w:rPr>
      </w:pPr>
    </w:p>
    <w:p>
      <w:pPr>
        <w:spacing w:line="560" w:lineRule="exact"/>
        <w:ind w:firstLine="643" w:firstLineChars="200"/>
        <w:rPr>
          <w:rFonts w:hint="eastAsia" w:ascii="楷体_GB2312" w:hAnsi="宋体" w:eastAsia="楷体_GB2312" w:cs="楷体_GB2312"/>
          <w:b/>
          <w:color w:val="000000"/>
          <w:kern w:val="0"/>
          <w:szCs w:val="32"/>
        </w:rPr>
      </w:pPr>
    </w:p>
    <w:p>
      <w:pPr>
        <w:spacing w:line="560" w:lineRule="exact"/>
        <w:ind w:firstLine="643" w:firstLineChars="200"/>
        <w:rPr>
          <w:rFonts w:hint="eastAsia" w:ascii="楷体_GB2312" w:hAnsi="宋体" w:eastAsia="楷体_GB2312" w:cs="楷体_GB2312"/>
          <w:b/>
          <w:color w:val="000000"/>
          <w:kern w:val="0"/>
          <w:szCs w:val="32"/>
        </w:rPr>
      </w:pPr>
    </w:p>
    <w:p>
      <w:pPr>
        <w:spacing w:line="560" w:lineRule="exact"/>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（三）培训费支出情况说明。</w:t>
      </w:r>
    </w:p>
    <w:p>
      <w:pPr>
        <w:widowControl/>
        <w:spacing w:line="560" w:lineRule="exact"/>
        <w:ind w:firstLine="960" w:firstLineChars="300"/>
        <w:jc w:val="left"/>
        <w:rPr>
          <w:rFonts w:hint="eastAsia" w:ascii="仿宋_GB2312" w:hAnsi="宋体" w:eastAsia="仿宋_GB2312" w:cs="仿宋_GB2312"/>
          <w:color w:val="000000"/>
          <w:kern w:val="0"/>
          <w:szCs w:val="32"/>
          <w:lang w:eastAsia="zh-CN"/>
        </w:rPr>
      </w:pPr>
      <w:r>
        <w:rPr>
          <w:rFonts w:ascii="仿宋_GB2312" w:hAnsi="仿宋" w:eastAsia="仿宋_GB2312"/>
          <w:szCs w:val="32"/>
        </w:rPr>
        <w:t>2019</w:t>
      </w:r>
      <w:r>
        <w:rPr>
          <w:rFonts w:hint="eastAsia" w:ascii="仿宋_GB2312" w:hAnsi="仿宋" w:eastAsia="仿宋_GB2312"/>
          <w:szCs w:val="32"/>
        </w:rPr>
        <w:t>年度</w:t>
      </w:r>
      <w:r>
        <w:rPr>
          <w:rFonts w:hint="eastAsia" w:ascii="仿宋_GB2312" w:hAnsi="仿宋_GB2312" w:eastAsia="仿宋_GB2312" w:cs="仿宋_GB2312"/>
          <w:szCs w:val="32"/>
        </w:rPr>
        <w:t>培训费</w:t>
      </w:r>
      <w:r>
        <w:rPr>
          <w:rFonts w:hint="eastAsia"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8.73</w:t>
      </w:r>
      <w:r>
        <w:rPr>
          <w:rFonts w:hint="eastAsia" w:ascii="仿宋_GB2312" w:hAnsi="宋体" w:eastAsia="仿宋_GB2312" w:cs="仿宋_GB2312"/>
          <w:color w:val="000000"/>
          <w:kern w:val="0"/>
          <w:szCs w:val="32"/>
        </w:rPr>
        <w:t>万元，决算数较预算数增加</w:t>
      </w:r>
      <w:r>
        <w:rPr>
          <w:rFonts w:hint="eastAsia" w:ascii="仿宋_GB2312" w:hAnsi="宋体" w:eastAsia="仿宋_GB2312" w:cs="仿宋_GB2312"/>
          <w:color w:val="000000"/>
          <w:kern w:val="0"/>
          <w:szCs w:val="32"/>
          <w:lang w:val="en-US" w:eastAsia="zh-CN"/>
        </w:rPr>
        <w:t>8.73</w:t>
      </w:r>
      <w:r>
        <w:rPr>
          <w:rFonts w:hint="eastAsia" w:ascii="仿宋_GB2312" w:hAnsi="宋体" w:eastAsia="仿宋_GB2312" w:cs="仿宋_GB2312"/>
          <w:color w:val="000000"/>
          <w:kern w:val="0"/>
          <w:szCs w:val="32"/>
        </w:rPr>
        <w:t>万元，主要原因</w:t>
      </w:r>
      <w:r>
        <w:rPr>
          <w:rFonts w:hint="eastAsia" w:ascii="仿宋_GB2312" w:hAnsi="宋体" w:eastAsia="仿宋_GB2312" w:cs="仿宋_GB2312"/>
          <w:color w:val="000000"/>
          <w:kern w:val="0"/>
          <w:szCs w:val="32"/>
          <w:lang w:eastAsia="zh-CN"/>
        </w:rPr>
        <w:t>是年初无此预算项目。</w:t>
      </w:r>
    </w:p>
    <w:p>
      <w:pPr>
        <w:spacing w:line="560" w:lineRule="exact"/>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（四）会议费支出情况说明。</w:t>
      </w:r>
    </w:p>
    <w:p>
      <w:pPr>
        <w:widowControl/>
        <w:spacing w:line="560" w:lineRule="exact"/>
        <w:ind w:firstLine="960" w:firstLineChars="300"/>
        <w:jc w:val="left"/>
        <w:rPr>
          <w:rFonts w:ascii="仿宋_GB2312" w:hAnsi="宋体" w:eastAsia="仿宋_GB2312" w:cs="仿宋_GB2312"/>
          <w:color w:val="000000"/>
          <w:kern w:val="0"/>
          <w:szCs w:val="32"/>
        </w:rPr>
      </w:pPr>
      <w:r>
        <w:rPr>
          <w:rFonts w:ascii="仿宋_GB2312" w:hAnsi="仿宋" w:eastAsia="仿宋_GB2312"/>
          <w:szCs w:val="32"/>
        </w:rPr>
        <w:t>2019</w:t>
      </w:r>
      <w:r>
        <w:rPr>
          <w:rFonts w:hint="eastAsia" w:ascii="仿宋_GB2312" w:hAnsi="仿宋" w:eastAsia="仿宋_GB2312"/>
          <w:szCs w:val="32"/>
        </w:rPr>
        <w:t>年度</w:t>
      </w:r>
      <w:r>
        <w:rPr>
          <w:rFonts w:hint="eastAsia" w:ascii="仿宋_GB2312" w:hAnsi="仿宋_GB2312" w:eastAsia="仿宋_GB2312" w:cs="仿宋_GB2312"/>
          <w:szCs w:val="32"/>
        </w:rPr>
        <w:t>会议费</w:t>
      </w:r>
      <w:r>
        <w:rPr>
          <w:rFonts w:hint="eastAsia"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，决算数较预算数</w:t>
      </w:r>
      <w:r>
        <w:rPr>
          <w:rFonts w:hint="eastAsia" w:ascii="仿宋_GB2312" w:hAnsi="宋体" w:eastAsia="仿宋_GB2312" w:cs="仿宋_GB2312"/>
          <w:color w:val="000000"/>
          <w:kern w:val="0"/>
          <w:szCs w:val="32"/>
          <w:lang w:eastAsia="zh-CN"/>
        </w:rPr>
        <w:t>无增减变化。</w:t>
      </w:r>
    </w:p>
    <w:p>
      <w:pPr>
        <w:spacing w:line="560" w:lineRule="exact"/>
        <w:ind w:firstLine="640" w:firstLineChars="200"/>
        <w:rPr>
          <w:rFonts w:ascii="黑体" w:hAnsi="黑体" w:eastAsia="黑体"/>
          <w:color w:val="000000"/>
          <w:kern w:val="0"/>
          <w:szCs w:val="32"/>
        </w:rPr>
      </w:pPr>
      <w:r>
        <w:rPr>
          <w:rFonts w:hint="eastAsia" w:ascii="黑体" w:hAnsi="黑体" w:eastAsia="黑体"/>
          <w:color w:val="000000"/>
          <w:kern w:val="0"/>
          <w:szCs w:val="32"/>
        </w:rPr>
        <w:t>八、政府性基金预算财政拨款收入支出情况说明</w:t>
      </w:r>
      <w:r>
        <w:rPr>
          <w:rFonts w:ascii="黑体" w:hAnsi="黑体" w:eastAsia="黑体"/>
          <w:color w:val="000000"/>
          <w:kern w:val="0"/>
          <w:szCs w:val="32"/>
        </w:rPr>
        <w:t xml:space="preserve"> </w:t>
      </w:r>
    </w:p>
    <w:p>
      <w:pPr>
        <w:spacing w:line="560" w:lineRule="exact"/>
        <w:ind w:firstLine="640"/>
        <w:rPr>
          <w:rFonts w:hint="eastAsia" w:ascii="仿宋_GB2312" w:hAnsi="仿宋_GB2312" w:eastAsia="仿宋_GB2312" w:cs="仿宋_GB2312"/>
          <w:szCs w:val="32"/>
          <w:lang w:eastAsia="zh-CN"/>
        </w:rPr>
      </w:pPr>
      <w:r>
        <w:rPr>
          <w:rFonts w:hint="eastAsia" w:ascii="仿宋_GB2312" w:hAnsi="仿宋_GB2312" w:eastAsia="仿宋_GB2312" w:cs="仿宋_GB2312"/>
          <w:szCs w:val="32"/>
        </w:rPr>
        <w:t>本部门无政府性基金决算收支，并已公开空表</w:t>
      </w:r>
      <w:r>
        <w:rPr>
          <w:rFonts w:hint="eastAsia" w:ascii="仿宋_GB2312" w:hAnsi="仿宋_GB2312" w:eastAsia="仿宋_GB2312" w:cs="仿宋_GB2312"/>
          <w:szCs w:val="32"/>
          <w:lang w:eastAsia="zh-CN"/>
        </w:rPr>
        <w:t>。</w:t>
      </w:r>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pPr>
        <w:spacing w:line="560" w:lineRule="exact"/>
        <w:ind w:firstLine="640"/>
        <w:rPr>
          <w:rFonts w:hint="eastAsia" w:ascii="仿宋_GB2312" w:hAnsi="仿宋_GB2312" w:eastAsia="仿宋_GB2312" w:cs="仿宋_GB2312"/>
          <w:szCs w:val="32"/>
          <w:lang w:eastAsia="zh-CN"/>
        </w:rPr>
      </w:pPr>
      <w:r>
        <w:rPr>
          <w:rFonts w:hint="eastAsia" w:ascii="仿宋_GB2312" w:hAnsi="仿宋_GB2312" w:eastAsia="仿宋_GB2312" w:cs="仿宋_GB2312"/>
          <w:szCs w:val="32"/>
        </w:rPr>
        <w:t>本部门无国有资本经营决算拨款收支</w:t>
      </w:r>
      <w:r>
        <w:rPr>
          <w:rFonts w:hint="eastAsia" w:ascii="仿宋_GB2312" w:hAnsi="仿宋_GB2312" w:eastAsia="仿宋_GB2312" w:cs="仿宋_GB2312"/>
          <w:szCs w:val="32"/>
          <w:lang w:eastAsia="zh-CN"/>
        </w:rPr>
        <w:t>。</w:t>
      </w:r>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pPr>
        <w:widowControl/>
        <w:spacing w:line="560" w:lineRule="exact"/>
        <w:ind w:left="1616" w:leftChars="304" w:hanging="643" w:hanging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（一）预算绩效管理工作开展情况说明。</w:t>
      </w:r>
      <w:r>
        <w:rPr>
          <w:rFonts w:ascii="楷体_GB2312" w:hAnsi="宋体" w:eastAsia="楷体_GB2312" w:cs="楷体_GB2312"/>
          <w:b/>
          <w:color w:val="000000"/>
          <w:kern w:val="0"/>
          <w:szCs w:val="32"/>
        </w:rPr>
        <w:t xml:space="preserve">     </w:t>
      </w:r>
    </w:p>
    <w:p>
      <w:pPr>
        <w:widowControl/>
        <w:spacing w:line="560" w:lineRule="exact"/>
        <w:ind w:firstLine="640" w:firstLineChars="200"/>
        <w:jc w:val="left"/>
        <w:rPr>
          <w:rFonts w:hint="eastAsia" w:ascii="仿宋_GB2312" w:hAnsi="仿宋_GB2312" w:eastAsia="仿宋_GB2312" w:cs="仿宋_GB2312"/>
          <w:szCs w:val="32"/>
          <w:lang w:eastAsia="zh-CN"/>
        </w:rPr>
      </w:pPr>
      <w:r>
        <w:rPr>
          <w:rFonts w:hint="eastAsia" w:ascii="仿宋_GB2312" w:hAnsi="仿宋_GB2312" w:eastAsia="仿宋_GB2312" w:cs="仿宋_GB2312"/>
          <w:szCs w:val="32"/>
        </w:rPr>
        <w:t>根据预算绩效管理要求，本部门组织对</w:t>
      </w:r>
      <w:r>
        <w:rPr>
          <w:rFonts w:ascii="仿宋_GB2312" w:hAnsi="仿宋_GB2312" w:eastAsia="仿宋_GB2312" w:cs="仿宋_GB2312"/>
          <w:szCs w:val="32"/>
        </w:rPr>
        <w:t>2019</w:t>
      </w:r>
      <w:r>
        <w:rPr>
          <w:rFonts w:hint="eastAsia" w:ascii="仿宋_GB2312" w:hAnsi="仿宋_GB2312" w:eastAsia="仿宋_GB2312" w:cs="仿宋_GB2312"/>
          <w:szCs w:val="32"/>
        </w:rPr>
        <w:t>年一般公共预算</w:t>
      </w:r>
      <w:r>
        <w:rPr>
          <w:rFonts w:hint="eastAsia" w:ascii="仿宋_GB2312" w:hAnsi="仿宋_GB2312" w:eastAsia="仿宋_GB2312" w:cs="仿宋_GB2312"/>
          <w:szCs w:val="32"/>
          <w:lang w:val="en-US" w:eastAsia="zh-CN"/>
        </w:rPr>
        <w:t>7</w:t>
      </w:r>
      <w:r>
        <w:rPr>
          <w:rFonts w:hint="eastAsia" w:ascii="仿宋_GB2312" w:hAnsi="仿宋_GB2312" w:eastAsia="仿宋_GB2312" w:cs="仿宋_GB2312"/>
          <w:szCs w:val="32"/>
        </w:rPr>
        <w:t>个项目支出开展了绩效自评，其中，一级项目</w:t>
      </w:r>
      <w:r>
        <w:rPr>
          <w:rFonts w:hint="eastAsia" w:ascii="仿宋_GB2312" w:hAnsi="仿宋_GB2312" w:eastAsia="仿宋_GB2312" w:cs="仿宋_GB2312"/>
          <w:szCs w:val="32"/>
          <w:lang w:val="en-US" w:eastAsia="zh-CN"/>
        </w:rPr>
        <w:t>7</w:t>
      </w:r>
      <w:r>
        <w:rPr>
          <w:rFonts w:hint="eastAsia" w:ascii="仿宋_GB2312" w:hAnsi="仿宋_GB2312" w:eastAsia="仿宋_GB2312" w:cs="仿宋_GB2312"/>
          <w:szCs w:val="32"/>
        </w:rPr>
        <w:t>个，二级项目</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个，共涉及资金</w:t>
      </w:r>
      <w:r>
        <w:rPr>
          <w:rFonts w:hint="eastAsia" w:ascii="仿宋_GB2312" w:hAnsi="仿宋_GB2312" w:eastAsia="仿宋_GB2312" w:cs="仿宋_GB2312"/>
          <w:szCs w:val="32"/>
          <w:lang w:val="en-US" w:eastAsia="zh-CN"/>
        </w:rPr>
        <w:t>255</w:t>
      </w:r>
      <w:r>
        <w:rPr>
          <w:rFonts w:hint="eastAsia" w:ascii="仿宋_GB2312" w:hAnsi="仿宋_GB2312" w:eastAsia="仿宋_GB2312" w:cs="仿宋_GB2312"/>
          <w:szCs w:val="32"/>
        </w:rPr>
        <w:t>万元，占一般公共预算项目支出总额的</w:t>
      </w:r>
      <w:r>
        <w:rPr>
          <w:rFonts w:hint="eastAsia" w:ascii="仿宋_GB2312" w:hAnsi="仿宋_GB2312" w:eastAsia="仿宋_GB2312" w:cs="仿宋_GB2312"/>
          <w:szCs w:val="32"/>
          <w:lang w:val="en-US" w:eastAsia="zh-CN"/>
        </w:rPr>
        <w:t>35.97</w:t>
      </w:r>
      <w:r>
        <w:rPr>
          <w:rFonts w:ascii="仿宋_GB2312" w:hAnsi="仿宋_GB2312" w:eastAsia="仿宋_GB2312" w:cs="仿宋_GB2312"/>
          <w:szCs w:val="32"/>
        </w:rPr>
        <w:t>%</w:t>
      </w:r>
      <w:r>
        <w:rPr>
          <w:rFonts w:hint="eastAsia" w:ascii="仿宋_GB2312" w:hAnsi="仿宋_GB2312" w:eastAsia="仿宋_GB2312" w:cs="仿宋_GB2312"/>
          <w:szCs w:val="32"/>
          <w:lang w:eastAsia="zh-CN"/>
        </w:rPr>
        <w:t>。</w:t>
      </w:r>
    </w:p>
    <w:p>
      <w:pPr>
        <w:widowControl/>
        <w:spacing w:line="560" w:lineRule="exact"/>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本部门组织对</w:t>
      </w:r>
      <w:r>
        <w:rPr>
          <w:rFonts w:ascii="仿宋_GB2312" w:hAnsi="仿宋_GB2312" w:eastAsia="仿宋_GB2312" w:cs="仿宋_GB2312"/>
          <w:szCs w:val="32"/>
        </w:rPr>
        <w:t>2019</w:t>
      </w:r>
      <w:r>
        <w:rPr>
          <w:rFonts w:hint="eastAsia" w:ascii="仿宋_GB2312" w:hAnsi="仿宋_GB2312" w:eastAsia="仿宋_GB2312" w:cs="仿宋_GB2312"/>
          <w:szCs w:val="32"/>
        </w:rPr>
        <w:t>年度部门整体进行了绩效自评，涉及资金</w:t>
      </w:r>
      <w:r>
        <w:rPr>
          <w:rFonts w:hint="eastAsia" w:ascii="仿宋_GB2312" w:hAnsi="仿宋_GB2312" w:eastAsia="仿宋_GB2312" w:cs="仿宋_GB2312"/>
          <w:color w:val="000000"/>
          <w:kern w:val="0"/>
          <w:sz w:val="31"/>
          <w:szCs w:val="31"/>
          <w:lang w:val="en-US" w:eastAsia="zh-CN"/>
        </w:rPr>
        <w:t>872.9</w:t>
      </w:r>
      <w:r>
        <w:rPr>
          <w:rFonts w:hint="eastAsia" w:ascii="仿宋_GB2312" w:hAnsi="仿宋_GB2312" w:eastAsia="仿宋_GB2312" w:cs="仿宋_GB2312"/>
          <w:szCs w:val="32"/>
        </w:rPr>
        <w:t>万元。</w:t>
      </w:r>
    </w:p>
    <w:p>
      <w:pPr>
        <w:widowControl/>
        <w:spacing w:line="560" w:lineRule="exact"/>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（二）部门决算中项目绩效自评结果。</w:t>
      </w:r>
    </w:p>
    <w:p>
      <w:pPr>
        <w:widowControl/>
        <w:spacing w:line="560" w:lineRule="exact"/>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lang w:val="en-US" w:eastAsia="zh-CN"/>
        </w:rPr>
        <w:t>1.计划生育服务专项资金</w:t>
      </w:r>
      <w:r>
        <w:rPr>
          <w:rFonts w:hint="eastAsia" w:ascii="仿宋_GB2312" w:hAnsi="仿宋_GB2312" w:eastAsia="仿宋_GB2312" w:cs="仿宋_GB2312"/>
          <w:color w:val="000000"/>
          <w:kern w:val="0"/>
          <w:sz w:val="31"/>
          <w:szCs w:val="31"/>
        </w:rPr>
        <w:t>项目绩效自评综述：根据年初设定的绩效目标，项目自评得分</w:t>
      </w:r>
      <w:r>
        <w:rPr>
          <w:rFonts w:hint="eastAsia" w:ascii="仿宋_GB2312" w:hAnsi="仿宋_GB2312" w:eastAsia="仿宋_GB2312" w:cs="仿宋_GB2312"/>
          <w:color w:val="000000"/>
          <w:kern w:val="0"/>
          <w:sz w:val="31"/>
          <w:szCs w:val="31"/>
          <w:lang w:val="en-US" w:eastAsia="zh-CN"/>
        </w:rPr>
        <w:t>100</w:t>
      </w:r>
      <w:r>
        <w:rPr>
          <w:rFonts w:hint="eastAsia"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lang w:val="en-US" w:eastAsia="zh-CN"/>
        </w:rPr>
        <w:t>25</w:t>
      </w:r>
      <w:r>
        <w:rPr>
          <w:rFonts w:hint="eastAsia" w:ascii="仿宋_GB2312" w:hAnsi="仿宋_GB2312" w:eastAsia="仿宋_GB2312" w:cs="仿宋_GB2312"/>
          <w:color w:val="000000"/>
          <w:kern w:val="0"/>
          <w:sz w:val="31"/>
          <w:szCs w:val="31"/>
        </w:rPr>
        <w:t>万元，执行数</w:t>
      </w:r>
      <w:r>
        <w:rPr>
          <w:rFonts w:ascii="仿宋_GB2312" w:hAnsi="仿宋_GB2312" w:eastAsia="仿宋_GB2312" w:cs="仿宋_GB2312"/>
          <w:color w:val="000000"/>
          <w:kern w:val="0"/>
          <w:sz w:val="31"/>
          <w:szCs w:val="31"/>
        </w:rPr>
        <w:t xml:space="preserve"> </w:t>
      </w:r>
      <w:r>
        <w:rPr>
          <w:rFonts w:hint="eastAsia" w:ascii="仿宋_GB2312" w:hAnsi="仿宋_GB2312" w:eastAsia="仿宋_GB2312" w:cs="仿宋_GB2312"/>
          <w:color w:val="000000"/>
          <w:kern w:val="0"/>
          <w:sz w:val="31"/>
          <w:szCs w:val="31"/>
          <w:lang w:val="en-US" w:eastAsia="zh-CN"/>
        </w:rPr>
        <w:t>25</w:t>
      </w:r>
      <w:r>
        <w:rPr>
          <w:rFonts w:hint="eastAsia"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100</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w:t>
      </w:r>
    </w:p>
    <w:p>
      <w:pPr>
        <w:widowControl/>
        <w:spacing w:line="560" w:lineRule="exact"/>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主要产出和效果：全年完成母亲健康检查共11055人，全年完成免费孕前优生健康检查共2250对，人工流产术及技术常规所规定的各项医学检查、引产术及技术常规所规定的各项医学检查和计划生育手术并发症诊治共682人。</w:t>
      </w:r>
    </w:p>
    <w:p>
      <w:pPr>
        <w:widowControl/>
        <w:spacing w:line="560" w:lineRule="exact"/>
        <w:ind w:firstLine="640" w:firstLineChars="200"/>
        <w:jc w:val="left"/>
        <w:rPr>
          <w:rFonts w:hint="eastAsia" w:ascii="仿宋_GB2312" w:hAnsi="仿宋_GB2312" w:eastAsia="仿宋_GB2312" w:cs="仿宋_GB2312"/>
          <w:color w:val="000000"/>
          <w:kern w:val="0"/>
          <w:sz w:val="31"/>
          <w:szCs w:val="31"/>
        </w:rPr>
      </w:pPr>
      <w:r>
        <w:rPr>
          <w:rFonts w:hint="eastAsia" w:ascii="仿宋_GB2312" w:hAnsi="仿宋_GB2312" w:eastAsia="仿宋_GB2312" w:cs="仿宋_GB2312"/>
          <w:b w:val="0"/>
          <w:bCs/>
          <w:color w:val="000000"/>
          <w:kern w:val="0"/>
          <w:szCs w:val="32"/>
          <w:lang w:val="en-US" w:eastAsia="zh-CN"/>
        </w:rPr>
        <w:t>2.免费婚前医学检查项目</w:t>
      </w:r>
      <w:r>
        <w:rPr>
          <w:rFonts w:hint="eastAsia" w:ascii="仿宋_GB2312" w:hAnsi="仿宋_GB2312" w:eastAsia="仿宋_GB2312" w:cs="仿宋_GB2312"/>
          <w:color w:val="000000"/>
          <w:kern w:val="0"/>
          <w:sz w:val="31"/>
          <w:szCs w:val="31"/>
        </w:rPr>
        <w:t>绩效自评综述：根据年初设定的绩效目标，项目自评得分</w:t>
      </w:r>
      <w:r>
        <w:rPr>
          <w:rFonts w:hint="eastAsia" w:ascii="仿宋_GB2312" w:hAnsi="仿宋_GB2312" w:eastAsia="仿宋_GB2312" w:cs="仿宋_GB2312"/>
          <w:color w:val="000000"/>
          <w:kern w:val="0"/>
          <w:sz w:val="31"/>
          <w:szCs w:val="31"/>
          <w:lang w:val="en-US" w:eastAsia="zh-CN"/>
        </w:rPr>
        <w:t>100</w:t>
      </w:r>
      <w:r>
        <w:rPr>
          <w:rFonts w:hint="eastAsia"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lang w:val="en-US" w:eastAsia="zh-CN"/>
        </w:rPr>
        <w:t>15</w:t>
      </w:r>
      <w:r>
        <w:rPr>
          <w:rFonts w:hint="eastAsia" w:ascii="仿宋_GB2312" w:hAnsi="仿宋_GB2312" w:eastAsia="仿宋_GB2312" w:cs="仿宋_GB2312"/>
          <w:color w:val="000000"/>
          <w:kern w:val="0"/>
          <w:sz w:val="31"/>
          <w:szCs w:val="31"/>
        </w:rPr>
        <w:t xml:space="preserve">万元，执行数 </w:t>
      </w:r>
      <w:r>
        <w:rPr>
          <w:rFonts w:hint="eastAsia" w:ascii="仿宋_GB2312" w:hAnsi="仿宋_GB2312" w:eastAsia="仿宋_GB2312" w:cs="仿宋_GB2312"/>
          <w:color w:val="000000"/>
          <w:kern w:val="0"/>
          <w:sz w:val="31"/>
          <w:szCs w:val="31"/>
          <w:lang w:val="en-US" w:eastAsia="zh-CN"/>
        </w:rPr>
        <w:t>15</w:t>
      </w:r>
      <w:r>
        <w:rPr>
          <w:rFonts w:hint="eastAsia"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100</w:t>
      </w:r>
      <w:r>
        <w:rPr>
          <w:rFonts w:hint="eastAsia" w:ascii="仿宋_GB2312" w:hAnsi="仿宋_GB2312" w:eastAsia="仿宋_GB2312" w:cs="仿宋_GB2312"/>
          <w:color w:val="000000"/>
          <w:kern w:val="0"/>
          <w:sz w:val="31"/>
          <w:szCs w:val="31"/>
        </w:rPr>
        <w:t>%。</w:t>
      </w:r>
    </w:p>
    <w:p>
      <w:pPr>
        <w:widowControl/>
        <w:spacing w:line="560" w:lineRule="exact"/>
        <w:ind w:firstLine="620" w:firstLineChars="200"/>
        <w:jc w:val="left"/>
        <w:rPr>
          <w:rFonts w:hint="eastAsia" w:ascii="仿宋_GB2312" w:hAnsi="仿宋_GB2312" w:eastAsia="仿宋_GB2312" w:cs="仿宋_GB2312"/>
          <w:b w:val="0"/>
          <w:bCs/>
          <w:color w:val="000000"/>
          <w:kern w:val="0"/>
          <w:szCs w:val="32"/>
          <w:lang w:val="en-US" w:eastAsia="zh-CN"/>
        </w:rPr>
      </w:pPr>
      <w:r>
        <w:rPr>
          <w:rFonts w:hint="eastAsia"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b w:val="0"/>
          <w:bCs/>
          <w:color w:val="000000"/>
          <w:kern w:val="0"/>
          <w:szCs w:val="32"/>
          <w:lang w:val="en-US" w:eastAsia="zh-CN"/>
        </w:rPr>
        <w:t>全年完成免费婚前医学检查共2000对；全年完成免费婚前医学检查健康知识讲座共5次；印刷相关宣传片共8万份。</w:t>
      </w:r>
    </w:p>
    <w:p>
      <w:pPr>
        <w:widowControl/>
        <w:spacing w:line="560" w:lineRule="exact"/>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b w:val="0"/>
          <w:bCs/>
          <w:color w:val="000000"/>
          <w:kern w:val="0"/>
          <w:szCs w:val="32"/>
          <w:lang w:val="en-US" w:eastAsia="zh-CN"/>
        </w:rPr>
        <w:t>3.免费两癌筛查工作经费</w:t>
      </w:r>
      <w:r>
        <w:rPr>
          <w:rFonts w:hint="eastAsia" w:ascii="仿宋_GB2312" w:hAnsi="仿宋_GB2312" w:eastAsia="仿宋_GB2312" w:cs="仿宋_GB2312"/>
          <w:color w:val="000000"/>
          <w:kern w:val="0"/>
          <w:sz w:val="31"/>
          <w:szCs w:val="31"/>
        </w:rPr>
        <w:t>绩效自评综述：根据年初设定的绩效目标，项目自评得分</w:t>
      </w:r>
      <w:r>
        <w:rPr>
          <w:rFonts w:hint="eastAsia" w:ascii="仿宋_GB2312" w:hAnsi="仿宋_GB2312" w:eastAsia="仿宋_GB2312" w:cs="仿宋_GB2312"/>
          <w:color w:val="000000"/>
          <w:kern w:val="0"/>
          <w:sz w:val="31"/>
          <w:szCs w:val="31"/>
          <w:lang w:val="en-US" w:eastAsia="zh-CN"/>
        </w:rPr>
        <w:t>100</w:t>
      </w:r>
      <w:r>
        <w:rPr>
          <w:rFonts w:hint="eastAsia"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lang w:val="en-US" w:eastAsia="zh-CN"/>
        </w:rPr>
        <w:t>3</w:t>
      </w:r>
      <w:r>
        <w:rPr>
          <w:rFonts w:hint="eastAsia" w:ascii="仿宋_GB2312" w:hAnsi="仿宋_GB2312" w:eastAsia="仿宋_GB2312" w:cs="仿宋_GB2312"/>
          <w:color w:val="000000"/>
          <w:kern w:val="0"/>
          <w:sz w:val="31"/>
          <w:szCs w:val="31"/>
        </w:rPr>
        <w:t>万元，执行数</w:t>
      </w:r>
      <w:r>
        <w:rPr>
          <w:rFonts w:ascii="仿宋_GB2312" w:hAnsi="仿宋_GB2312" w:eastAsia="仿宋_GB2312" w:cs="仿宋_GB2312"/>
          <w:color w:val="000000"/>
          <w:kern w:val="0"/>
          <w:sz w:val="31"/>
          <w:szCs w:val="31"/>
        </w:rPr>
        <w:t xml:space="preserve"> </w:t>
      </w:r>
      <w:r>
        <w:rPr>
          <w:rFonts w:hint="eastAsia" w:ascii="仿宋_GB2312" w:hAnsi="仿宋_GB2312" w:eastAsia="仿宋_GB2312" w:cs="仿宋_GB2312"/>
          <w:color w:val="000000"/>
          <w:kern w:val="0"/>
          <w:sz w:val="31"/>
          <w:szCs w:val="31"/>
          <w:lang w:val="en-US" w:eastAsia="zh-CN"/>
        </w:rPr>
        <w:t>3</w:t>
      </w:r>
      <w:r>
        <w:rPr>
          <w:rFonts w:hint="eastAsia"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100</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w:t>
      </w:r>
    </w:p>
    <w:p>
      <w:pPr>
        <w:widowControl/>
        <w:spacing w:line="560" w:lineRule="exact"/>
        <w:ind w:firstLine="620" w:firstLineChars="200"/>
        <w:jc w:val="left"/>
        <w:rPr>
          <w:rFonts w:hint="eastAsia" w:ascii="仿宋_GB2312" w:hAnsi="仿宋_GB2312" w:eastAsia="仿宋_GB2312" w:cs="仿宋_GB2312"/>
          <w:color w:val="000000"/>
          <w:kern w:val="0"/>
          <w:sz w:val="31"/>
          <w:szCs w:val="31"/>
          <w:lang w:eastAsia="zh-CN"/>
        </w:rPr>
      </w:pPr>
      <w:r>
        <w:rPr>
          <w:rFonts w:hint="eastAsia" w:ascii="仿宋_GB2312" w:hAnsi="仿宋_GB2312" w:eastAsia="仿宋_GB2312" w:cs="仿宋_GB2312"/>
          <w:color w:val="000000"/>
          <w:kern w:val="0"/>
          <w:sz w:val="31"/>
          <w:szCs w:val="31"/>
        </w:rPr>
        <w:t>主要产出和效果：2019年我中心对我区30-64岁已婚育龄妇女进行免费两癌筛查，完成人数24337人</w:t>
      </w:r>
      <w:r>
        <w:rPr>
          <w:rFonts w:hint="eastAsia" w:ascii="仿宋_GB2312" w:hAnsi="仿宋_GB2312" w:eastAsia="仿宋_GB2312" w:cs="仿宋_GB2312"/>
          <w:color w:val="000000"/>
          <w:kern w:val="0"/>
          <w:sz w:val="31"/>
          <w:szCs w:val="31"/>
          <w:lang w:eastAsia="zh-CN"/>
        </w:rPr>
        <w:t>，提高妇女两癌早诊早治率，降低死亡率，逐步提高我区广大妇女自我保健意识和健康水平，形成维护妇女健康的有效机制。</w:t>
      </w:r>
    </w:p>
    <w:p>
      <w:pPr>
        <w:widowControl/>
        <w:numPr>
          <w:ilvl w:val="0"/>
          <w:numId w:val="4"/>
        </w:numPr>
        <w:spacing w:line="560" w:lineRule="exact"/>
        <w:ind w:left="0" w:leftChars="0" w:firstLine="620" w:firstLineChars="200"/>
        <w:jc w:val="left"/>
        <w:rPr>
          <w:rFonts w:hint="eastAsia"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lang w:val="en-US" w:eastAsia="zh-CN"/>
        </w:rPr>
        <w:t>两项工程项目</w:t>
      </w:r>
      <w:r>
        <w:rPr>
          <w:rFonts w:hint="eastAsia" w:ascii="仿宋_GB2312" w:hAnsi="仿宋_GB2312" w:eastAsia="仿宋_GB2312" w:cs="仿宋_GB2312"/>
          <w:b w:val="0"/>
          <w:bCs/>
          <w:color w:val="000000"/>
          <w:kern w:val="0"/>
          <w:szCs w:val="32"/>
          <w:lang w:val="en-US" w:eastAsia="zh-CN"/>
        </w:rPr>
        <w:t>经费</w:t>
      </w:r>
      <w:r>
        <w:rPr>
          <w:rFonts w:hint="eastAsia" w:ascii="仿宋_GB2312" w:hAnsi="仿宋_GB2312" w:eastAsia="仿宋_GB2312" w:cs="仿宋_GB2312"/>
          <w:color w:val="000000"/>
          <w:kern w:val="0"/>
          <w:sz w:val="31"/>
          <w:szCs w:val="31"/>
        </w:rPr>
        <w:t>绩效自评综述：根据年初设定的绩效目标，项目自评得分</w:t>
      </w:r>
      <w:r>
        <w:rPr>
          <w:rFonts w:hint="eastAsia" w:ascii="仿宋_GB2312" w:hAnsi="仿宋_GB2312" w:eastAsia="仿宋_GB2312" w:cs="仿宋_GB2312"/>
          <w:color w:val="000000"/>
          <w:kern w:val="0"/>
          <w:sz w:val="31"/>
          <w:szCs w:val="31"/>
          <w:lang w:val="en-US" w:eastAsia="zh-CN"/>
        </w:rPr>
        <w:t>100</w:t>
      </w:r>
      <w:r>
        <w:rPr>
          <w:rFonts w:hint="eastAsia"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lang w:val="en-US" w:eastAsia="zh-CN"/>
        </w:rPr>
        <w:t>2</w:t>
      </w:r>
      <w:r>
        <w:rPr>
          <w:rFonts w:hint="eastAsia" w:ascii="仿宋_GB2312" w:hAnsi="仿宋_GB2312" w:eastAsia="仿宋_GB2312" w:cs="仿宋_GB2312"/>
          <w:color w:val="000000"/>
          <w:kern w:val="0"/>
          <w:sz w:val="31"/>
          <w:szCs w:val="31"/>
        </w:rPr>
        <w:t>万元，执行数</w:t>
      </w:r>
      <w:r>
        <w:rPr>
          <w:rFonts w:ascii="仿宋_GB2312" w:hAnsi="仿宋_GB2312" w:eastAsia="仿宋_GB2312" w:cs="仿宋_GB2312"/>
          <w:color w:val="000000"/>
          <w:kern w:val="0"/>
          <w:sz w:val="31"/>
          <w:szCs w:val="31"/>
        </w:rPr>
        <w:t xml:space="preserve"> </w:t>
      </w:r>
      <w:r>
        <w:rPr>
          <w:rFonts w:hint="eastAsia" w:ascii="仿宋_GB2312" w:hAnsi="仿宋_GB2312" w:eastAsia="仿宋_GB2312" w:cs="仿宋_GB2312"/>
          <w:color w:val="000000"/>
          <w:kern w:val="0"/>
          <w:sz w:val="31"/>
          <w:szCs w:val="31"/>
          <w:lang w:val="en-US" w:eastAsia="zh-CN"/>
        </w:rPr>
        <w:t>2</w:t>
      </w:r>
      <w:r>
        <w:rPr>
          <w:rFonts w:hint="eastAsia"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100</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20" w:firstLineChars="200"/>
        <w:jc w:val="left"/>
        <w:textAlignment w:val="auto"/>
        <w:rPr>
          <w:rFonts w:hint="eastAsia"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主要产出和效果：认真做好农村育龄妇女健康检查和治疗工作，积极普及生殖健康科学知识，不断增强农村育龄妇女的自我保健意识，为群众提供安全、有效的生殖健康优质服务，促进育龄妇女生殖健康水平不断提高。</w:t>
      </w:r>
    </w:p>
    <w:p>
      <w:pPr>
        <w:widowControl/>
        <w:numPr>
          <w:ilvl w:val="0"/>
          <w:numId w:val="4"/>
        </w:numPr>
        <w:spacing w:line="560" w:lineRule="exact"/>
        <w:ind w:left="0" w:leftChars="0" w:firstLine="620" w:firstLineChars="200"/>
        <w:jc w:val="left"/>
        <w:rPr>
          <w:rFonts w:hint="eastAsia"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lang w:val="en-US" w:eastAsia="zh-CN"/>
        </w:rPr>
        <w:t>宣传专项</w:t>
      </w:r>
      <w:r>
        <w:rPr>
          <w:rFonts w:hint="eastAsia" w:ascii="仿宋_GB2312" w:hAnsi="仿宋_GB2312" w:eastAsia="仿宋_GB2312" w:cs="仿宋_GB2312"/>
          <w:b w:val="0"/>
          <w:bCs/>
          <w:color w:val="000000"/>
          <w:kern w:val="0"/>
          <w:szCs w:val="32"/>
          <w:lang w:val="en-US" w:eastAsia="zh-CN"/>
        </w:rPr>
        <w:t>经费</w:t>
      </w:r>
      <w:r>
        <w:rPr>
          <w:rFonts w:hint="eastAsia" w:ascii="仿宋_GB2312" w:hAnsi="仿宋_GB2312" w:eastAsia="仿宋_GB2312" w:cs="仿宋_GB2312"/>
          <w:color w:val="000000"/>
          <w:kern w:val="0"/>
          <w:sz w:val="31"/>
          <w:szCs w:val="31"/>
        </w:rPr>
        <w:t>绩效自评综述：根据年初设定的绩效目标，项目自评得分</w:t>
      </w:r>
      <w:r>
        <w:rPr>
          <w:rFonts w:hint="eastAsia" w:ascii="仿宋_GB2312" w:hAnsi="仿宋_GB2312" w:eastAsia="仿宋_GB2312" w:cs="仿宋_GB2312"/>
          <w:color w:val="000000"/>
          <w:kern w:val="0"/>
          <w:sz w:val="31"/>
          <w:szCs w:val="31"/>
          <w:lang w:val="en-US" w:eastAsia="zh-CN"/>
        </w:rPr>
        <w:t>100</w:t>
      </w:r>
      <w:r>
        <w:rPr>
          <w:rFonts w:hint="eastAsia"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lang w:val="en-US" w:eastAsia="zh-CN"/>
        </w:rPr>
        <w:t>5</w:t>
      </w:r>
      <w:r>
        <w:rPr>
          <w:rFonts w:hint="eastAsia" w:ascii="仿宋_GB2312" w:hAnsi="仿宋_GB2312" w:eastAsia="仿宋_GB2312" w:cs="仿宋_GB2312"/>
          <w:color w:val="000000"/>
          <w:kern w:val="0"/>
          <w:sz w:val="31"/>
          <w:szCs w:val="31"/>
        </w:rPr>
        <w:t>万元，执行数</w:t>
      </w:r>
      <w:r>
        <w:rPr>
          <w:rFonts w:ascii="仿宋_GB2312" w:hAnsi="仿宋_GB2312" w:eastAsia="仿宋_GB2312" w:cs="仿宋_GB2312"/>
          <w:color w:val="000000"/>
          <w:kern w:val="0"/>
          <w:sz w:val="31"/>
          <w:szCs w:val="31"/>
        </w:rPr>
        <w:t xml:space="preserve"> </w:t>
      </w:r>
      <w:r>
        <w:rPr>
          <w:rFonts w:hint="eastAsia" w:ascii="仿宋_GB2312" w:hAnsi="仿宋_GB2312" w:eastAsia="仿宋_GB2312" w:cs="仿宋_GB2312"/>
          <w:color w:val="000000"/>
          <w:kern w:val="0"/>
          <w:sz w:val="31"/>
          <w:szCs w:val="31"/>
          <w:lang w:val="en-US" w:eastAsia="zh-CN"/>
        </w:rPr>
        <w:t>5</w:t>
      </w:r>
      <w:r>
        <w:rPr>
          <w:rFonts w:hint="eastAsia"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100</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20" w:firstLineChars="200"/>
        <w:jc w:val="left"/>
        <w:textAlignment w:val="auto"/>
        <w:rPr>
          <w:rFonts w:hint="eastAsia" w:ascii="仿宋_GB2312" w:hAnsi="仿宋_GB2312" w:eastAsia="仿宋_GB2312" w:cs="仿宋_GB2312"/>
          <w:color w:val="000000"/>
          <w:kern w:val="0"/>
          <w:sz w:val="31"/>
          <w:szCs w:val="31"/>
          <w:lang w:eastAsia="zh-CN"/>
        </w:rPr>
      </w:pPr>
      <w:r>
        <w:rPr>
          <w:rFonts w:hint="eastAsia"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color w:val="000000"/>
          <w:kern w:val="0"/>
          <w:sz w:val="31"/>
          <w:szCs w:val="31"/>
          <w:lang w:eastAsia="zh-CN"/>
        </w:rPr>
        <w:t>宣传我中心业务范围及各项经济业务活动，提高宣传力度，提高群众知晓率。</w:t>
      </w:r>
    </w:p>
    <w:p>
      <w:pPr>
        <w:widowControl/>
        <w:numPr>
          <w:ilvl w:val="0"/>
          <w:numId w:val="4"/>
        </w:numPr>
        <w:spacing w:line="560" w:lineRule="exact"/>
        <w:ind w:left="0" w:leftChars="0" w:firstLine="640" w:firstLineChars="200"/>
        <w:jc w:val="left"/>
        <w:rPr>
          <w:rFonts w:hint="eastAsia" w:ascii="仿宋_GB2312" w:hAnsi="仿宋_GB2312" w:eastAsia="仿宋_GB2312" w:cs="仿宋_GB2312"/>
          <w:color w:val="000000"/>
          <w:kern w:val="0"/>
          <w:sz w:val="31"/>
          <w:szCs w:val="31"/>
        </w:rPr>
      </w:pPr>
      <w:r>
        <w:rPr>
          <w:rFonts w:hint="eastAsia" w:ascii="仿宋_GB2312" w:hAnsi="仿宋_GB2312" w:eastAsia="仿宋_GB2312" w:cs="仿宋_GB2312"/>
          <w:b w:val="0"/>
          <w:bCs/>
          <w:color w:val="000000"/>
          <w:kern w:val="0"/>
          <w:szCs w:val="32"/>
          <w:lang w:val="en-US" w:eastAsia="zh-CN"/>
        </w:rPr>
        <w:t>妇女免费两癌筛查项目</w:t>
      </w:r>
      <w:r>
        <w:rPr>
          <w:rFonts w:hint="eastAsia" w:ascii="仿宋_GB2312" w:hAnsi="仿宋_GB2312" w:eastAsia="仿宋_GB2312" w:cs="仿宋_GB2312"/>
          <w:color w:val="000000"/>
          <w:kern w:val="0"/>
          <w:sz w:val="31"/>
          <w:szCs w:val="31"/>
        </w:rPr>
        <w:t>绩效自评综述：根据年初设定的绩效目标，项目自评得分</w:t>
      </w:r>
      <w:r>
        <w:rPr>
          <w:rFonts w:hint="eastAsia" w:ascii="仿宋_GB2312" w:hAnsi="仿宋_GB2312" w:eastAsia="仿宋_GB2312" w:cs="仿宋_GB2312"/>
          <w:color w:val="000000"/>
          <w:kern w:val="0"/>
          <w:sz w:val="31"/>
          <w:szCs w:val="31"/>
          <w:lang w:val="en-US" w:eastAsia="zh-CN"/>
        </w:rPr>
        <w:t>100</w:t>
      </w:r>
      <w:r>
        <w:rPr>
          <w:rFonts w:hint="eastAsia"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lang w:val="en-US" w:eastAsia="zh-CN"/>
        </w:rPr>
        <w:t>200</w:t>
      </w:r>
      <w:r>
        <w:rPr>
          <w:rFonts w:hint="eastAsia" w:ascii="仿宋_GB2312" w:hAnsi="仿宋_GB2312" w:eastAsia="仿宋_GB2312" w:cs="仿宋_GB2312"/>
          <w:color w:val="000000"/>
          <w:kern w:val="0"/>
          <w:sz w:val="31"/>
          <w:szCs w:val="31"/>
        </w:rPr>
        <w:t>万元，执行数</w:t>
      </w:r>
      <w:r>
        <w:rPr>
          <w:rFonts w:ascii="仿宋_GB2312" w:hAnsi="仿宋_GB2312" w:eastAsia="仿宋_GB2312" w:cs="仿宋_GB2312"/>
          <w:color w:val="000000"/>
          <w:kern w:val="0"/>
          <w:sz w:val="31"/>
          <w:szCs w:val="31"/>
        </w:rPr>
        <w:t xml:space="preserve"> </w:t>
      </w:r>
      <w:r>
        <w:rPr>
          <w:rFonts w:hint="eastAsia" w:ascii="仿宋_GB2312" w:hAnsi="仿宋_GB2312" w:eastAsia="仿宋_GB2312" w:cs="仿宋_GB2312"/>
          <w:color w:val="000000"/>
          <w:kern w:val="0"/>
          <w:sz w:val="31"/>
          <w:szCs w:val="31"/>
          <w:lang w:val="en-US" w:eastAsia="zh-CN"/>
        </w:rPr>
        <w:t>200</w:t>
      </w:r>
      <w:r>
        <w:rPr>
          <w:rFonts w:hint="eastAsia"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100</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w:t>
      </w:r>
    </w:p>
    <w:p>
      <w:pPr>
        <w:widowControl/>
        <w:spacing w:line="560" w:lineRule="exact"/>
        <w:ind w:firstLine="620" w:firstLineChars="200"/>
        <w:jc w:val="left"/>
        <w:rPr>
          <w:rFonts w:hint="eastAsia" w:ascii="仿宋_GB2312" w:hAnsi="仿宋_GB2312" w:eastAsia="仿宋_GB2312" w:cs="仿宋_GB2312"/>
          <w:color w:val="000000"/>
          <w:kern w:val="0"/>
          <w:sz w:val="31"/>
          <w:szCs w:val="31"/>
          <w:lang w:eastAsia="zh-CN"/>
        </w:rPr>
      </w:pPr>
      <w:r>
        <w:rPr>
          <w:rFonts w:hint="eastAsia" w:ascii="仿宋_GB2312" w:hAnsi="仿宋_GB2312" w:eastAsia="仿宋_GB2312" w:cs="仿宋_GB2312"/>
          <w:color w:val="000000"/>
          <w:kern w:val="0"/>
          <w:sz w:val="31"/>
          <w:szCs w:val="31"/>
        </w:rPr>
        <w:t>主要产出和效果：2019年我中心对我区30-64岁已婚育龄妇女进行免费两癌筛查，完成人数24337人</w:t>
      </w:r>
      <w:r>
        <w:rPr>
          <w:rFonts w:hint="eastAsia" w:ascii="仿宋_GB2312" w:hAnsi="仿宋_GB2312" w:eastAsia="仿宋_GB2312" w:cs="仿宋_GB2312"/>
          <w:color w:val="000000"/>
          <w:kern w:val="0"/>
          <w:sz w:val="31"/>
          <w:szCs w:val="31"/>
          <w:lang w:eastAsia="zh-CN"/>
        </w:rPr>
        <w:t>，提高妇女两癌早诊早治率，降低死亡率，逐步提高我区广大妇女自我保健意识和健康水平，形成维护妇女健康的有效机制。</w:t>
      </w:r>
    </w:p>
    <w:p>
      <w:pPr>
        <w:widowControl/>
        <w:numPr>
          <w:ilvl w:val="0"/>
          <w:numId w:val="4"/>
        </w:numPr>
        <w:spacing w:line="560" w:lineRule="exact"/>
        <w:ind w:left="0" w:leftChars="0" w:firstLine="620" w:firstLineChars="200"/>
        <w:jc w:val="left"/>
        <w:rPr>
          <w:rFonts w:hint="eastAsia"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lang w:eastAsia="zh-CN"/>
        </w:rPr>
        <w:t>孕前优生检查工作经费</w:t>
      </w:r>
      <w:r>
        <w:rPr>
          <w:rFonts w:hint="eastAsia" w:ascii="仿宋_GB2312" w:hAnsi="仿宋_GB2312" w:eastAsia="仿宋_GB2312" w:cs="仿宋_GB2312"/>
          <w:color w:val="000000"/>
          <w:kern w:val="0"/>
          <w:sz w:val="31"/>
          <w:szCs w:val="31"/>
        </w:rPr>
        <w:t>绩效自评综述：根据年初设定的绩效目标，项目自评得分</w:t>
      </w:r>
      <w:r>
        <w:rPr>
          <w:rFonts w:hint="eastAsia" w:ascii="仿宋_GB2312" w:hAnsi="仿宋_GB2312" w:eastAsia="仿宋_GB2312" w:cs="仿宋_GB2312"/>
          <w:color w:val="000000"/>
          <w:kern w:val="0"/>
          <w:sz w:val="31"/>
          <w:szCs w:val="31"/>
          <w:lang w:val="en-US" w:eastAsia="zh-CN"/>
        </w:rPr>
        <w:t>100</w:t>
      </w:r>
      <w:r>
        <w:rPr>
          <w:rFonts w:hint="eastAsia"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lang w:val="en-US" w:eastAsia="zh-CN"/>
        </w:rPr>
        <w:t>5</w:t>
      </w:r>
      <w:r>
        <w:rPr>
          <w:rFonts w:hint="eastAsia" w:ascii="仿宋_GB2312" w:hAnsi="仿宋_GB2312" w:eastAsia="仿宋_GB2312" w:cs="仿宋_GB2312"/>
          <w:color w:val="000000"/>
          <w:kern w:val="0"/>
          <w:sz w:val="31"/>
          <w:szCs w:val="31"/>
        </w:rPr>
        <w:t>万元，执行数</w:t>
      </w:r>
      <w:r>
        <w:rPr>
          <w:rFonts w:ascii="仿宋_GB2312" w:hAnsi="仿宋_GB2312" w:eastAsia="仿宋_GB2312" w:cs="仿宋_GB2312"/>
          <w:color w:val="000000"/>
          <w:kern w:val="0"/>
          <w:sz w:val="31"/>
          <w:szCs w:val="31"/>
        </w:rPr>
        <w:t xml:space="preserve"> </w:t>
      </w:r>
      <w:r>
        <w:rPr>
          <w:rFonts w:hint="eastAsia" w:ascii="仿宋_GB2312" w:hAnsi="仿宋_GB2312" w:eastAsia="仿宋_GB2312" w:cs="仿宋_GB2312"/>
          <w:color w:val="000000"/>
          <w:kern w:val="0"/>
          <w:sz w:val="31"/>
          <w:szCs w:val="31"/>
          <w:lang w:val="en-US" w:eastAsia="zh-CN"/>
        </w:rPr>
        <w:t>5</w:t>
      </w:r>
      <w:r>
        <w:rPr>
          <w:rFonts w:hint="eastAsia"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100</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w:t>
      </w:r>
    </w:p>
    <w:p>
      <w:pPr>
        <w:widowControl/>
        <w:spacing w:line="560" w:lineRule="exact"/>
        <w:ind w:firstLine="620" w:firstLineChars="200"/>
        <w:jc w:val="left"/>
        <w:rPr>
          <w:rFonts w:hint="eastAsia" w:ascii="仿宋_GB2312" w:hAnsi="仿宋_GB2312" w:eastAsia="仿宋_GB2312" w:cs="仿宋_GB2312"/>
          <w:color w:val="000000"/>
          <w:kern w:val="0"/>
          <w:sz w:val="31"/>
          <w:szCs w:val="31"/>
          <w:lang w:eastAsia="zh-CN"/>
        </w:rPr>
      </w:pPr>
      <w:r>
        <w:rPr>
          <w:rFonts w:hint="eastAsia"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color w:val="000000"/>
          <w:kern w:val="0"/>
          <w:sz w:val="31"/>
          <w:szCs w:val="31"/>
          <w:lang w:eastAsia="zh-CN"/>
        </w:rPr>
        <w:t>开展孕前优生健康检查工作宣传倡导，积极引导群众自觉参加免费孕前优生健康检查，并发放母子保健手册，做好检查记录。</w:t>
      </w:r>
    </w:p>
    <w:p>
      <w:pPr>
        <w:widowControl/>
        <w:spacing w:line="560" w:lineRule="exact"/>
        <w:ind w:firstLine="643" w:firstLineChars="200"/>
        <w:jc w:val="left"/>
        <w:rPr>
          <w:rFonts w:ascii="楷体_GB2312" w:hAnsi="宋体" w:eastAsia="楷体_GB2312" w:cs="楷体_GB2312"/>
          <w:b/>
          <w:color w:val="000000"/>
          <w:kern w:val="0"/>
          <w:szCs w:val="32"/>
        </w:rPr>
      </w:pPr>
      <w:r>
        <w:rPr>
          <w:rFonts w:hint="eastAsia" w:ascii="仿宋_GB2312" w:hAnsi="仿宋_GB2312" w:eastAsia="仿宋_GB2312" w:cs="仿宋_GB2312"/>
          <w:b/>
          <w:color w:val="000000"/>
          <w:kern w:val="0"/>
          <w:szCs w:val="32"/>
        </w:rPr>
        <w:t>（</w:t>
      </w:r>
      <w:r>
        <w:rPr>
          <w:rFonts w:hint="eastAsia" w:ascii="楷体_GB2312" w:hAnsi="宋体" w:eastAsia="楷体_GB2312" w:cs="楷体_GB2312"/>
          <w:b/>
          <w:color w:val="000000"/>
          <w:kern w:val="0"/>
          <w:szCs w:val="32"/>
        </w:rPr>
        <w:t>三）部门决算中整体支出绩效自评结果。</w:t>
      </w:r>
    </w:p>
    <w:p>
      <w:pPr>
        <w:widowControl/>
        <w:spacing w:line="560" w:lineRule="exact"/>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根据年初设定的绩效目标，本部门整体</w:t>
      </w:r>
      <w:r>
        <w:rPr>
          <w:rFonts w:ascii="仿宋_GB2312" w:hAnsi="仿宋_GB2312" w:eastAsia="仿宋_GB2312" w:cs="仿宋_GB2312"/>
          <w:color w:val="000000"/>
          <w:kern w:val="0"/>
          <w:sz w:val="31"/>
          <w:szCs w:val="31"/>
        </w:rPr>
        <w:t>2019</w:t>
      </w:r>
      <w:r>
        <w:rPr>
          <w:rFonts w:hint="eastAsia" w:ascii="仿宋_GB2312" w:hAnsi="仿宋_GB2312" w:eastAsia="仿宋_GB2312" w:cs="仿宋_GB2312"/>
          <w:color w:val="000000"/>
          <w:kern w:val="0"/>
          <w:sz w:val="31"/>
          <w:szCs w:val="31"/>
        </w:rPr>
        <w:t>年度整体自评得分</w:t>
      </w:r>
      <w:r>
        <w:rPr>
          <w:rFonts w:hint="eastAsia" w:ascii="仿宋_GB2312" w:hAnsi="仿宋_GB2312" w:eastAsia="仿宋_GB2312" w:cs="仿宋_GB2312"/>
          <w:color w:val="000000"/>
          <w:kern w:val="0"/>
          <w:sz w:val="31"/>
          <w:szCs w:val="31"/>
          <w:lang w:val="en-US" w:eastAsia="zh-CN"/>
        </w:rPr>
        <w:t>94</w:t>
      </w:r>
      <w:r>
        <w:rPr>
          <w:rFonts w:hint="eastAsia" w:ascii="仿宋_GB2312" w:hAnsi="仿宋_GB2312" w:eastAsia="仿宋_GB2312" w:cs="仿宋_GB2312"/>
          <w:color w:val="000000"/>
          <w:kern w:val="0"/>
          <w:sz w:val="31"/>
          <w:szCs w:val="31"/>
        </w:rPr>
        <w:t>分。全年预算数</w:t>
      </w:r>
      <w:r>
        <w:rPr>
          <w:rFonts w:hint="eastAsia" w:ascii="仿宋_GB2312" w:hAnsi="仿宋_GB2312" w:eastAsia="仿宋_GB2312" w:cs="仿宋_GB2312"/>
          <w:color w:val="000000"/>
          <w:kern w:val="0"/>
          <w:sz w:val="31"/>
          <w:szCs w:val="31"/>
          <w:lang w:val="en-US" w:eastAsia="zh-CN"/>
        </w:rPr>
        <w:t>708.86</w:t>
      </w:r>
      <w:r>
        <w:rPr>
          <w:rFonts w:hint="eastAsia"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lang w:val="en-US" w:eastAsia="zh-CN"/>
        </w:rPr>
        <w:t>872.9</w:t>
      </w:r>
      <w:r>
        <w:rPr>
          <w:rFonts w:hint="eastAsia"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123.14</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20" w:firstLineChars="200"/>
        <w:jc w:val="left"/>
        <w:textAlignment w:val="auto"/>
        <w:rPr>
          <w:rFonts w:hint="eastAsia" w:ascii="仿宋_GB2312" w:hAnsi="仿宋_GB2312" w:eastAsia="仿宋_GB2312" w:cs="仿宋_GB2312"/>
          <w:color w:val="000000"/>
          <w:kern w:val="0"/>
          <w:sz w:val="31"/>
          <w:szCs w:val="31"/>
          <w:lang w:eastAsia="zh-CN"/>
        </w:rPr>
      </w:pPr>
      <w:r>
        <w:rPr>
          <w:rFonts w:hint="eastAsia"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color w:val="000000"/>
          <w:kern w:val="0"/>
          <w:sz w:val="31"/>
          <w:szCs w:val="31"/>
          <w:lang w:eastAsia="zh-CN"/>
        </w:rPr>
        <w:t>通过宣传我中心业务范围及各项经济业务活动，增加群众知晓率。逐步提高我区广大妇女自我保健意识和健康水平，形成维护妇女健康的有效机制，</w:t>
      </w:r>
      <w:r>
        <w:rPr>
          <w:rFonts w:hint="eastAsia" w:ascii="仿宋_GB2312" w:hAnsi="仿宋_GB2312" w:eastAsia="仿宋_GB2312" w:cs="仿宋_GB2312"/>
          <w:color w:val="000000"/>
          <w:kern w:val="0"/>
          <w:sz w:val="31"/>
          <w:szCs w:val="31"/>
        </w:rPr>
        <w:t>为群众提供安全、有效的优质服务</w:t>
      </w:r>
      <w:r>
        <w:rPr>
          <w:rFonts w:hint="eastAsia" w:ascii="仿宋_GB2312" w:hAnsi="仿宋_GB2312" w:eastAsia="仿宋_GB2312" w:cs="仿宋_GB2312"/>
          <w:color w:val="000000"/>
          <w:kern w:val="0"/>
          <w:sz w:val="31"/>
          <w:szCs w:val="31"/>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20" w:firstLineChars="200"/>
        <w:jc w:val="left"/>
        <w:textAlignment w:val="auto"/>
        <w:rPr>
          <w:rFonts w:hint="eastAsia" w:ascii="仿宋_GB2312" w:hAnsi="仿宋_GB2312" w:eastAsia="仿宋_GB2312" w:cs="仿宋_GB2312"/>
          <w:color w:val="000000"/>
          <w:kern w:val="0"/>
          <w:sz w:val="31"/>
          <w:szCs w:val="31"/>
          <w:lang w:eastAsia="zh-CN"/>
        </w:rPr>
      </w:pPr>
      <w:r>
        <w:rPr>
          <w:rFonts w:hint="eastAsia" w:ascii="仿宋_GB2312" w:hAnsi="仿宋_GB2312" w:eastAsia="仿宋_GB2312" w:cs="仿宋_GB2312"/>
          <w:color w:val="000000"/>
          <w:kern w:val="0"/>
          <w:sz w:val="31"/>
          <w:szCs w:val="31"/>
          <w:lang w:eastAsia="zh-CN"/>
        </w:rPr>
        <w:t>主要工作绩效是：</w:t>
      </w:r>
    </w:p>
    <w:p>
      <w:pPr>
        <w:widowControl/>
        <w:spacing w:line="560" w:lineRule="exact"/>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lang w:val="en-US" w:eastAsia="zh-CN"/>
        </w:rPr>
        <w:t>1.计划生育服务：</w:t>
      </w:r>
      <w:r>
        <w:rPr>
          <w:rFonts w:hint="eastAsia" w:ascii="仿宋_GB2312" w:hAnsi="仿宋_GB2312" w:eastAsia="仿宋_GB2312" w:cs="仿宋_GB2312"/>
          <w:color w:val="000000"/>
          <w:kern w:val="0"/>
          <w:sz w:val="31"/>
          <w:szCs w:val="31"/>
        </w:rPr>
        <w:t>全年完成母亲健康检查共11055人，全年完成免费孕前优生健康检查共2250对，人工流产术及技术常规所规定的各项医学检查、引产术及技术常规所规定的各项医学检查和计划生育手术并发症诊治共682人。</w:t>
      </w:r>
    </w:p>
    <w:p>
      <w:pPr>
        <w:widowControl/>
        <w:spacing w:line="560" w:lineRule="exact"/>
        <w:ind w:firstLine="640" w:firstLineChars="200"/>
        <w:jc w:val="left"/>
        <w:rPr>
          <w:rFonts w:hint="eastAsia" w:ascii="仿宋_GB2312" w:hAnsi="仿宋_GB2312" w:eastAsia="仿宋_GB2312" w:cs="仿宋_GB2312"/>
          <w:b w:val="0"/>
          <w:bCs/>
          <w:color w:val="000000"/>
          <w:kern w:val="0"/>
          <w:szCs w:val="32"/>
          <w:lang w:val="en-US" w:eastAsia="zh-CN"/>
        </w:rPr>
      </w:pPr>
      <w:r>
        <w:rPr>
          <w:rFonts w:hint="eastAsia" w:ascii="仿宋_GB2312" w:hAnsi="仿宋_GB2312" w:eastAsia="仿宋_GB2312" w:cs="仿宋_GB2312"/>
          <w:b w:val="0"/>
          <w:bCs/>
          <w:color w:val="000000"/>
          <w:kern w:val="0"/>
          <w:szCs w:val="32"/>
          <w:lang w:val="en-US" w:eastAsia="zh-CN"/>
        </w:rPr>
        <w:t>2.免费婚前医学检查项目</w:t>
      </w:r>
      <w:r>
        <w:rPr>
          <w:rFonts w:hint="eastAsia" w:ascii="仿宋_GB2312" w:hAnsi="仿宋_GB2312" w:eastAsia="仿宋_GB2312" w:cs="仿宋_GB2312"/>
          <w:color w:val="000000"/>
          <w:kern w:val="0"/>
          <w:sz w:val="31"/>
          <w:szCs w:val="31"/>
        </w:rPr>
        <w:t>：</w:t>
      </w:r>
      <w:r>
        <w:rPr>
          <w:rFonts w:hint="eastAsia" w:ascii="仿宋_GB2312" w:hAnsi="仿宋_GB2312" w:eastAsia="仿宋_GB2312" w:cs="仿宋_GB2312"/>
          <w:b w:val="0"/>
          <w:bCs/>
          <w:color w:val="000000"/>
          <w:kern w:val="0"/>
          <w:szCs w:val="32"/>
          <w:lang w:val="en-US" w:eastAsia="zh-CN"/>
        </w:rPr>
        <w:t>全年完成免费婚前医学检查共2000对；全年完成免费婚前医学检查健康知识讲座共5次；印刷相关宣传片共8万份。</w:t>
      </w:r>
    </w:p>
    <w:p>
      <w:pPr>
        <w:widowControl/>
        <w:spacing w:line="560" w:lineRule="exact"/>
        <w:ind w:firstLine="640" w:firstLineChars="200"/>
        <w:jc w:val="left"/>
        <w:rPr>
          <w:rFonts w:hint="eastAsia" w:ascii="仿宋_GB2312" w:hAnsi="仿宋_GB2312" w:eastAsia="仿宋_GB2312" w:cs="仿宋_GB2312"/>
          <w:color w:val="000000"/>
          <w:kern w:val="0"/>
          <w:sz w:val="31"/>
          <w:szCs w:val="31"/>
          <w:lang w:eastAsia="zh-CN"/>
        </w:rPr>
      </w:pPr>
      <w:r>
        <w:rPr>
          <w:rFonts w:hint="eastAsia" w:ascii="仿宋_GB2312" w:hAnsi="仿宋_GB2312" w:eastAsia="仿宋_GB2312" w:cs="仿宋_GB2312"/>
          <w:b w:val="0"/>
          <w:bCs/>
          <w:color w:val="000000"/>
          <w:kern w:val="0"/>
          <w:szCs w:val="32"/>
          <w:lang w:val="en-US" w:eastAsia="zh-CN"/>
        </w:rPr>
        <w:t>3.免费两癌筛查项目</w:t>
      </w:r>
      <w:r>
        <w:rPr>
          <w:rFonts w:hint="eastAsia" w:ascii="仿宋_GB2312" w:hAnsi="仿宋_GB2312" w:eastAsia="仿宋_GB2312" w:cs="仿宋_GB2312"/>
          <w:color w:val="000000"/>
          <w:kern w:val="0"/>
          <w:sz w:val="31"/>
          <w:szCs w:val="31"/>
        </w:rPr>
        <w:t>：2019年我中心对我区30-64岁已婚育龄妇女进行免费两癌筛查，完成人数24337人</w:t>
      </w:r>
      <w:r>
        <w:rPr>
          <w:rFonts w:hint="eastAsia" w:ascii="仿宋_GB2312" w:hAnsi="仿宋_GB2312" w:eastAsia="仿宋_GB2312" w:cs="仿宋_GB2312"/>
          <w:color w:val="000000"/>
          <w:kern w:val="0"/>
          <w:sz w:val="31"/>
          <w:szCs w:val="31"/>
          <w:lang w:eastAsia="zh-CN"/>
        </w:rPr>
        <w:t>，提高妇女两癌早诊早治率，降低死亡率，逐步提高我区广大妇女自我保健意识和健康水平，形成维护妇女健康的有效机制。</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20" w:firstLineChars="200"/>
        <w:jc w:val="left"/>
        <w:textAlignment w:val="auto"/>
        <w:rPr>
          <w:rFonts w:hint="eastAsia"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lang w:val="en-US" w:eastAsia="zh-CN"/>
        </w:rPr>
        <w:t>4.两项工程项目</w:t>
      </w:r>
      <w:r>
        <w:rPr>
          <w:rFonts w:hint="eastAsia" w:ascii="仿宋_GB2312" w:hAnsi="仿宋_GB2312" w:eastAsia="仿宋_GB2312" w:cs="仿宋_GB2312"/>
          <w:color w:val="000000"/>
          <w:kern w:val="0"/>
          <w:sz w:val="31"/>
          <w:szCs w:val="31"/>
        </w:rPr>
        <w:t>：认真做好农村育龄妇女健康检查和治疗工作，积极普及生殖健康科学知识，不断增强农村育龄妇女的自我保健意识，为群众提供安全、有效的生殖健康优质服务，促进育龄妇女生殖健康水平不断提高。</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20" w:firstLineChars="200"/>
        <w:jc w:val="left"/>
        <w:textAlignment w:val="auto"/>
        <w:rPr>
          <w:rFonts w:hint="eastAsia" w:ascii="仿宋_GB2312" w:hAnsi="仿宋_GB2312" w:eastAsia="仿宋_GB2312" w:cs="仿宋_GB2312"/>
          <w:color w:val="000000"/>
          <w:kern w:val="0"/>
          <w:sz w:val="31"/>
          <w:szCs w:val="31"/>
          <w:lang w:eastAsia="zh-CN"/>
        </w:rPr>
      </w:pPr>
      <w:r>
        <w:rPr>
          <w:rFonts w:hint="eastAsia" w:ascii="仿宋_GB2312" w:hAnsi="仿宋_GB2312" w:eastAsia="仿宋_GB2312" w:cs="仿宋_GB2312"/>
          <w:color w:val="000000"/>
          <w:kern w:val="0"/>
          <w:sz w:val="31"/>
          <w:szCs w:val="31"/>
          <w:lang w:val="en-US" w:eastAsia="zh-CN"/>
        </w:rPr>
        <w:t>5.</w:t>
      </w:r>
      <w:r>
        <w:rPr>
          <w:rFonts w:hint="eastAsia" w:ascii="仿宋_GB2312" w:hAnsi="仿宋_GB2312" w:eastAsia="仿宋_GB2312" w:cs="仿宋_GB2312"/>
          <w:color w:val="000000"/>
          <w:kern w:val="0"/>
          <w:sz w:val="31"/>
          <w:szCs w:val="31"/>
          <w:lang w:eastAsia="zh-CN"/>
        </w:rPr>
        <w:t>孕前优生检查项目</w:t>
      </w:r>
      <w:r>
        <w:rPr>
          <w:rFonts w:hint="eastAsia"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lang w:eastAsia="zh-CN"/>
        </w:rPr>
        <w:t>开展孕前优生健康检查工作宣传倡导，积极引导群众自觉参加免费孕前优生健康检查，并发放母子保健手册，做好检查记录。</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20" w:firstLineChars="200"/>
        <w:jc w:val="left"/>
        <w:textAlignment w:val="auto"/>
        <w:rPr>
          <w:rFonts w:hint="eastAsia" w:ascii="仿宋_GB2312" w:hAnsi="仿宋_GB2312" w:eastAsia="仿宋_GB2312" w:cs="仿宋_GB2312"/>
          <w:color w:val="000000"/>
          <w:kern w:val="0"/>
          <w:sz w:val="31"/>
          <w:szCs w:val="31"/>
          <w:lang w:eastAsia="zh-CN"/>
        </w:rPr>
      </w:pPr>
      <w:r>
        <w:rPr>
          <w:rFonts w:hint="eastAsia" w:ascii="仿宋_GB2312" w:hAnsi="仿宋_GB2312" w:eastAsia="仿宋_GB2312" w:cs="仿宋_GB2312"/>
          <w:color w:val="000000"/>
          <w:kern w:val="0"/>
          <w:sz w:val="31"/>
          <w:szCs w:val="31"/>
          <w:lang w:eastAsia="zh-CN"/>
        </w:rPr>
        <w:t>下一步改进措施：加强与业务科室联系沟通，及时了解项目实施进度，保证资金支出率。</w:t>
      </w:r>
    </w:p>
    <w:p>
      <w:pPr>
        <w:widowControl/>
        <w:spacing w:line="560" w:lineRule="exact"/>
        <w:ind w:firstLine="640" w:firstLineChars="200"/>
        <w:jc w:val="left"/>
        <w:rPr>
          <w:rFonts w:hint="eastAsia" w:ascii="仿宋_GB2312" w:hAnsi="仿宋_GB2312" w:eastAsia="仿宋_GB2312" w:cs="仿宋_GB2312"/>
          <w:b w:val="0"/>
          <w:bCs/>
          <w:color w:val="000000"/>
          <w:kern w:val="0"/>
          <w:szCs w:val="32"/>
          <w:lang w:val="en-US" w:eastAsia="zh-CN"/>
        </w:rPr>
      </w:pPr>
    </w:p>
    <w:p>
      <w:pPr>
        <w:widowControl/>
        <w:spacing w:line="560" w:lineRule="exact"/>
        <w:ind w:firstLine="640" w:firstLineChars="200"/>
        <w:jc w:val="left"/>
        <w:rPr>
          <w:rFonts w:hint="eastAsia" w:ascii="仿宋_GB2312" w:hAnsi="仿宋_GB2312" w:eastAsia="仿宋_GB2312" w:cs="仿宋_GB2312"/>
          <w:b w:val="0"/>
          <w:bCs/>
          <w:color w:val="000000"/>
          <w:kern w:val="0"/>
          <w:szCs w:val="32"/>
          <w:lang w:val="en-US" w:eastAsia="zh-CN"/>
        </w:rPr>
      </w:pPr>
    </w:p>
    <w:p>
      <w:pPr>
        <w:widowControl/>
        <w:spacing w:line="560" w:lineRule="exact"/>
        <w:ind w:firstLine="620" w:firstLineChars="200"/>
        <w:jc w:val="left"/>
        <w:rPr>
          <w:rFonts w:ascii="仿宋_GB2312" w:hAnsi="仿宋_GB2312" w:eastAsia="仿宋_GB2312" w:cs="仿宋_GB2312"/>
          <w:color w:val="000000"/>
          <w:kern w:val="0"/>
          <w:sz w:val="31"/>
          <w:szCs w:val="31"/>
        </w:rPr>
      </w:pPr>
    </w:p>
    <w:p>
      <w:pPr>
        <w:tabs>
          <w:tab w:val="left" w:pos="1108"/>
        </w:tabs>
        <w:bidi w:val="0"/>
        <w:jc w:val="left"/>
        <w:rPr>
          <w:lang w:val="en-US" w:eastAsia="zh-CN"/>
        </w:rPr>
      </w:pPr>
    </w:p>
    <w:p>
      <w:pPr>
        <w:widowControl/>
        <w:jc w:val="left"/>
        <w:rPr>
          <w:rFonts w:ascii="仿宋_GB2312" w:hAnsi="仿宋_GB2312" w:eastAsia="仿宋_GB2312" w:cs="仿宋_GB2312"/>
          <w:color w:val="000000"/>
          <w:sz w:val="31"/>
          <w:szCs w:val="31"/>
        </w:rPr>
      </w:pPr>
      <w:bookmarkStart w:id="0" w:name="_1662907080"/>
      <w:bookmarkEnd w:id="0"/>
      <w:bookmarkStart w:id="1" w:name="_1662907161"/>
      <w:bookmarkEnd w:id="1"/>
      <w:bookmarkStart w:id="2" w:name="_1662907596"/>
      <w:bookmarkEnd w:id="2"/>
    </w:p>
    <w:p>
      <w:pPr>
        <w:widowControl/>
        <w:jc w:val="left"/>
        <w:rPr>
          <w:lang w:val="en-US" w:eastAsia="zh-CN"/>
        </w:rPr>
      </w:pPr>
      <w:r>
        <w:rPr>
          <w:rFonts w:ascii="仿宋_GB2312" w:hAnsi="仿宋_GB2312" w:eastAsia="仿宋_GB2312" w:cs="仿宋_GB2312"/>
          <w:color w:val="000000"/>
          <w:sz w:val="31"/>
          <w:szCs w:val="31"/>
        </w:rPr>
        <w:object>
          <v:shape id="_x0000_i1030" o:spt="75" type="#_x0000_t75" style="height:730.7pt;width:354.95pt;" o:ole="t" fillcolor="#FFFFFF" filled="t" o:preferrelative="t" stroked="t" coordsize="21600,21600">
            <v:path/>
            <v:fill on="t" color2="#FFFFFF" focussize="0,0"/>
            <v:stroke color="#FFFFFF" joinstyle="miter"/>
            <v:imagedata r:id="rId20" o:title=""/>
            <o:lock v:ext="edit" aspectratio="f"/>
            <w10:wrap type="none"/>
            <w10:anchorlock/>
          </v:shape>
          <o:OLEObject Type="Embed" ProgID="Excel.Sheet.12" ShapeID="_x0000_i1030" DrawAspect="Content" ObjectID="_1468075730" r:id="rId19">
            <o:LockedField>false</o:LockedField>
          </o:OLEObject>
        </w:object>
      </w:r>
    </w:p>
    <w:p>
      <w:pPr>
        <w:widowControl/>
        <w:jc w:val="left"/>
        <w:rPr>
          <w:lang w:val="en-US" w:eastAsia="zh-CN"/>
        </w:rPr>
      </w:pPr>
      <w:r>
        <w:rPr>
          <w:rFonts w:ascii="仿宋_GB2312" w:hAnsi="仿宋_GB2312" w:eastAsia="仿宋_GB2312" w:cs="仿宋_GB2312"/>
          <w:color w:val="000000"/>
          <w:sz w:val="31"/>
          <w:szCs w:val="31"/>
        </w:rPr>
        <w:object>
          <v:shape id="_x0000_i1031" o:spt="75" type="#_x0000_t75" style="height:671.2pt;width:381.05pt;" o:ole="t" fillcolor="#FFFFFF" filled="t" o:preferrelative="t" stroked="t" coordsize="21600,21600">
            <v:path/>
            <v:fill on="t" color2="#FFFFFF" focussize="0,0"/>
            <v:stroke color="#FFFFFF" joinstyle="miter"/>
            <v:imagedata r:id="rId22" o:title=""/>
            <o:lock v:ext="edit" aspectratio="f"/>
            <w10:wrap type="none"/>
            <w10:anchorlock/>
          </v:shape>
          <o:OLEObject Type="Embed" ProgID="Excel.Sheet.12" ShapeID="_x0000_i1031" DrawAspect="Content" ObjectID="_1468075731" r:id="rId21">
            <o:LockedField>false</o:LockedField>
          </o:OLEObject>
        </w:object>
      </w:r>
    </w:p>
    <w:p>
      <w:pPr>
        <w:widowControl/>
        <w:jc w:val="left"/>
        <w:rPr>
          <w:rFonts w:ascii="仿宋_GB2312" w:hAnsi="仿宋_GB2312" w:eastAsia="仿宋_GB2312" w:cs="仿宋_GB2312"/>
          <w:color w:val="000000"/>
          <w:kern w:val="0"/>
          <w:sz w:val="31"/>
          <w:szCs w:val="31"/>
        </w:rPr>
        <w:sectPr>
          <w:headerReference r:id="rId3" w:type="default"/>
          <w:footerReference r:id="rId4" w:type="default"/>
          <w:pgSz w:w="11906" w:h="16838"/>
          <w:pgMar w:top="1440" w:right="1800" w:bottom="1440" w:left="1800" w:header="851" w:footer="992" w:gutter="0"/>
          <w:cols w:space="720" w:num="1"/>
          <w:docGrid w:type="lines" w:linePitch="312" w:charSpace="0"/>
        </w:sectPr>
      </w:pPr>
      <w:r>
        <w:rPr>
          <w:rFonts w:ascii="仿宋_GB2312" w:hAnsi="仿宋_GB2312" w:eastAsia="仿宋_GB2312" w:cs="仿宋_GB2312"/>
          <w:color w:val="000000"/>
          <w:sz w:val="31"/>
          <w:szCs w:val="31"/>
        </w:rPr>
        <w:object>
          <v:shape id="_x0000_i1032" o:spt="75" type="#_x0000_t75" style="height:685.7pt;width:381.05pt;" o:ole="t" fillcolor="#FFFFFF" filled="t" o:preferrelative="t" stroked="t" coordsize="21600,21600">
            <v:path/>
            <v:fill on="t" color2="#FFFFFF" focussize="0,0"/>
            <v:stroke color="#FFFFFF" joinstyle="miter"/>
            <v:imagedata r:id="rId24" o:title=""/>
            <o:lock v:ext="edit" aspectratio="f"/>
            <w10:wrap type="none"/>
            <w10:anchorlock/>
          </v:shape>
          <o:OLEObject Type="Embed" ProgID="Excel.Sheet.12" ShapeID="_x0000_i1032" DrawAspect="Content" ObjectID="_1468075732" r:id="rId23">
            <o:LockedField>false</o:LockedField>
          </o:OLEObject>
        </w:object>
      </w:r>
      <w:r>
        <w:rPr>
          <w:rFonts w:ascii="仿宋_GB2312" w:hAnsi="仿宋_GB2312" w:eastAsia="仿宋_GB2312" w:cs="仿宋_GB2312"/>
          <w:color w:val="000000"/>
          <w:sz w:val="31"/>
          <w:szCs w:val="31"/>
        </w:rPr>
        <w:object>
          <v:shape id="_x0000_i1033" o:spt="75" type="#_x0000_t75" style="height:704.9pt;width:381.05pt;" o:ole="t" fillcolor="#FFFFFF" filled="t" o:preferrelative="t" stroked="t" coordsize="21600,21600">
            <v:path/>
            <v:fill on="t" color2="#FFFFFF" focussize="0,0"/>
            <v:stroke color="#FFFFFF" joinstyle="miter"/>
            <v:imagedata r:id="rId26" o:title=""/>
            <o:lock v:ext="edit" aspectratio="f"/>
            <w10:wrap type="none"/>
            <w10:anchorlock/>
          </v:shape>
          <o:OLEObject Type="Embed" ProgID="Excel.Sheet.12" ShapeID="_x0000_i1033" DrawAspect="Content" ObjectID="_1468075733" r:id="rId25">
            <o:LockedField>false</o:LockedField>
          </o:OLEObject>
        </w:object>
      </w:r>
      <w:r>
        <w:rPr>
          <w:rFonts w:ascii="仿宋_GB2312" w:hAnsi="仿宋_GB2312" w:eastAsia="仿宋_GB2312" w:cs="仿宋_GB2312"/>
          <w:color w:val="000000"/>
          <w:sz w:val="31"/>
          <w:szCs w:val="31"/>
        </w:rPr>
        <w:object>
          <v:shape id="_x0000_i1034" o:spt="75" type="#_x0000_t75" style="height:652.6pt;width:381.05pt;" o:ole="t" fillcolor="#FFFFFF" filled="t" o:preferrelative="t" stroked="t" coordsize="21600,21600">
            <v:path/>
            <v:fill on="t" color2="#FFFFFF" focussize="0,0"/>
            <v:stroke color="#FFFFFF" joinstyle="miter"/>
            <v:imagedata r:id="rId28" o:title=""/>
            <o:lock v:ext="edit" aspectratio="f"/>
            <w10:wrap type="none"/>
            <w10:anchorlock/>
          </v:shape>
          <o:OLEObject Type="Embed" ProgID="Excel.Sheet.12" ShapeID="_x0000_i1034" DrawAspect="Content" ObjectID="_1468075734" r:id="rId27">
            <o:LockedField>false</o:LockedField>
          </o:OLEObject>
        </w:object>
      </w:r>
      <w:r>
        <w:rPr>
          <w:rFonts w:ascii="仿宋_GB2312" w:hAnsi="仿宋_GB2312" w:eastAsia="仿宋_GB2312" w:cs="仿宋_GB2312"/>
          <w:color w:val="000000"/>
          <w:sz w:val="31"/>
          <w:szCs w:val="31"/>
        </w:rPr>
        <w:object>
          <v:shape id="_x0000_i1035" o:spt="75" type="#_x0000_t75" style="height:684.15pt;width:381.05pt;" o:ole="t" fillcolor="#FFFFFF" filled="t" o:preferrelative="t" stroked="t" coordsize="21600,21600">
            <v:path/>
            <v:fill on="t" color2="#FFFFFF" focussize="0,0"/>
            <v:stroke color="#FFFFFF" joinstyle="miter"/>
            <v:imagedata r:id="rId30" o:title=""/>
            <o:lock v:ext="edit" aspectratio="f"/>
            <w10:wrap type="none"/>
            <w10:anchorlock/>
          </v:shape>
          <o:OLEObject Type="Embed" ProgID="Excel.Sheet.12" ShapeID="_x0000_i1035" DrawAspect="Content" ObjectID="_1468075735" r:id="rId29">
            <o:LockedField>false</o:LockedField>
          </o:OLEObject>
        </w:object>
      </w:r>
      <w:r>
        <w:rPr>
          <w:rFonts w:ascii="仿宋_GB2312" w:hAnsi="仿宋_GB2312" w:eastAsia="仿宋_GB2312" w:cs="仿宋_GB2312"/>
          <w:color w:val="000000"/>
          <w:sz w:val="31"/>
          <w:szCs w:val="31"/>
        </w:rPr>
        <w:object>
          <v:shape id="_x0000_i1036" o:spt="75" type="#_x0000_t75" style="height:675.9pt;width:381.05pt;" o:ole="t" fillcolor="#FFFFFF" filled="t" o:preferrelative="t" stroked="t" coordsize="21600,21600">
            <v:path/>
            <v:fill on="t" color2="#FFFFFF" focussize="0,0"/>
            <v:stroke color="#FFFFFF" joinstyle="miter"/>
            <v:imagedata r:id="rId32" o:title=""/>
            <o:lock v:ext="edit" aspectratio="f"/>
            <w10:wrap type="none"/>
            <w10:anchorlock/>
          </v:shape>
          <o:OLEObject Type="Embed" ProgID="Excel.Sheet.12" ShapeID="_x0000_i1036" DrawAspect="Content" ObjectID="_1468075736" r:id="rId31">
            <o:LockedField>false</o:LockedField>
          </o:OLEObject>
        </w:object>
      </w:r>
    </w:p>
    <w:p>
      <w:pPr>
        <w:widowControl/>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object>
          <v:shape id="_x0000_i1037" o:spt="75" type="#_x0000_t75" style="height:1401.2pt;width:625.25pt;" o:ole="t" filled="f" o:preferrelative="t" stroked="f" coordsize="21600,21600">
            <v:path/>
            <v:fill on="f" focussize="0,0"/>
            <v:stroke on="f"/>
            <v:imagedata r:id="rId34" o:title=""/>
            <o:lock v:ext="edit" aspectratio="f"/>
            <w10:wrap type="none"/>
            <w10:anchorlock/>
          </v:shape>
          <o:OLEObject Type="Embed" ProgID="Excel.Sheet.12" ShapeID="_x0000_i1037" DrawAspect="Content" ObjectID="_1468075737" r:id="rId33">
            <o:LockedField>false</o:LockedField>
          </o:OLEObject>
        </w:object>
      </w:r>
    </w:p>
    <w:p>
      <w:pPr>
        <w:rPr>
          <w:rFonts w:ascii="黑体" w:hAnsi="黑体" w:eastAsia="黑体"/>
          <w:color w:val="000000"/>
          <w:kern w:val="0"/>
          <w:szCs w:val="32"/>
        </w:rPr>
      </w:pPr>
      <w:bookmarkStart w:id="3" w:name="_1662907696"/>
      <w:bookmarkEnd w:id="3"/>
    </w:p>
    <w:p>
      <w:pPr>
        <w:rPr>
          <w:rFonts w:ascii="黑体" w:hAnsi="黑体" w:eastAsia="黑体"/>
          <w:color w:val="000000"/>
          <w:kern w:val="0"/>
          <w:szCs w:val="32"/>
        </w:rPr>
        <w:sectPr>
          <w:pgSz w:w="16838" w:h="11906" w:orient="landscape"/>
          <w:pgMar w:top="1800" w:right="1440" w:bottom="1800" w:left="1440" w:header="851" w:footer="992" w:gutter="0"/>
          <w:cols w:space="720" w:num="1"/>
          <w:docGrid w:type="lines" w:linePitch="312" w:charSpace="0"/>
        </w:sectPr>
      </w:pPr>
    </w:p>
    <w:p>
      <w:pPr>
        <w:spacing w:line="560" w:lineRule="exact"/>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pPr>
        <w:widowControl/>
        <w:spacing w:line="560" w:lineRule="exact"/>
        <w:ind w:firstLine="643" w:firstLineChars="200"/>
        <w:jc w:val="left"/>
      </w:pPr>
      <w:r>
        <w:rPr>
          <w:rFonts w:hint="eastAsia" w:ascii="楷体_GB2312" w:hAnsi="宋体" w:eastAsia="楷体_GB2312" w:cs="楷体_GB2312"/>
          <w:b/>
          <w:color w:val="000000"/>
          <w:kern w:val="0"/>
          <w:szCs w:val="32"/>
        </w:rPr>
        <w:t>（一）机关运行经费支出情况说明。</w:t>
      </w:r>
      <w:r>
        <w:rPr>
          <w:rFonts w:ascii="楷体_GB2312" w:hAnsi="宋体" w:eastAsia="楷体_GB2312" w:cs="楷体_GB2312"/>
          <w:b/>
          <w:color w:val="000000"/>
          <w:kern w:val="0"/>
          <w:szCs w:val="32"/>
        </w:rPr>
        <w:t xml:space="preserve"> </w:t>
      </w:r>
    </w:p>
    <w:p>
      <w:pPr>
        <w:widowControl/>
        <w:spacing w:line="560" w:lineRule="exact"/>
        <w:ind w:firstLine="960" w:firstLineChars="300"/>
        <w:jc w:val="left"/>
        <w:rPr>
          <w:rFonts w:hint="eastAsia" w:ascii="楷体_GB2312" w:hAnsi="宋体" w:eastAsia="楷体_GB2312" w:cs="楷体_GB2312"/>
          <w:b w:val="0"/>
          <w:bCs/>
          <w:color w:val="000000"/>
          <w:kern w:val="0"/>
          <w:szCs w:val="32"/>
          <w:lang w:eastAsia="zh-CN"/>
        </w:rPr>
      </w:pPr>
      <w:r>
        <w:rPr>
          <w:rFonts w:hint="eastAsia" w:ascii="楷体_GB2312" w:hAnsi="宋体" w:eastAsia="楷体_GB2312" w:cs="楷体_GB2312"/>
          <w:b w:val="0"/>
          <w:bCs/>
          <w:color w:val="000000"/>
          <w:kern w:val="0"/>
          <w:szCs w:val="32"/>
          <w:lang w:eastAsia="zh-CN"/>
        </w:rPr>
        <w:t>本单位无机关运行经费支出。</w:t>
      </w:r>
    </w:p>
    <w:p>
      <w:pPr>
        <w:widowControl/>
        <w:spacing w:line="560" w:lineRule="exact"/>
        <w:ind w:firstLine="643" w:firstLineChars="200"/>
        <w:jc w:val="left"/>
        <w:rPr>
          <w:rFonts w:hint="eastAsia" w:ascii="楷体_GB2312" w:hAnsi="宋体" w:eastAsia="楷体_GB2312" w:cs="楷体_GB2312"/>
          <w:b/>
          <w:color w:val="000000"/>
          <w:kern w:val="0"/>
          <w:szCs w:val="32"/>
          <w:lang w:val="en-US" w:eastAsia="zh-CN"/>
        </w:rPr>
      </w:pPr>
      <w:r>
        <w:rPr>
          <w:rFonts w:hint="eastAsia" w:ascii="楷体_GB2312" w:hAnsi="宋体" w:eastAsia="楷体_GB2312" w:cs="楷体_GB2312"/>
          <w:b/>
          <w:color w:val="000000"/>
          <w:kern w:val="0"/>
          <w:szCs w:val="32"/>
        </w:rPr>
        <w:t>（二）政府采购支出情况说明。</w:t>
      </w:r>
      <w:r>
        <w:rPr>
          <w:rFonts w:hint="eastAsia" w:ascii="楷体_GB2312" w:hAnsi="宋体" w:eastAsia="楷体_GB2312" w:cs="楷体_GB2312"/>
          <w:b/>
          <w:color w:val="000000"/>
          <w:kern w:val="0"/>
          <w:szCs w:val="32"/>
          <w:lang w:val="en-US" w:eastAsia="zh-CN"/>
        </w:rPr>
        <w:t xml:space="preserve"> </w:t>
      </w:r>
    </w:p>
    <w:p>
      <w:pPr>
        <w:widowControl/>
        <w:spacing w:line="560" w:lineRule="exact"/>
        <w:ind w:firstLine="640" w:firstLineChars="200"/>
        <w:jc w:val="left"/>
        <w:rPr>
          <w:rFonts w:ascii="仿宋_GB2312" w:hAnsi="仿宋_GB2312" w:eastAsia="仿宋_GB2312" w:cs="仿宋_GB2312"/>
          <w:color w:val="000000" w:themeColor="text1"/>
          <w:szCs w:val="32"/>
          <w14:textFill>
            <w14:solidFill>
              <w14:schemeClr w14:val="tx1"/>
            </w14:solidFill>
          </w14:textFill>
        </w:rPr>
      </w:pPr>
      <w:r>
        <w:rPr>
          <w:rFonts w:ascii="仿宋_GB2312" w:hAnsi="仿宋_GB2312" w:eastAsia="仿宋_GB2312" w:cs="仿宋_GB2312"/>
          <w:color w:val="000000" w:themeColor="text1"/>
          <w:szCs w:val="32"/>
          <w14:textFill>
            <w14:solidFill>
              <w14:schemeClr w14:val="tx1"/>
            </w14:solidFill>
          </w14:textFill>
        </w:rPr>
        <w:t>2019</w:t>
      </w:r>
      <w:r>
        <w:rPr>
          <w:rFonts w:hint="eastAsia" w:ascii="仿宋_GB2312" w:hAnsi="仿宋_GB2312" w:eastAsia="仿宋_GB2312" w:cs="仿宋_GB2312"/>
          <w:color w:val="000000" w:themeColor="text1"/>
          <w:szCs w:val="32"/>
          <w14:textFill>
            <w14:solidFill>
              <w14:schemeClr w14:val="tx1"/>
            </w14:solidFill>
          </w14:textFill>
        </w:rPr>
        <w:t>年度本部门政府采购支出总额共</w:t>
      </w:r>
      <w:r>
        <w:rPr>
          <w:rFonts w:hint="eastAsia" w:ascii="仿宋_GB2312" w:hAnsi="仿宋_GB2312" w:eastAsia="仿宋_GB2312" w:cs="仿宋_GB2312"/>
          <w:color w:val="000000" w:themeColor="text1"/>
          <w:szCs w:val="32"/>
          <w:lang w:val="en-US" w:eastAsia="zh-CN"/>
          <w14:textFill>
            <w14:solidFill>
              <w14:schemeClr w14:val="tx1"/>
            </w14:solidFill>
          </w14:textFill>
        </w:rPr>
        <w:t>110.33</w:t>
      </w:r>
      <w:r>
        <w:rPr>
          <w:rFonts w:hint="eastAsia" w:ascii="仿宋_GB2312" w:hAnsi="仿宋_GB2312" w:eastAsia="仿宋_GB2312" w:cs="仿宋_GB2312"/>
          <w:color w:val="000000" w:themeColor="text1"/>
          <w:szCs w:val="32"/>
          <w14:textFill>
            <w14:solidFill>
              <w14:schemeClr w14:val="tx1"/>
            </w14:solidFill>
          </w14:textFill>
        </w:rPr>
        <w:t>万元，其中政府采购货物类支出</w:t>
      </w:r>
      <w:r>
        <w:rPr>
          <w:rFonts w:hint="eastAsia" w:ascii="仿宋_GB2312" w:hAnsi="仿宋_GB2312" w:eastAsia="仿宋_GB2312" w:cs="仿宋_GB2312"/>
          <w:color w:val="000000" w:themeColor="text1"/>
          <w:szCs w:val="32"/>
          <w:lang w:val="en-US" w:eastAsia="zh-CN"/>
          <w14:textFill>
            <w14:solidFill>
              <w14:schemeClr w14:val="tx1"/>
            </w14:solidFill>
          </w14:textFill>
        </w:rPr>
        <w:t>110.33</w:t>
      </w:r>
      <w:r>
        <w:rPr>
          <w:rFonts w:hint="eastAsia" w:ascii="仿宋_GB2312" w:hAnsi="仿宋_GB2312" w:eastAsia="仿宋_GB2312" w:cs="仿宋_GB2312"/>
          <w:color w:val="000000" w:themeColor="text1"/>
          <w:szCs w:val="32"/>
          <w14:textFill>
            <w14:solidFill>
              <w14:schemeClr w14:val="tx1"/>
            </w14:solidFill>
          </w14:textFill>
        </w:rPr>
        <w:t>万元、政府采购服务类支出</w:t>
      </w:r>
      <w:r>
        <w:rPr>
          <w:rFonts w:hint="eastAsia" w:ascii="仿宋_GB2312" w:hAnsi="仿宋_GB2312" w:eastAsia="仿宋_GB2312" w:cs="仿宋_GB2312"/>
          <w:color w:val="000000" w:themeColor="text1"/>
          <w:szCs w:val="32"/>
          <w:lang w:val="en-US" w:eastAsia="zh-CN"/>
          <w14:textFill>
            <w14:solidFill>
              <w14:schemeClr w14:val="tx1"/>
            </w14:solidFill>
          </w14:textFill>
        </w:rPr>
        <w:t>0</w:t>
      </w:r>
      <w:r>
        <w:rPr>
          <w:rFonts w:hint="eastAsia" w:ascii="仿宋_GB2312" w:hAnsi="仿宋_GB2312" w:eastAsia="仿宋_GB2312" w:cs="仿宋_GB2312"/>
          <w:color w:val="000000" w:themeColor="text1"/>
          <w:szCs w:val="32"/>
          <w14:textFill>
            <w14:solidFill>
              <w14:schemeClr w14:val="tx1"/>
            </w14:solidFill>
          </w14:textFill>
        </w:rPr>
        <w:t>万元、政府采购工程类支出</w:t>
      </w:r>
      <w:r>
        <w:rPr>
          <w:rFonts w:hint="eastAsia" w:ascii="仿宋_GB2312" w:hAnsi="仿宋_GB2312" w:eastAsia="仿宋_GB2312" w:cs="仿宋_GB2312"/>
          <w:color w:val="000000" w:themeColor="text1"/>
          <w:szCs w:val="32"/>
          <w:lang w:val="en-US" w:eastAsia="zh-CN"/>
          <w14:textFill>
            <w14:solidFill>
              <w14:schemeClr w14:val="tx1"/>
            </w14:solidFill>
          </w14:textFill>
        </w:rPr>
        <w:t>0</w:t>
      </w:r>
      <w:r>
        <w:rPr>
          <w:rFonts w:hint="eastAsia" w:ascii="仿宋_GB2312" w:hAnsi="仿宋_GB2312" w:eastAsia="仿宋_GB2312" w:cs="仿宋_GB2312"/>
          <w:color w:val="000000" w:themeColor="text1"/>
          <w:szCs w:val="32"/>
          <w14:textFill>
            <w14:solidFill>
              <w14:schemeClr w14:val="tx1"/>
            </w14:solidFill>
          </w14:textFill>
        </w:rPr>
        <w:t>万元。</w:t>
      </w:r>
      <w:r>
        <w:rPr>
          <w:rFonts w:hint="eastAsia" w:ascii="仿宋_GB2312" w:hAnsi="宋体" w:eastAsia="仿宋_GB2312" w:cs="仿宋_GB2312"/>
          <w:color w:val="000000" w:themeColor="text1"/>
          <w:kern w:val="0"/>
          <w:szCs w:val="32"/>
          <w14:textFill>
            <w14:solidFill>
              <w14:schemeClr w14:val="tx1"/>
            </w14:solidFill>
          </w14:textFill>
        </w:rPr>
        <w:t>授予中小企业合同金额</w:t>
      </w:r>
      <w:r>
        <w:rPr>
          <w:rFonts w:hint="eastAsia" w:ascii="仿宋_GB2312" w:hAnsi="宋体" w:eastAsia="仿宋_GB2312" w:cs="仿宋_GB2312"/>
          <w:color w:val="000000" w:themeColor="text1"/>
          <w:kern w:val="0"/>
          <w:szCs w:val="32"/>
          <w:lang w:val="en-US" w:eastAsia="zh-CN"/>
          <w14:textFill>
            <w14:solidFill>
              <w14:schemeClr w14:val="tx1"/>
            </w14:solidFill>
          </w14:textFill>
        </w:rPr>
        <w:t>0</w:t>
      </w:r>
      <w:r>
        <w:rPr>
          <w:rFonts w:hint="eastAsia" w:ascii="仿宋_GB2312" w:hAnsi="宋体" w:eastAsia="仿宋_GB2312" w:cs="仿宋_GB2312"/>
          <w:color w:val="000000" w:themeColor="text1"/>
          <w:kern w:val="0"/>
          <w:szCs w:val="32"/>
          <w14:textFill>
            <w14:solidFill>
              <w14:schemeClr w14:val="tx1"/>
            </w14:solidFill>
          </w14:textFill>
        </w:rPr>
        <w:t>万元，占政府采购支出总额的</w:t>
      </w:r>
      <w:r>
        <w:rPr>
          <w:rFonts w:hint="eastAsia" w:ascii="仿宋_GB2312" w:hAnsi="宋体" w:eastAsia="仿宋_GB2312" w:cs="仿宋_GB2312"/>
          <w:color w:val="000000" w:themeColor="text1"/>
          <w:kern w:val="0"/>
          <w:szCs w:val="32"/>
          <w:lang w:val="en-US" w:eastAsia="zh-CN"/>
          <w14:textFill>
            <w14:solidFill>
              <w14:schemeClr w14:val="tx1"/>
            </w14:solidFill>
          </w14:textFill>
        </w:rPr>
        <w:t>0</w:t>
      </w:r>
      <w:r>
        <w:rPr>
          <w:rFonts w:ascii="仿宋_GB2312" w:hAnsi="宋体" w:eastAsia="仿宋_GB2312" w:cs="仿宋_GB2312"/>
          <w:color w:val="000000" w:themeColor="text1"/>
          <w:kern w:val="0"/>
          <w:szCs w:val="32"/>
          <w14:textFill>
            <w14:solidFill>
              <w14:schemeClr w14:val="tx1"/>
            </w14:solidFill>
          </w14:textFill>
        </w:rPr>
        <w:t>%</w:t>
      </w:r>
      <w:r>
        <w:rPr>
          <w:rFonts w:hint="eastAsia" w:ascii="仿宋_GB2312" w:hAnsi="宋体" w:eastAsia="仿宋_GB2312" w:cs="仿宋_GB2312"/>
          <w:color w:val="000000" w:themeColor="text1"/>
          <w:kern w:val="0"/>
          <w:szCs w:val="32"/>
          <w14:textFill>
            <w14:solidFill>
              <w14:schemeClr w14:val="tx1"/>
            </w14:solidFill>
          </w14:textFill>
        </w:rPr>
        <w:t>，其中：授予小微企业合同金额</w:t>
      </w:r>
      <w:r>
        <w:rPr>
          <w:rFonts w:hint="eastAsia" w:ascii="仿宋_GB2312" w:hAnsi="宋体" w:eastAsia="仿宋_GB2312" w:cs="仿宋_GB2312"/>
          <w:color w:val="000000" w:themeColor="text1"/>
          <w:kern w:val="0"/>
          <w:szCs w:val="32"/>
          <w:lang w:val="en-US" w:eastAsia="zh-CN"/>
          <w14:textFill>
            <w14:solidFill>
              <w14:schemeClr w14:val="tx1"/>
            </w14:solidFill>
          </w14:textFill>
        </w:rPr>
        <w:t>0</w:t>
      </w:r>
      <w:r>
        <w:rPr>
          <w:rFonts w:hint="eastAsia" w:ascii="仿宋_GB2312" w:hAnsi="宋体" w:eastAsia="仿宋_GB2312" w:cs="仿宋_GB2312"/>
          <w:color w:val="000000" w:themeColor="text1"/>
          <w:kern w:val="0"/>
          <w:szCs w:val="32"/>
          <w14:textFill>
            <w14:solidFill>
              <w14:schemeClr w14:val="tx1"/>
            </w14:solidFill>
          </w14:textFill>
        </w:rPr>
        <w:t>万元，占政府采购支出总额的</w:t>
      </w:r>
      <w:r>
        <w:rPr>
          <w:rFonts w:hint="eastAsia" w:ascii="仿宋_GB2312" w:hAnsi="宋体" w:eastAsia="仿宋_GB2312" w:cs="仿宋_GB2312"/>
          <w:color w:val="000000" w:themeColor="text1"/>
          <w:kern w:val="0"/>
          <w:szCs w:val="32"/>
          <w:lang w:val="en-US" w:eastAsia="zh-CN"/>
          <w14:textFill>
            <w14:solidFill>
              <w14:schemeClr w14:val="tx1"/>
            </w14:solidFill>
          </w14:textFill>
        </w:rPr>
        <w:t>0</w:t>
      </w:r>
      <w:r>
        <w:rPr>
          <w:rFonts w:ascii="仿宋_GB2312" w:hAnsi="宋体" w:eastAsia="仿宋_GB2312" w:cs="仿宋_GB2312"/>
          <w:color w:val="000000" w:themeColor="text1"/>
          <w:kern w:val="0"/>
          <w:szCs w:val="32"/>
          <w14:textFill>
            <w14:solidFill>
              <w14:schemeClr w14:val="tx1"/>
            </w14:solidFill>
          </w14:textFill>
        </w:rPr>
        <w:t>%</w:t>
      </w:r>
      <w:r>
        <w:rPr>
          <w:rFonts w:hint="eastAsia" w:ascii="仿宋_GB2312" w:hAnsi="宋体" w:eastAsia="仿宋_GB2312" w:cs="仿宋_GB2312"/>
          <w:color w:val="000000" w:themeColor="text1"/>
          <w:kern w:val="0"/>
          <w:szCs w:val="32"/>
          <w14:textFill>
            <w14:solidFill>
              <w14:schemeClr w14:val="tx1"/>
            </w14:solidFill>
          </w14:textFill>
        </w:rPr>
        <w:t>。</w:t>
      </w:r>
    </w:p>
    <w:p>
      <w:pPr>
        <w:widowControl/>
        <w:spacing w:line="560" w:lineRule="exact"/>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（三）国有资产占用及购置情况说明。</w:t>
      </w:r>
    </w:p>
    <w:p>
      <w:pPr>
        <w:spacing w:line="560"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截至</w:t>
      </w:r>
      <w:r>
        <w:rPr>
          <w:rFonts w:ascii="仿宋_GB2312" w:hAnsi="仿宋_GB2312" w:eastAsia="仿宋_GB2312" w:cs="仿宋_GB2312"/>
          <w:szCs w:val="32"/>
        </w:rPr>
        <w:t>2019</w:t>
      </w:r>
      <w:r>
        <w:rPr>
          <w:rFonts w:hint="eastAsia" w:ascii="仿宋_GB2312" w:hAnsi="仿宋_GB2312" w:eastAsia="仿宋_GB2312" w:cs="仿宋_GB2312"/>
          <w:szCs w:val="32"/>
        </w:rPr>
        <w:t>年末，本部门机关及所属单位共有车辆</w:t>
      </w:r>
      <w:r>
        <w:rPr>
          <w:rFonts w:hint="eastAsia" w:ascii="仿宋_GB2312" w:hAnsi="仿宋_GB2312" w:eastAsia="仿宋_GB2312" w:cs="仿宋_GB2312"/>
          <w:szCs w:val="32"/>
          <w:lang w:val="en-US" w:eastAsia="zh-CN"/>
        </w:rPr>
        <w:t>3</w:t>
      </w:r>
      <w:r>
        <w:rPr>
          <w:rFonts w:hint="eastAsia" w:ascii="仿宋_GB2312" w:hAnsi="仿宋_GB2312" w:eastAsia="仿宋_GB2312" w:cs="仿宋_GB2312"/>
          <w:szCs w:val="32"/>
        </w:rPr>
        <w:t>辆；单价</w:t>
      </w:r>
      <w:r>
        <w:rPr>
          <w:rFonts w:ascii="仿宋_GB2312" w:hAnsi="仿宋_GB2312" w:eastAsia="仿宋_GB2312" w:cs="仿宋_GB2312"/>
          <w:szCs w:val="32"/>
        </w:rPr>
        <w:t>50</w:t>
      </w:r>
      <w:r>
        <w:rPr>
          <w:rFonts w:hint="eastAsia" w:ascii="仿宋_GB2312" w:hAnsi="仿宋_GB2312" w:eastAsia="仿宋_GB2312" w:cs="仿宋_GB2312"/>
          <w:szCs w:val="32"/>
        </w:rPr>
        <w:t>万元以上的通用设备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台（套）；单价</w:t>
      </w:r>
      <w:r>
        <w:rPr>
          <w:rFonts w:ascii="仿宋_GB2312" w:hAnsi="仿宋_GB2312" w:eastAsia="仿宋_GB2312" w:cs="仿宋_GB2312"/>
          <w:szCs w:val="32"/>
        </w:rPr>
        <w:t>100</w:t>
      </w:r>
      <w:r>
        <w:rPr>
          <w:rFonts w:hint="eastAsia" w:ascii="仿宋_GB2312" w:hAnsi="仿宋_GB2312" w:eastAsia="仿宋_GB2312" w:cs="仿宋_GB2312"/>
          <w:szCs w:val="32"/>
        </w:rPr>
        <w:t>万元以上的专用设备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w:t>
      </w:r>
      <w:r>
        <w:rPr>
          <w:rFonts w:ascii="仿宋_GB2312" w:hAnsi="仿宋_GB2312" w:eastAsia="仿宋_GB2312" w:cs="仿宋_GB2312"/>
          <w:szCs w:val="32"/>
        </w:rPr>
        <w:t>2019</w:t>
      </w:r>
      <w:r>
        <w:rPr>
          <w:rFonts w:hint="eastAsia" w:ascii="仿宋_GB2312" w:hAnsi="仿宋_GB2312" w:eastAsia="仿宋_GB2312" w:cs="仿宋_GB2312"/>
          <w:szCs w:val="32"/>
        </w:rPr>
        <w:t>年当年购置车辆</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辆；购置单价</w:t>
      </w:r>
      <w:r>
        <w:rPr>
          <w:rFonts w:ascii="仿宋_GB2312" w:hAnsi="仿宋_GB2312" w:eastAsia="仿宋_GB2312" w:cs="仿宋_GB2312"/>
          <w:szCs w:val="32"/>
        </w:rPr>
        <w:t>50</w:t>
      </w:r>
      <w:r>
        <w:rPr>
          <w:rFonts w:hint="eastAsia" w:ascii="仿宋_GB2312" w:hAnsi="仿宋_GB2312" w:eastAsia="仿宋_GB2312" w:cs="仿宋_GB2312"/>
          <w:szCs w:val="32"/>
        </w:rPr>
        <w:t>万元以上的通用设备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台（套）；购置单价</w:t>
      </w:r>
      <w:r>
        <w:rPr>
          <w:rFonts w:ascii="仿宋_GB2312" w:hAnsi="仿宋_GB2312" w:eastAsia="仿宋_GB2312" w:cs="仿宋_GB2312"/>
          <w:szCs w:val="32"/>
        </w:rPr>
        <w:t>100</w:t>
      </w:r>
      <w:r>
        <w:rPr>
          <w:rFonts w:hint="eastAsia" w:ascii="仿宋_GB2312" w:hAnsi="仿宋_GB2312" w:eastAsia="仿宋_GB2312" w:cs="仿宋_GB2312"/>
          <w:szCs w:val="32"/>
        </w:rPr>
        <w:t>万元以上的专用设备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w:t>
      </w:r>
    </w:p>
    <w:p>
      <w:pPr>
        <w:spacing w:line="560" w:lineRule="exact"/>
        <w:ind w:firstLine="640"/>
        <w:rPr>
          <w:rFonts w:ascii="仿宋_GB2312" w:hAnsi="仿宋_GB2312" w:eastAsia="仿宋_GB2312" w:cs="仿宋_GB2312"/>
          <w:szCs w:val="32"/>
        </w:rPr>
      </w:pPr>
    </w:p>
    <w:p>
      <w:pPr>
        <w:numPr>
          <w:ilvl w:val="0"/>
          <w:numId w:val="5"/>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rPr>
          <w:rFonts w:ascii="黑体" w:hAnsi="宋体" w:eastAsia="黑体"/>
          <w:color w:val="000000"/>
          <w:kern w:val="0"/>
          <w:sz w:val="44"/>
          <w:szCs w:val="44"/>
        </w:rPr>
      </w:pPr>
    </w:p>
    <w:p>
      <w:pPr>
        <w:spacing w:line="560" w:lineRule="exact"/>
        <w:ind w:firstLine="643" w:firstLineChars="200"/>
        <w:rPr>
          <w:rFonts w:ascii="仿宋_GB2312" w:hAnsi="仿宋_GB2312" w:eastAsia="仿宋_GB2312" w:cs="仿宋_GB2312"/>
          <w:szCs w:val="32"/>
        </w:rPr>
      </w:pPr>
      <w:r>
        <w:rPr>
          <w:rFonts w:ascii="仿宋_GB2312" w:hAnsi="仿宋_GB2312" w:eastAsia="仿宋_GB2312" w:cs="仿宋_GB2312"/>
          <w:b/>
          <w:bCs/>
          <w:szCs w:val="32"/>
        </w:rPr>
        <w:t>1.</w:t>
      </w:r>
      <w:r>
        <w:rPr>
          <w:rFonts w:hint="eastAsia" w:ascii="仿宋_GB2312" w:hAnsi="仿宋_GB2312" w:eastAsia="仿宋_GB2312" w:cs="仿宋_GB2312"/>
          <w:b/>
          <w:bCs/>
          <w:szCs w:val="32"/>
        </w:rPr>
        <w:t>基本支出</w:t>
      </w:r>
      <w:r>
        <w:rPr>
          <w:rFonts w:hint="eastAsia" w:ascii="仿宋_GB2312" w:hAnsi="仿宋_GB2312" w:eastAsia="仿宋_GB2312" w:cs="仿宋_GB2312"/>
          <w:szCs w:val="32"/>
        </w:rPr>
        <w:t>：指为保障机构正常运转、完成日常工作任务而发生的各项支出。</w:t>
      </w:r>
    </w:p>
    <w:p>
      <w:pPr>
        <w:spacing w:line="560" w:lineRule="exact"/>
        <w:ind w:firstLine="643" w:firstLineChars="200"/>
        <w:rPr>
          <w:rFonts w:ascii="仿宋_GB2312" w:hAnsi="仿宋_GB2312" w:eastAsia="仿宋_GB2312" w:cs="仿宋_GB2312"/>
          <w:szCs w:val="32"/>
        </w:rPr>
      </w:pPr>
      <w:r>
        <w:rPr>
          <w:rFonts w:ascii="仿宋_GB2312" w:hAnsi="仿宋_GB2312" w:eastAsia="仿宋_GB2312" w:cs="仿宋_GB2312"/>
          <w:b/>
          <w:bCs/>
          <w:szCs w:val="32"/>
        </w:rPr>
        <w:t>2.</w:t>
      </w:r>
      <w:r>
        <w:rPr>
          <w:rFonts w:hint="eastAsia" w:ascii="仿宋_GB2312" w:hAnsi="仿宋_GB2312" w:eastAsia="仿宋_GB2312" w:cs="仿宋_GB2312"/>
          <w:b/>
          <w:bCs/>
          <w:szCs w:val="32"/>
        </w:rPr>
        <w:t>项目支出</w:t>
      </w:r>
      <w:r>
        <w:rPr>
          <w:rFonts w:hint="eastAsia" w:ascii="仿宋_GB2312" w:hAnsi="仿宋_GB2312" w:eastAsia="仿宋_GB2312" w:cs="仿宋_GB2312"/>
          <w:szCs w:val="32"/>
        </w:rPr>
        <w:t>：指单位为完成特定的行政工作任务或事业发展目标所发生的各项支出。</w:t>
      </w:r>
    </w:p>
    <w:p>
      <w:pPr>
        <w:spacing w:line="560" w:lineRule="exact"/>
        <w:ind w:firstLine="640"/>
        <w:rPr>
          <w:rFonts w:ascii="仿宋_GB2312" w:hAnsi="仿宋_GB2312" w:eastAsia="仿宋_GB2312" w:cs="仿宋_GB2312"/>
          <w:szCs w:val="32"/>
        </w:rPr>
      </w:pPr>
      <w:r>
        <w:rPr>
          <w:rFonts w:ascii="仿宋_GB2312" w:hAnsi="仿宋_GB2312" w:eastAsia="仿宋_GB2312" w:cs="仿宋_GB2312"/>
          <w:b/>
          <w:bCs/>
          <w:szCs w:val="32"/>
        </w:rPr>
        <w:t>3.</w:t>
      </w:r>
      <w:r>
        <w:rPr>
          <w:rFonts w:hint="eastAsia" w:ascii="仿宋_GB2312" w:hAnsi="仿宋_GB2312" w:eastAsia="仿宋_GB2312" w:cs="仿宋_GB2312"/>
          <w:b/>
          <w:bCs/>
          <w:szCs w:val="32"/>
        </w:rPr>
        <w:t>“三公”经费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pPr>
        <w:spacing w:line="560" w:lineRule="exact"/>
        <w:ind w:firstLine="640"/>
        <w:rPr>
          <w:rFonts w:ascii="仿宋_GB2312" w:hAnsi="仿宋_GB2312" w:eastAsia="仿宋_GB2312" w:cs="仿宋_GB2312"/>
          <w:szCs w:val="32"/>
        </w:rPr>
      </w:pPr>
      <w:r>
        <w:rPr>
          <w:rFonts w:ascii="仿宋_GB2312" w:hAnsi="仿宋_GB2312" w:eastAsia="仿宋_GB2312" w:cs="仿宋_GB2312"/>
          <w:b/>
          <w:bCs/>
          <w:szCs w:val="32"/>
        </w:rPr>
        <w:t>4.</w:t>
      </w:r>
      <w:r>
        <w:rPr>
          <w:rFonts w:hint="eastAsia" w:ascii="仿宋_GB2312" w:hAnsi="仿宋_GB2312" w:eastAsia="仿宋_GB2312" w:cs="仿宋_GB2312"/>
          <w:b/>
          <w:bCs/>
          <w:szCs w:val="32"/>
        </w:rPr>
        <w:t>财政拨款收入</w:t>
      </w:r>
      <w:r>
        <w:rPr>
          <w:rFonts w:hint="eastAsia" w:ascii="仿宋_GB2312" w:hAnsi="仿宋_GB2312" w:eastAsia="仿宋_GB2312" w:cs="仿宋_GB2312"/>
          <w:szCs w:val="32"/>
        </w:rPr>
        <w:t>：指本级财政当年拨付的资金。</w:t>
      </w:r>
    </w:p>
    <w:p>
      <w:pPr>
        <w:spacing w:line="560" w:lineRule="exact"/>
        <w:ind w:firstLine="640"/>
        <w:rPr>
          <w:rFonts w:ascii="仿宋_GB2312" w:hAnsi="宋体" w:eastAsia="仿宋_GB2312"/>
          <w:bCs/>
          <w:szCs w:val="32"/>
        </w:rPr>
      </w:pPr>
      <w:r>
        <w:rPr>
          <w:rFonts w:ascii="仿宋_GB2312" w:hAnsi="仿宋_GB2312" w:eastAsia="仿宋_GB2312" w:cs="仿宋_GB2312"/>
          <w:b/>
          <w:bCs/>
          <w:szCs w:val="32"/>
        </w:rPr>
        <w:t>5.</w:t>
      </w:r>
      <w:r>
        <w:rPr>
          <w:rFonts w:hint="eastAsia" w:ascii="仿宋_GB2312" w:hAnsi="仿宋_GB2312" w:eastAsia="仿宋_GB2312" w:cs="仿宋_GB2312"/>
          <w:b/>
          <w:bCs/>
          <w:szCs w:val="32"/>
        </w:rPr>
        <w:t>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ind w:firstLine="620" w:firstLineChars="200"/>
        <w:jc w:val="right"/>
        <w:rPr>
          <w:rFonts w:hint="eastAsia" w:ascii="仿宋_GB2312" w:hAnsi="仿宋_GB2312" w:eastAsia="仿宋_GB2312" w:cs="仿宋_GB2312"/>
          <w:color w:val="000000"/>
          <w:kern w:val="0"/>
          <w:sz w:val="31"/>
          <w:szCs w:val="31"/>
          <w:lang w:eastAsia="zh-CN"/>
        </w:rPr>
      </w:pPr>
      <w:r>
        <w:rPr>
          <w:rFonts w:hint="eastAsia" w:ascii="仿宋_GB2312" w:hAnsi="仿宋_GB2312" w:eastAsia="仿宋_GB2312" w:cs="仿宋_GB2312"/>
          <w:color w:val="000000"/>
          <w:kern w:val="0"/>
          <w:sz w:val="31"/>
          <w:szCs w:val="31"/>
          <w:lang w:eastAsia="zh-CN"/>
        </w:rPr>
        <w:t>西安市阎良区妇幼保健计划生育服务中心</w:t>
      </w:r>
    </w:p>
    <w:p>
      <w:pPr>
        <w:widowControl/>
        <w:ind w:firstLine="620" w:firstLineChars="200"/>
        <w:jc w:val="center"/>
        <w:rPr>
          <w:rFonts w:hint="default" w:ascii="仿宋_GB2312" w:hAnsi="仿宋_GB2312" w:eastAsia="仿宋_GB2312" w:cs="仿宋_GB2312"/>
          <w:color w:val="000000"/>
          <w:kern w:val="0"/>
          <w:sz w:val="31"/>
          <w:szCs w:val="31"/>
          <w:lang w:val="en-US" w:eastAsia="zh-CN"/>
        </w:rPr>
      </w:pPr>
      <w:r>
        <w:rPr>
          <w:rFonts w:hint="eastAsia" w:ascii="仿宋_GB2312" w:hAnsi="仿宋_GB2312" w:eastAsia="仿宋_GB2312" w:cs="仿宋_GB2312"/>
          <w:color w:val="000000"/>
          <w:kern w:val="0"/>
          <w:sz w:val="31"/>
          <w:szCs w:val="31"/>
          <w:lang w:val="en-US" w:eastAsia="zh-CN"/>
        </w:rPr>
        <w:t xml:space="preserve">          2020</w:t>
      </w:r>
      <w:r>
        <w:rPr>
          <w:rFonts w:hint="eastAsia" w:ascii="仿宋_GB2312" w:hAnsi="仿宋_GB2312" w:eastAsia="仿宋_GB2312" w:cs="仿宋_GB2312"/>
          <w:color w:val="000000"/>
          <w:kern w:val="0"/>
          <w:sz w:val="31"/>
          <w:szCs w:val="31"/>
          <w:lang w:eastAsia="zh-CN"/>
        </w:rPr>
        <w:t>年</w:t>
      </w:r>
      <w:r>
        <w:rPr>
          <w:rFonts w:hint="eastAsia" w:ascii="仿宋_GB2312" w:hAnsi="仿宋_GB2312" w:eastAsia="仿宋_GB2312" w:cs="仿宋_GB2312"/>
          <w:color w:val="000000"/>
          <w:kern w:val="0"/>
          <w:sz w:val="31"/>
          <w:szCs w:val="31"/>
          <w:lang w:val="en-US" w:eastAsia="zh-CN"/>
        </w:rPr>
        <w:t>10</w:t>
      </w:r>
      <w:r>
        <w:rPr>
          <w:rFonts w:hint="eastAsia" w:ascii="仿宋_GB2312" w:hAnsi="仿宋_GB2312" w:eastAsia="仿宋_GB2312" w:cs="仿宋_GB2312"/>
          <w:color w:val="000000"/>
          <w:kern w:val="0"/>
          <w:sz w:val="31"/>
          <w:szCs w:val="31"/>
          <w:lang w:eastAsia="zh-CN"/>
        </w:rPr>
        <w:t>月</w:t>
      </w:r>
      <w:r>
        <w:rPr>
          <w:rFonts w:hint="eastAsia" w:ascii="仿宋_GB2312" w:hAnsi="仿宋_GB2312" w:eastAsia="仿宋_GB2312" w:cs="仿宋_GB2312"/>
          <w:color w:val="000000"/>
          <w:kern w:val="0"/>
          <w:sz w:val="31"/>
          <w:szCs w:val="31"/>
          <w:lang w:val="en-US" w:eastAsia="zh-CN"/>
        </w:rPr>
        <w:t>22日</w:t>
      </w:r>
    </w:p>
    <w:p>
      <w:pPr>
        <w:rPr>
          <w:rFonts w:hint="eastAsia" w:eastAsia="方正仿宋简体"/>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0000000000000000000"/>
    <w:charset w:val="86"/>
    <w:family w:val="auto"/>
    <w:pitch w:val="default"/>
    <w:sig w:usb0="00000000" w:usb1="00000000" w:usb2="00000010" w:usb3="00000000" w:csb0="00040000" w:csb1="00000000"/>
  </w:font>
  <w:font w:name="方正小标宋简体">
    <w:altName w:val="仿宋_GB2312"/>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0"/>
        <w:right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55351C"/>
    <w:multiLevelType w:val="singleLevel"/>
    <w:tmpl w:val="8B55351C"/>
    <w:lvl w:ilvl="0" w:tentative="0">
      <w:start w:val="2"/>
      <w:numFmt w:val="chineseCounting"/>
      <w:suff w:val="nothing"/>
      <w:lvlText w:val="%1、"/>
      <w:lvlJc w:val="left"/>
      <w:rPr>
        <w:rFonts w:hint="eastAsia"/>
      </w:rPr>
    </w:lvl>
  </w:abstractNum>
  <w:abstractNum w:abstractNumId="1">
    <w:nsid w:val="9F232710"/>
    <w:multiLevelType w:val="singleLevel"/>
    <w:tmpl w:val="9F232710"/>
    <w:lvl w:ilvl="0" w:tentative="0">
      <w:start w:val="1"/>
      <w:numFmt w:val="chineseCounting"/>
      <w:suff w:val="space"/>
      <w:lvlText w:val="第%1部分"/>
      <w:lvlJc w:val="left"/>
      <w:rPr>
        <w:rFonts w:hint="eastAsia" w:cs="Times New Roman"/>
      </w:rPr>
    </w:lvl>
  </w:abstractNum>
  <w:abstractNum w:abstractNumId="2">
    <w:nsid w:val="B29EDFA1"/>
    <w:multiLevelType w:val="singleLevel"/>
    <w:tmpl w:val="B29EDFA1"/>
    <w:lvl w:ilvl="0" w:tentative="0">
      <w:start w:val="2"/>
      <w:numFmt w:val="chineseCounting"/>
      <w:suff w:val="nothing"/>
      <w:lvlText w:val="（%1）"/>
      <w:lvlJc w:val="left"/>
      <w:rPr>
        <w:rFonts w:hint="eastAsia"/>
      </w:rPr>
    </w:lvl>
  </w:abstractNum>
  <w:abstractNum w:abstractNumId="3">
    <w:nsid w:val="39BEA4A8"/>
    <w:multiLevelType w:val="singleLevel"/>
    <w:tmpl w:val="39BEA4A8"/>
    <w:lvl w:ilvl="0" w:tentative="0">
      <w:start w:val="4"/>
      <w:numFmt w:val="chineseCounting"/>
      <w:suff w:val="space"/>
      <w:lvlText w:val="第%1部分"/>
      <w:lvlJc w:val="left"/>
      <w:rPr>
        <w:rFonts w:hint="eastAsia" w:cs="Times New Roman"/>
      </w:rPr>
    </w:lvl>
  </w:abstractNum>
  <w:abstractNum w:abstractNumId="4">
    <w:nsid w:val="4E290741"/>
    <w:multiLevelType w:val="singleLevel"/>
    <w:tmpl w:val="4E290741"/>
    <w:lvl w:ilvl="0" w:tentative="0">
      <w:start w:val="3"/>
      <w:numFmt w:val="decimal"/>
      <w:suff w:val="nothing"/>
      <w:lvlText w:val="%1．"/>
      <w:lvlJc w:val="left"/>
      <w:rPr>
        <w:rFonts w:cs="Times New Roman"/>
      </w:r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868F0"/>
    <w:rsid w:val="03286519"/>
    <w:rsid w:val="03625EBA"/>
    <w:rsid w:val="03B16E40"/>
    <w:rsid w:val="03D352F6"/>
    <w:rsid w:val="03F85FF3"/>
    <w:rsid w:val="0472240C"/>
    <w:rsid w:val="04857FAF"/>
    <w:rsid w:val="04A70F8F"/>
    <w:rsid w:val="04ED49D4"/>
    <w:rsid w:val="05267A98"/>
    <w:rsid w:val="05C24377"/>
    <w:rsid w:val="05F24ADD"/>
    <w:rsid w:val="05FC698D"/>
    <w:rsid w:val="06D51631"/>
    <w:rsid w:val="071C15FB"/>
    <w:rsid w:val="074821F8"/>
    <w:rsid w:val="07736317"/>
    <w:rsid w:val="079A1121"/>
    <w:rsid w:val="07CE36A7"/>
    <w:rsid w:val="085549F6"/>
    <w:rsid w:val="0A892FAE"/>
    <w:rsid w:val="0B233FB9"/>
    <w:rsid w:val="0BBA07E7"/>
    <w:rsid w:val="0BF827E9"/>
    <w:rsid w:val="0C2E6D00"/>
    <w:rsid w:val="0C412E78"/>
    <w:rsid w:val="0C5B6478"/>
    <w:rsid w:val="0C635CD1"/>
    <w:rsid w:val="0DC16899"/>
    <w:rsid w:val="0EA82CFD"/>
    <w:rsid w:val="0F6E40B3"/>
    <w:rsid w:val="0FCC198E"/>
    <w:rsid w:val="0FF72DB3"/>
    <w:rsid w:val="10013163"/>
    <w:rsid w:val="102C3C7A"/>
    <w:rsid w:val="10534787"/>
    <w:rsid w:val="10B009E1"/>
    <w:rsid w:val="11B066C9"/>
    <w:rsid w:val="11FA63DD"/>
    <w:rsid w:val="12814BE1"/>
    <w:rsid w:val="132122CA"/>
    <w:rsid w:val="133B7619"/>
    <w:rsid w:val="13FB3888"/>
    <w:rsid w:val="14C45199"/>
    <w:rsid w:val="14E63442"/>
    <w:rsid w:val="14ED3D72"/>
    <w:rsid w:val="159A36C8"/>
    <w:rsid w:val="15EB5CA3"/>
    <w:rsid w:val="16117FF1"/>
    <w:rsid w:val="16287AAA"/>
    <w:rsid w:val="17033BE5"/>
    <w:rsid w:val="17C103EB"/>
    <w:rsid w:val="17CA554A"/>
    <w:rsid w:val="180C04B1"/>
    <w:rsid w:val="1813369E"/>
    <w:rsid w:val="186D13FA"/>
    <w:rsid w:val="196055FE"/>
    <w:rsid w:val="1A2D2D5B"/>
    <w:rsid w:val="1A374E68"/>
    <w:rsid w:val="1A440689"/>
    <w:rsid w:val="1A9D6185"/>
    <w:rsid w:val="1AEB35E4"/>
    <w:rsid w:val="1B1700F7"/>
    <w:rsid w:val="1B3F759C"/>
    <w:rsid w:val="1B9F50AF"/>
    <w:rsid w:val="1CBA403E"/>
    <w:rsid w:val="1CCD5E80"/>
    <w:rsid w:val="1CF23436"/>
    <w:rsid w:val="1D6109C0"/>
    <w:rsid w:val="1E1129E0"/>
    <w:rsid w:val="1EA21308"/>
    <w:rsid w:val="1F891CD3"/>
    <w:rsid w:val="209269B3"/>
    <w:rsid w:val="20F606AA"/>
    <w:rsid w:val="213435AC"/>
    <w:rsid w:val="21A562F4"/>
    <w:rsid w:val="21D26307"/>
    <w:rsid w:val="21D826FA"/>
    <w:rsid w:val="23CB591C"/>
    <w:rsid w:val="249C0BE7"/>
    <w:rsid w:val="249E376B"/>
    <w:rsid w:val="251067E2"/>
    <w:rsid w:val="252E2E0B"/>
    <w:rsid w:val="25727870"/>
    <w:rsid w:val="25924D8F"/>
    <w:rsid w:val="25D7779F"/>
    <w:rsid w:val="26E25C48"/>
    <w:rsid w:val="26ED260B"/>
    <w:rsid w:val="280C2364"/>
    <w:rsid w:val="28477150"/>
    <w:rsid w:val="28691E19"/>
    <w:rsid w:val="28750B2B"/>
    <w:rsid w:val="28C4459A"/>
    <w:rsid w:val="28DB595A"/>
    <w:rsid w:val="29CC5B65"/>
    <w:rsid w:val="29E311A9"/>
    <w:rsid w:val="29E437C5"/>
    <w:rsid w:val="2A78401F"/>
    <w:rsid w:val="2A8F2FB9"/>
    <w:rsid w:val="2B4A5BFC"/>
    <w:rsid w:val="2B55234E"/>
    <w:rsid w:val="2C2B46B2"/>
    <w:rsid w:val="2CED1F13"/>
    <w:rsid w:val="2D8D0E73"/>
    <w:rsid w:val="2DDB7791"/>
    <w:rsid w:val="2E412E42"/>
    <w:rsid w:val="2E4F5A5E"/>
    <w:rsid w:val="2EBC1115"/>
    <w:rsid w:val="2FB94A94"/>
    <w:rsid w:val="30123D0E"/>
    <w:rsid w:val="304F1C88"/>
    <w:rsid w:val="30D31CF7"/>
    <w:rsid w:val="31A306EC"/>
    <w:rsid w:val="334E1578"/>
    <w:rsid w:val="33712A85"/>
    <w:rsid w:val="339E074C"/>
    <w:rsid w:val="33FF0C8F"/>
    <w:rsid w:val="34C40269"/>
    <w:rsid w:val="34D063C6"/>
    <w:rsid w:val="351B7220"/>
    <w:rsid w:val="35563AF6"/>
    <w:rsid w:val="36274BBD"/>
    <w:rsid w:val="36AF3418"/>
    <w:rsid w:val="36DA0BF0"/>
    <w:rsid w:val="36DD48D9"/>
    <w:rsid w:val="37102F38"/>
    <w:rsid w:val="371E250A"/>
    <w:rsid w:val="3738205C"/>
    <w:rsid w:val="375778F3"/>
    <w:rsid w:val="37633672"/>
    <w:rsid w:val="37705AEB"/>
    <w:rsid w:val="378C53AB"/>
    <w:rsid w:val="37E046AF"/>
    <w:rsid w:val="389372D5"/>
    <w:rsid w:val="390D35A0"/>
    <w:rsid w:val="391A2CAA"/>
    <w:rsid w:val="395A67E6"/>
    <w:rsid w:val="3990376A"/>
    <w:rsid w:val="39B01AD6"/>
    <w:rsid w:val="39BD747A"/>
    <w:rsid w:val="3AB80313"/>
    <w:rsid w:val="3AF0652A"/>
    <w:rsid w:val="3B1C5DA3"/>
    <w:rsid w:val="3B675266"/>
    <w:rsid w:val="3B750768"/>
    <w:rsid w:val="3BF94621"/>
    <w:rsid w:val="3C165BBB"/>
    <w:rsid w:val="3C1821DF"/>
    <w:rsid w:val="3C2E7B8F"/>
    <w:rsid w:val="3DCD39D8"/>
    <w:rsid w:val="3DD754E8"/>
    <w:rsid w:val="3DFF26D0"/>
    <w:rsid w:val="3EF07BC0"/>
    <w:rsid w:val="3FEA01B6"/>
    <w:rsid w:val="401011FF"/>
    <w:rsid w:val="40286EC5"/>
    <w:rsid w:val="4040506B"/>
    <w:rsid w:val="40A61DE6"/>
    <w:rsid w:val="41456131"/>
    <w:rsid w:val="415876C4"/>
    <w:rsid w:val="4177374A"/>
    <w:rsid w:val="41BC56EF"/>
    <w:rsid w:val="421B2331"/>
    <w:rsid w:val="42D069E2"/>
    <w:rsid w:val="43113EA1"/>
    <w:rsid w:val="439637C1"/>
    <w:rsid w:val="43C25F43"/>
    <w:rsid w:val="43C40E67"/>
    <w:rsid w:val="440E6E36"/>
    <w:rsid w:val="44126A34"/>
    <w:rsid w:val="441808EE"/>
    <w:rsid w:val="444B0C31"/>
    <w:rsid w:val="45DE00C6"/>
    <w:rsid w:val="464462BC"/>
    <w:rsid w:val="466A0F0D"/>
    <w:rsid w:val="46920E95"/>
    <w:rsid w:val="46F8079D"/>
    <w:rsid w:val="47CC7DE5"/>
    <w:rsid w:val="48070F22"/>
    <w:rsid w:val="482D7F11"/>
    <w:rsid w:val="49274F53"/>
    <w:rsid w:val="49640234"/>
    <w:rsid w:val="4A232D00"/>
    <w:rsid w:val="4AF74DFB"/>
    <w:rsid w:val="4B606CA4"/>
    <w:rsid w:val="4DAF0AE1"/>
    <w:rsid w:val="4DEB72B8"/>
    <w:rsid w:val="4DFE6266"/>
    <w:rsid w:val="4E053308"/>
    <w:rsid w:val="4E1F2D63"/>
    <w:rsid w:val="4F355C39"/>
    <w:rsid w:val="4F496946"/>
    <w:rsid w:val="4FDB2AC7"/>
    <w:rsid w:val="503E1A95"/>
    <w:rsid w:val="505D2DB1"/>
    <w:rsid w:val="507C12E3"/>
    <w:rsid w:val="51485C41"/>
    <w:rsid w:val="51FD0A0A"/>
    <w:rsid w:val="52A22324"/>
    <w:rsid w:val="52BF111B"/>
    <w:rsid w:val="531B6E86"/>
    <w:rsid w:val="53D31458"/>
    <w:rsid w:val="54780974"/>
    <w:rsid w:val="54B53E77"/>
    <w:rsid w:val="54D82C62"/>
    <w:rsid w:val="557058FE"/>
    <w:rsid w:val="557A748D"/>
    <w:rsid w:val="559203A9"/>
    <w:rsid w:val="559631B3"/>
    <w:rsid w:val="56783B2B"/>
    <w:rsid w:val="56BA3647"/>
    <w:rsid w:val="56BD7382"/>
    <w:rsid w:val="56FA0B20"/>
    <w:rsid w:val="58095C71"/>
    <w:rsid w:val="58B3511A"/>
    <w:rsid w:val="59C33981"/>
    <w:rsid w:val="59CC7E4B"/>
    <w:rsid w:val="5A807F03"/>
    <w:rsid w:val="5B1D7D07"/>
    <w:rsid w:val="5B487531"/>
    <w:rsid w:val="5B5E4DC0"/>
    <w:rsid w:val="5BAD6C26"/>
    <w:rsid w:val="5C1B4BA8"/>
    <w:rsid w:val="5CA13387"/>
    <w:rsid w:val="5D511C7D"/>
    <w:rsid w:val="5D7C6632"/>
    <w:rsid w:val="5DBC414B"/>
    <w:rsid w:val="5DF3296A"/>
    <w:rsid w:val="5ED865FE"/>
    <w:rsid w:val="5F6E4E15"/>
    <w:rsid w:val="5FC7607C"/>
    <w:rsid w:val="5FDF749D"/>
    <w:rsid w:val="61011639"/>
    <w:rsid w:val="619E51A4"/>
    <w:rsid w:val="61A651A8"/>
    <w:rsid w:val="61C22C8A"/>
    <w:rsid w:val="6220045B"/>
    <w:rsid w:val="624F6D04"/>
    <w:rsid w:val="634B7631"/>
    <w:rsid w:val="63607CF7"/>
    <w:rsid w:val="63674BCB"/>
    <w:rsid w:val="63887FBB"/>
    <w:rsid w:val="64A346D1"/>
    <w:rsid w:val="65225A6B"/>
    <w:rsid w:val="65330E02"/>
    <w:rsid w:val="657D4353"/>
    <w:rsid w:val="65A50766"/>
    <w:rsid w:val="65E67C13"/>
    <w:rsid w:val="671160EB"/>
    <w:rsid w:val="673537EF"/>
    <w:rsid w:val="67710389"/>
    <w:rsid w:val="67986729"/>
    <w:rsid w:val="67B64572"/>
    <w:rsid w:val="67CF777F"/>
    <w:rsid w:val="67D971B5"/>
    <w:rsid w:val="67FA6C0F"/>
    <w:rsid w:val="68F269ED"/>
    <w:rsid w:val="694A3527"/>
    <w:rsid w:val="69A91701"/>
    <w:rsid w:val="6A141B10"/>
    <w:rsid w:val="6C962FC6"/>
    <w:rsid w:val="6CDB7B3C"/>
    <w:rsid w:val="6D330F25"/>
    <w:rsid w:val="6D4D3245"/>
    <w:rsid w:val="6DB1287F"/>
    <w:rsid w:val="6DD67B1B"/>
    <w:rsid w:val="6E5C4F64"/>
    <w:rsid w:val="6E6D4E3F"/>
    <w:rsid w:val="6E770D24"/>
    <w:rsid w:val="6F4F144A"/>
    <w:rsid w:val="6F8F4344"/>
    <w:rsid w:val="6FB23D9A"/>
    <w:rsid w:val="6FCB30E2"/>
    <w:rsid w:val="6FFB3F91"/>
    <w:rsid w:val="6FFF3C04"/>
    <w:rsid w:val="70132288"/>
    <w:rsid w:val="701D256E"/>
    <w:rsid w:val="70535251"/>
    <w:rsid w:val="71441A9C"/>
    <w:rsid w:val="722406AD"/>
    <w:rsid w:val="73F51BAE"/>
    <w:rsid w:val="7409082A"/>
    <w:rsid w:val="74E02AD8"/>
    <w:rsid w:val="74F7704A"/>
    <w:rsid w:val="753F0FAD"/>
    <w:rsid w:val="76452E92"/>
    <w:rsid w:val="76E847E8"/>
    <w:rsid w:val="76F60C97"/>
    <w:rsid w:val="7762399E"/>
    <w:rsid w:val="779E6D3D"/>
    <w:rsid w:val="77AE2A71"/>
    <w:rsid w:val="78611BAA"/>
    <w:rsid w:val="7B28502D"/>
    <w:rsid w:val="7B6B7380"/>
    <w:rsid w:val="7B9341EB"/>
    <w:rsid w:val="7B945073"/>
    <w:rsid w:val="7BFC64E6"/>
    <w:rsid w:val="7D440EFA"/>
    <w:rsid w:val="7D672EC7"/>
    <w:rsid w:val="7E846FA3"/>
    <w:rsid w:val="7F091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szCs w:val="20"/>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next w:val="3"/>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99"/>
    <w:rPr>
      <w:rFonts w:cs="Times New Roman"/>
      <w:b/>
      <w:bCs/>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8.emf"/><Relationship Id="rId33" Type="http://schemas.openxmlformats.org/officeDocument/2006/relationships/oleObject" Target="embeddings/oleObject13.bin"/><Relationship Id="rId32" Type="http://schemas.openxmlformats.org/officeDocument/2006/relationships/image" Target="media/image7.emf"/><Relationship Id="rId31" Type="http://schemas.openxmlformats.org/officeDocument/2006/relationships/oleObject" Target="embeddings/oleObject12.bin"/><Relationship Id="rId30" Type="http://schemas.openxmlformats.org/officeDocument/2006/relationships/image" Target="media/image6.emf"/><Relationship Id="rId3" Type="http://schemas.openxmlformats.org/officeDocument/2006/relationships/header" Target="header1.xml"/><Relationship Id="rId29" Type="http://schemas.openxmlformats.org/officeDocument/2006/relationships/oleObject" Target="embeddings/oleObject11.bin"/><Relationship Id="rId28" Type="http://schemas.openxmlformats.org/officeDocument/2006/relationships/image" Target="media/image5.emf"/><Relationship Id="rId27" Type="http://schemas.openxmlformats.org/officeDocument/2006/relationships/oleObject" Target="embeddings/oleObject10.bin"/><Relationship Id="rId26" Type="http://schemas.openxmlformats.org/officeDocument/2006/relationships/image" Target="media/image4.emf"/><Relationship Id="rId25" Type="http://schemas.openxmlformats.org/officeDocument/2006/relationships/oleObject" Target="embeddings/oleObject9.bin"/><Relationship Id="rId24" Type="http://schemas.openxmlformats.org/officeDocument/2006/relationships/image" Target="media/image3.emf"/><Relationship Id="rId23" Type="http://schemas.openxmlformats.org/officeDocument/2006/relationships/oleObject" Target="embeddings/oleObject8.bin"/><Relationship Id="rId22" Type="http://schemas.openxmlformats.org/officeDocument/2006/relationships/image" Target="media/image2.emf"/><Relationship Id="rId21" Type="http://schemas.openxmlformats.org/officeDocument/2006/relationships/oleObject" Target="embeddings/oleObject7.bin"/><Relationship Id="rId20" Type="http://schemas.openxmlformats.org/officeDocument/2006/relationships/image" Target="media/image1.emf"/><Relationship Id="rId2" Type="http://schemas.openxmlformats.org/officeDocument/2006/relationships/settings" Target="settings.xml"/><Relationship Id="rId19" Type="http://schemas.openxmlformats.org/officeDocument/2006/relationships/oleObject" Target="embeddings/oleObject6.bin"/><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oleObject" Target="embeddings/oleObject5.bin"/><Relationship Id="rId11" Type="http://schemas.openxmlformats.org/officeDocument/2006/relationships/oleObject" Target="embeddings/oleObject4.bin"/><Relationship Id="rId10" Type="http://schemas.openxmlformats.org/officeDocument/2006/relationships/oleObject" Target="embeddings/oleObject3.bin"/><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5" Type="http://schemas.microsoft.com/office/2011/relationships/chartColorStyle" Target="colors5.xml"/><Relationship Id="rId4" Type="http://schemas.microsoft.com/office/2011/relationships/chartStyle" Target="style5.xml"/><Relationship Id="rId3" Type="http://schemas.openxmlformats.org/officeDocument/2006/relationships/image" Target="../media/image9.png"/><Relationship Id="rId2" Type="http://schemas.openxmlformats.org/officeDocument/2006/relationships/themeOverride" Target="../theme/themeOverride2.xml"/><Relationship Id="rId1" Type="http://schemas.openxmlformats.org/officeDocument/2006/relationships/package" Target="../embeddings/Workbook5.xlsx"/></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5" Type="http://schemas.microsoft.com/office/2011/relationships/chartColorStyle" Target="colors6.xml"/><Relationship Id="rId4" Type="http://schemas.microsoft.com/office/2011/relationships/chartStyle" Target="style6.xml"/><Relationship Id="rId3" Type="http://schemas.openxmlformats.org/officeDocument/2006/relationships/image" Target="../media/image9.png"/><Relationship Id="rId2" Type="http://schemas.openxmlformats.org/officeDocument/2006/relationships/themeOverride" Target="../theme/themeOverride3.xml"/><Relationship Id="rId1" Type="http://schemas.openxmlformats.org/officeDocument/2006/relationships/package" Target="../embeddings/Workbook6.xlsx"/></Relationships>
</file>

<file path=word/charts/_rels/chart6.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_rels/chart7.xml.rels><?xml version="1.0" encoding="UTF-8" standalone="yes"?>
<Relationships xmlns="http://schemas.openxmlformats.org/package/2006/relationships"><Relationship Id="rId5" Type="http://schemas.microsoft.com/office/2011/relationships/chartColorStyle" Target="colors3.xml"/><Relationship Id="rId4" Type="http://schemas.microsoft.com/office/2011/relationships/chartStyle" Target="style3.xml"/><Relationship Id="rId3" Type="http://schemas.openxmlformats.org/officeDocument/2006/relationships/image" Target="../media/image9.png"/><Relationship Id="rId2" Type="http://schemas.openxmlformats.org/officeDocument/2006/relationships/themeOverride" Target="../theme/themeOverride1.xml"/><Relationship Id="rId1" Type="http://schemas.openxmlformats.org/officeDocument/2006/relationships/package" Target="../embeddings/Workbook3.xlsx"/></Relationships>
</file>

<file path=word/charts/_rels/chart8.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package" Target="../embeddings/Workbook8.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2019</a:t>
            </a:r>
            <a:r>
              <a:rPr altLang="en-US"/>
              <a:t>年末妇计中心实有人数柱状图</a:t>
            </a:r>
            <a:endParaRPr altLang="en-US"/>
          </a:p>
        </c:rich>
      </c:tx>
      <c:layout>
        <c:manualLayout>
          <c:xMode val="edge"/>
          <c:yMode val="edge"/>
          <c:x val="0.22625"/>
          <c:y val="0.0268333333333333"/>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编制人数</c:v>
                </c:pt>
              </c:strCache>
            </c:strRef>
          </c:tx>
          <c:spPr>
            <a:solidFill>
              <a:schemeClr val="accent1"/>
            </a:solidFill>
            <a:ln>
              <a:noFill/>
            </a:ln>
            <a:effectLst/>
          </c:spPr>
          <c:invertIfNegative val="0"/>
          <c:dLbls>
            <c:delete val="1"/>
          </c:dLbls>
          <c:cat>
            <c:strRef>
              <c:f>Sheet1!$A$2:$A$5</c:f>
              <c:strCache>
                <c:ptCount val="4"/>
                <c:pt idx="0">
                  <c:v>编制人数</c:v>
                </c:pt>
                <c:pt idx="1">
                  <c:v>实有人数</c:v>
                </c:pt>
              </c:strCache>
            </c:strRef>
          </c:cat>
          <c:val>
            <c:numRef>
              <c:f>Sheet1!$B$2:$B$5</c:f>
              <c:numCache>
                <c:formatCode>General</c:formatCode>
                <c:ptCount val="4"/>
                <c:pt idx="0">
                  <c:v>30</c:v>
                </c:pt>
                <c:pt idx="1">
                  <c:v>30</c:v>
                </c:pt>
              </c:numCache>
            </c:numRef>
          </c:val>
        </c:ser>
        <c:dLbls>
          <c:showLegendKey val="0"/>
          <c:showVal val="0"/>
          <c:showCatName val="0"/>
          <c:showSerName val="0"/>
          <c:showPercent val="0"/>
          <c:showBubbleSize val="0"/>
        </c:dLbls>
        <c:gapWidth val="219"/>
        <c:overlap val="-27"/>
        <c:axId val="769340721"/>
        <c:axId val="512828675"/>
      </c:barChart>
      <c:catAx>
        <c:axId val="76934072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12828675"/>
        <c:crosses val="autoZero"/>
        <c:auto val="1"/>
        <c:lblAlgn val="ctr"/>
        <c:lblOffset val="100"/>
        <c:noMultiLvlLbl val="0"/>
      </c:catAx>
      <c:valAx>
        <c:axId val="51282867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69340721"/>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defTabSz="914400">
              <a:defRPr lang="zh-CN" sz="1400" b="0" i="0" u="none" strike="noStrike" kern="1200" spc="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2018、2019年收入对比柱状图     </a:t>
            </a:r>
          </a:p>
          <a:p>
            <a:pPr defTabSz="914400">
              <a:defRPr lang="zh-CN" sz="1400" b="0" i="0" u="none" strike="noStrike" kern="1200" spc="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                                                        </a:t>
            </a:r>
            <a:r>
              <a:rPr sz="750"/>
              <a:t>单位：万元</a:t>
            </a:r>
            <a:endParaRPr sz="750"/>
          </a:p>
        </c:rich>
      </c:tx>
      <c:layout>
        <c:manualLayout>
          <c:xMode val="edge"/>
          <c:yMode val="edge"/>
          <c:x val="0.147633744855967"/>
          <c:y val="0.0211044671122054"/>
        </c:manualLayout>
      </c:layout>
      <c:overlay val="0"/>
      <c:spPr>
        <a:noFill/>
        <a:ln>
          <a:noFill/>
        </a:ln>
        <a:effectLst/>
      </c:spPr>
    </c:title>
    <c:autoTitleDeleted val="0"/>
    <c:plotArea>
      <c:layout>
        <c:manualLayout>
          <c:layoutTarget val="inner"/>
          <c:xMode val="edge"/>
          <c:yMode val="edge"/>
          <c:x val="0.094825"/>
          <c:y val="0.16825"/>
          <c:w val="0.846175"/>
          <c:h val="0.619816666666667"/>
        </c:manualLayout>
      </c:layout>
      <c:barChart>
        <c:barDir val="col"/>
        <c:grouping val="clustered"/>
        <c:varyColors val="0"/>
        <c:ser>
          <c:idx val="0"/>
          <c:order val="0"/>
          <c:tx>
            <c:strRef>
              <c:f>Sheet1!$C$1</c:f>
              <c:strCache>
                <c:ptCount val="1"/>
                <c:pt idx="0">
                  <c:v>一般公共财政拨款收入</c:v>
                </c:pt>
              </c:strCache>
            </c:strRef>
          </c:tx>
          <c:spPr>
            <a:blipFill>
              <a:blip xmlns:r="http://schemas.openxmlformats.org/officeDocument/2006/relationships" r:embed="rId3"/>
              <a:stretch>
                <a:fillRect/>
              </a:stretch>
            </a:blipFill>
            <a:ln>
              <a:noFill/>
            </a:ln>
            <a:effectLst/>
          </c:spPr>
          <c:invertIfNegative val="0"/>
          <c:dLbls>
            <c:delete val="1"/>
          </c:dLbls>
          <c:cat>
            <c:strRef>
              <c:f>Sheet1!$A$2:$A$5</c:f>
              <c:strCache>
                <c:ptCount val="4"/>
                <c:pt idx="0">
                  <c:v>2018年</c:v>
                </c:pt>
                <c:pt idx="1">
                  <c:v>2019年</c:v>
                </c:pt>
              </c:strCache>
            </c:strRef>
          </c:cat>
          <c:val>
            <c:numRef>
              <c:f>Sheet1!$C$2:$C$5</c:f>
              <c:numCache>
                <c:formatCode>General</c:formatCode>
                <c:ptCount val="4"/>
                <c:pt idx="0">
                  <c:v>766.3</c:v>
                </c:pt>
                <c:pt idx="1">
                  <c:v>1010.31</c:v>
                </c:pt>
              </c:numCache>
            </c:numRef>
          </c:val>
        </c:ser>
        <c:dLbls>
          <c:showLegendKey val="0"/>
          <c:showVal val="0"/>
          <c:showCatName val="0"/>
          <c:showSerName val="0"/>
          <c:showPercent val="0"/>
          <c:showBubbleSize val="0"/>
        </c:dLbls>
        <c:gapWidth val="240"/>
        <c:overlap val="10"/>
        <c:axId val="964171637"/>
        <c:axId val="448821303"/>
      </c:barChart>
      <c:catAx>
        <c:axId val="964171637"/>
        <c:scaling>
          <c:orientation val="minMax"/>
        </c:scaling>
        <c:delete val="0"/>
        <c:axPos val="b"/>
        <c:numFmt formatCode="General" sourceLinked="0"/>
        <c:majorTickMark val="out"/>
        <c:minorTickMark val="none"/>
        <c:tickLblPos val="nextTo"/>
        <c:spPr>
          <a:noFill/>
          <a:ln w="9525" cap="flat" cmpd="sng" algn="ctr">
            <a:solidFill>
              <a:schemeClr val="bg1">
                <a:lumMod val="7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448821303"/>
        <c:crosses val="autoZero"/>
        <c:auto val="1"/>
        <c:lblAlgn val="ctr"/>
        <c:lblOffset val="100"/>
        <c:noMultiLvlLbl val="0"/>
      </c:catAx>
      <c:valAx>
        <c:axId val="44882130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solidFill>
              <a:schemeClr val="bg1">
                <a:lumMod val="75000"/>
              </a:schemeClr>
            </a:solidFill>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964171637"/>
        <c:crosses val="autoZero"/>
        <c:crossBetween val="between"/>
      </c:valAx>
      <c:spPr>
        <a:noFill/>
        <a:ln>
          <a:noFill/>
        </a:ln>
        <a:effectLst/>
      </c:spPr>
    </c:plotArea>
    <c:legend>
      <c:legendPos val="r"/>
      <c:layout>
        <c:manualLayout>
          <c:xMode val="edge"/>
          <c:yMode val="edge"/>
          <c:x val="0.353875"/>
          <c:y val="0.893166666666667"/>
          <c:w val="0.284375"/>
          <c:h val="0.0495"/>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chart>
  <c:spPr>
    <a:solidFill>
      <a:sysClr val="window" lastClr="FFFFFF"/>
    </a:solidFill>
    <a:ln w="9525" cap="flat" cmpd="sng" algn="ctr">
      <a:solidFill>
        <a:schemeClr val="tx1">
          <a:lumMod val="15000"/>
          <a:lumOff val="85000"/>
        </a:schemeClr>
      </a:solidFill>
      <a:round/>
    </a:ln>
    <a:effectLst>
      <a:outerShdw blurRad="63500" dist="37357" dir="2700000" sx="0" sy="0" rotWithShape="0">
        <a:scrgbClr r="0" g="0" b="0"/>
      </a:outerShdw>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2019</a:t>
            </a:r>
            <a:r>
              <a:rPr altLang="en-US"/>
              <a:t>年收入决算情况</a:t>
            </a:r>
            <a:endParaRPr altLang="en-US"/>
          </a:p>
        </c:rich>
      </c:tx>
      <c:layout/>
      <c:overlay val="0"/>
      <c:spPr>
        <a:noFill/>
        <a:ln>
          <a:noFill/>
        </a:ln>
        <a:effectLst/>
      </c:spPr>
    </c:title>
    <c:autoTitleDeleted val="0"/>
    <c:plotArea>
      <c:layout/>
      <c:pieChart>
        <c:varyColors val="1"/>
        <c:ser>
          <c:idx val="0"/>
          <c:order val="0"/>
          <c:tx>
            <c:strRef>
              <c:f>Sheet1!$B$1</c:f>
              <c:strCache>
                <c:ptCount val="1"/>
                <c:pt idx="0">
                  <c:v>1010.31</c:v>
                </c:pt>
              </c:strCache>
            </c:strRef>
          </c:tx>
          <c:spPr>
            <a:ln w="19050">
              <a:noFill/>
            </a:ln>
          </c:spPr>
          <c:explosion val="0"/>
          <c:dPt>
            <c:idx val="0"/>
            <c:bubble3D val="0"/>
            <c:spPr>
              <a:solidFill>
                <a:schemeClr val="accent1"/>
              </a:solidFill>
              <a:ln w="19050">
                <a:noFill/>
              </a:ln>
              <a:effectLst/>
            </c:spPr>
          </c:dPt>
          <c:dPt>
            <c:idx val="1"/>
            <c:bubble3D val="0"/>
            <c:spPr>
              <a:solidFill>
                <a:schemeClr val="accent2"/>
              </a:solidFill>
              <a:ln w="19050">
                <a:noFill/>
              </a:ln>
              <a:effectLst/>
            </c:spPr>
          </c:dPt>
          <c:dPt>
            <c:idx val="2"/>
            <c:bubble3D val="0"/>
            <c:spPr>
              <a:solidFill>
                <a:schemeClr val="accent3"/>
              </a:solidFill>
              <a:ln w="19050">
                <a:noFill/>
              </a:ln>
              <a:effectLst/>
            </c:spPr>
          </c:dPt>
          <c:dPt>
            <c:idx val="3"/>
            <c:bubble3D val="0"/>
            <c:spPr>
              <a:solidFill>
                <a:schemeClr val="accent4"/>
              </a:solidFill>
              <a:ln w="19050">
                <a:noFill/>
              </a:ln>
              <a:effectLst/>
            </c:spPr>
          </c:dPt>
          <c:dLbls>
            <c:dLbl>
              <c:idx val="0"/>
              <c:layout>
                <c:manualLayout>
                  <c:x val="0.00337407084981257"/>
                  <c:y val="-0.391840879858844"/>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1</a:t>
                    </a:r>
                    <a:r>
                      <a:rPr lang="en-US" altLang="zh-CN"/>
                      <a:t>00%</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manualLayout>
                      <c:w val="0.313"/>
                      <c:h val="0.2415"/>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一般公共预算财政拨款收入</c:v>
                </c:pt>
              </c:strCache>
            </c:strRef>
          </c:cat>
          <c:val>
            <c:numRef>
              <c:f>Sheet1!$B$2:$B$5</c:f>
              <c:numCache>
                <c:formatCode>General</c:formatCode>
                <c:ptCount val="4"/>
                <c:pt idx="0">
                  <c:v>1010.31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egendEntry>
        <c:idx val="1"/>
        <c:delete val="1"/>
      </c:legendEntry>
      <c:legendEntry>
        <c:idx val="2"/>
        <c:delete val="1"/>
      </c:legendEntry>
      <c:legendEntry>
        <c:idx val="3"/>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2019</a:t>
            </a:r>
            <a:r>
              <a:rPr altLang="en-US"/>
              <a:t>年支出决算情况</a:t>
            </a:r>
            <a:endParaRPr altLang="en-US"/>
          </a:p>
        </c:rich>
      </c:tx>
      <c:layout/>
      <c:overlay val="0"/>
      <c:spPr>
        <a:noFill/>
        <a:ln>
          <a:noFill/>
        </a:ln>
        <a:effectLst/>
      </c:spPr>
    </c:title>
    <c:autoTitleDeleted val="0"/>
    <c:plotArea>
      <c:layout/>
      <c:pieChart>
        <c:varyColors val="1"/>
        <c:ser>
          <c:idx val="0"/>
          <c:order val="0"/>
          <c:tx>
            <c:strRef>
              <c:f>Sheet1!$B$1</c:f>
              <c:strCache>
                <c:ptCount val="1"/>
                <c:pt idx="0">
                  <c:v>列1</c:v>
                </c:pt>
              </c:strCache>
            </c:strRef>
          </c:tx>
          <c:spPr/>
          <c:explosion val="0"/>
          <c:dPt>
            <c:idx val="0"/>
            <c:bubble3D val="0"/>
            <c:spPr>
              <a:solidFill>
                <a:schemeClr val="accent1"/>
              </a:solidFill>
              <a:ln w="19050">
                <a:solidFill>
                  <a:schemeClr val="lt1"/>
                </a:solidFill>
              </a:ln>
              <a:effectLst/>
            </c:spPr>
          </c:dPt>
          <c:dPt>
            <c:idx val="1"/>
            <c:bubble3D val="0"/>
            <c:explosion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0"/>
              <c:layout>
                <c:manualLayout>
                  <c:x val="-0.199184748125207"/>
                  <c:y val="-0.0425331362985062"/>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项目支出52.81%</a:t>
                    </a:r>
                  </a:p>
                </c:rich>
              </c:tx>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203178830995545"/>
                  <c:y val="0.0309812634962055"/>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基本支出47.19%</a:t>
                    </a:r>
                  </a:p>
                </c:rich>
              </c:tx>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项目支出</c:v>
                </c:pt>
                <c:pt idx="1">
                  <c:v>基本支出</c:v>
                </c:pt>
              </c:strCache>
            </c:strRef>
          </c:cat>
          <c:val>
            <c:numRef>
              <c:f>Sheet1!$B$2:$B$5</c:f>
              <c:numCache>
                <c:formatCode>0.00%</c:formatCode>
                <c:ptCount val="4"/>
                <c:pt idx="0">
                  <c:v>0.5281</c:v>
                </c:pt>
                <c:pt idx="1">
                  <c:v>0.4719</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egendEntry>
        <c:idx val="2"/>
        <c:delete val="1"/>
      </c:legendEntry>
      <c:legendEntry>
        <c:idx val="3"/>
        <c:delete val="1"/>
      </c:legendEntry>
      <c:layout>
        <c:manualLayout>
          <c:xMode val="edge"/>
          <c:yMode val="edge"/>
          <c:x val="0.844082840236686"/>
          <c:y val="0.446817785527463"/>
          <c:w val="0.138165680473373"/>
          <c:h val="0.197907585004359"/>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defTabSz="914400">
              <a:defRPr lang="zh-CN" sz="1400" b="0" i="0" u="none" strike="noStrike" kern="1200" spc="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2018、2019年收入对比柱状图</a:t>
            </a:r>
          </a:p>
        </c:rich>
      </c:tx>
      <c:layout>
        <c:manualLayout>
          <c:xMode val="edge"/>
          <c:yMode val="edge"/>
          <c:x val="0.197003685306842"/>
          <c:y val="0.0380771061399334"/>
        </c:manualLayout>
      </c:layout>
      <c:overlay val="0"/>
      <c:spPr>
        <a:noFill/>
        <a:ln>
          <a:noFill/>
        </a:ln>
        <a:effectLst/>
      </c:spPr>
    </c:title>
    <c:autoTitleDeleted val="0"/>
    <c:plotArea>
      <c:layout>
        <c:manualLayout>
          <c:layoutTarget val="inner"/>
          <c:xMode val="edge"/>
          <c:yMode val="edge"/>
          <c:x val="0.094825"/>
          <c:y val="0.16825"/>
          <c:w val="0.846175"/>
          <c:h val="0.619816666666667"/>
        </c:manualLayout>
      </c:layout>
      <c:barChart>
        <c:barDir val="col"/>
        <c:grouping val="clustered"/>
        <c:varyColors val="0"/>
        <c:ser>
          <c:idx val="0"/>
          <c:order val="0"/>
          <c:tx>
            <c:strRef>
              <c:f>Sheet1!$C$1</c:f>
              <c:strCache>
                <c:ptCount val="1"/>
                <c:pt idx="0">
                  <c:v>一般公共财政拨款收入</c:v>
                </c:pt>
              </c:strCache>
            </c:strRef>
          </c:tx>
          <c:spPr>
            <a:blipFill>
              <a:blip xmlns:r="http://schemas.openxmlformats.org/officeDocument/2006/relationships" r:embed="rId3"/>
              <a:stretch>
                <a:fillRect/>
              </a:stretch>
            </a:blipFill>
            <a:ln>
              <a:noFill/>
            </a:ln>
            <a:effectLst/>
          </c:spPr>
          <c:invertIfNegative val="0"/>
          <c:dLbls>
            <c:delete val="1"/>
          </c:dLbls>
          <c:cat>
            <c:strRef>
              <c:f>Sheet1!$A$2:$A$5</c:f>
              <c:strCache>
                <c:ptCount val="4"/>
                <c:pt idx="0">
                  <c:v>2018年</c:v>
                </c:pt>
                <c:pt idx="1">
                  <c:v>2019年</c:v>
                </c:pt>
              </c:strCache>
            </c:strRef>
          </c:cat>
          <c:val>
            <c:numRef>
              <c:f>Sheet1!$C$2:$C$5</c:f>
              <c:numCache>
                <c:formatCode>General</c:formatCode>
                <c:ptCount val="4"/>
                <c:pt idx="0">
                  <c:v>750</c:v>
                </c:pt>
                <c:pt idx="1">
                  <c:v>1010</c:v>
                </c:pt>
              </c:numCache>
            </c:numRef>
          </c:val>
        </c:ser>
        <c:dLbls>
          <c:showLegendKey val="0"/>
          <c:showVal val="0"/>
          <c:showCatName val="0"/>
          <c:showSerName val="0"/>
          <c:showPercent val="0"/>
          <c:showBubbleSize val="0"/>
        </c:dLbls>
        <c:gapWidth val="240"/>
        <c:overlap val="10"/>
        <c:axId val="964171637"/>
        <c:axId val="448821303"/>
      </c:barChart>
      <c:catAx>
        <c:axId val="964171637"/>
        <c:scaling>
          <c:orientation val="minMax"/>
        </c:scaling>
        <c:delete val="0"/>
        <c:axPos val="b"/>
        <c:numFmt formatCode="General" sourceLinked="0"/>
        <c:majorTickMark val="out"/>
        <c:minorTickMark val="none"/>
        <c:tickLblPos val="nextTo"/>
        <c:spPr>
          <a:noFill/>
          <a:ln w="9525" cap="flat" cmpd="sng" algn="ctr">
            <a:solidFill>
              <a:schemeClr val="bg1">
                <a:lumMod val="7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448821303"/>
        <c:crosses val="autoZero"/>
        <c:auto val="1"/>
        <c:lblAlgn val="ctr"/>
        <c:lblOffset val="100"/>
        <c:noMultiLvlLbl val="0"/>
      </c:catAx>
      <c:valAx>
        <c:axId val="44882130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solidFill>
              <a:schemeClr val="bg1">
                <a:lumMod val="75000"/>
              </a:schemeClr>
            </a:solidFill>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964171637"/>
        <c:crosses val="autoZero"/>
        <c:crossBetween val="between"/>
      </c:valAx>
      <c:spPr>
        <a:noFill/>
        <a:ln>
          <a:noFill/>
        </a:ln>
        <a:effectLst/>
      </c:spPr>
    </c:plotArea>
    <c:legend>
      <c:legendPos val="r"/>
      <c:layout>
        <c:manualLayout>
          <c:xMode val="edge"/>
          <c:yMode val="edge"/>
          <c:x val="0.329875"/>
          <c:y val="0.881833333333333"/>
          <c:w val="0.3065"/>
          <c:h val="0.064333333333333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chart>
  <c:spPr>
    <a:solidFill>
      <a:sysClr val="window" lastClr="FFFFFF"/>
    </a:solidFill>
    <a:ln w="9525" cap="flat" cmpd="sng" algn="ctr">
      <a:solidFill>
        <a:schemeClr val="tx1">
          <a:lumMod val="15000"/>
          <a:lumOff val="85000"/>
        </a:schemeClr>
      </a:solidFill>
      <a:round/>
    </a:ln>
    <a:effectLst>
      <a:outerShdw blurRad="63500" dist="37357" dir="2700000" sx="0" sy="0" rotWithShape="0">
        <a:scrgbClr r="0" g="0" b="0"/>
      </a:outerShdw>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2018、2019年财政拨款支出情况</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2018年</c:v>
                </c:pt>
              </c:strCache>
            </c:strRef>
          </c:tx>
          <c:spPr>
            <a:solidFill>
              <a:schemeClr val="accent1"/>
            </a:solidFill>
            <a:ln>
              <a:noFill/>
            </a:ln>
            <a:effectLst/>
          </c:spPr>
          <c:invertIfNegative val="0"/>
          <c:dLbls>
            <c:delete val="1"/>
          </c:dLbls>
          <c:cat>
            <c:strRef>
              <c:f>Sheet1!$A$2:$A$9</c:f>
              <c:strCache>
                <c:ptCount val="8"/>
                <c:pt idx="0">
                  <c:v>妇幼保健机构</c:v>
                </c:pt>
                <c:pt idx="1">
                  <c:v>基本公共卫生服务</c:v>
                </c:pt>
                <c:pt idx="2">
                  <c:v>重大公共卫生专项</c:v>
                </c:pt>
                <c:pt idx="3">
                  <c:v>其他公共卫生支出</c:v>
                </c:pt>
                <c:pt idx="4">
                  <c:v>计划生育机构</c:v>
                </c:pt>
                <c:pt idx="5">
                  <c:v>计划生育服务</c:v>
                </c:pt>
                <c:pt idx="6">
                  <c:v>其他计划生育支出</c:v>
                </c:pt>
              </c:strCache>
            </c:strRef>
          </c:cat>
          <c:val>
            <c:numRef>
              <c:f>Sheet1!$B$2:$B$9</c:f>
              <c:numCache>
                <c:formatCode>General</c:formatCode>
                <c:ptCount val="8"/>
                <c:pt idx="0">
                  <c:v>271.5</c:v>
                </c:pt>
                <c:pt idx="1">
                  <c:v>15</c:v>
                </c:pt>
                <c:pt idx="2">
                  <c:v>142.57</c:v>
                </c:pt>
                <c:pt idx="3">
                  <c:v>9</c:v>
                </c:pt>
                <c:pt idx="4">
                  <c:v>77.18</c:v>
                </c:pt>
                <c:pt idx="5">
                  <c:v>75.6</c:v>
                </c:pt>
                <c:pt idx="6">
                  <c:v>110.45</c:v>
                </c:pt>
              </c:numCache>
            </c:numRef>
          </c:val>
        </c:ser>
        <c:ser>
          <c:idx val="1"/>
          <c:order val="1"/>
          <c:tx>
            <c:strRef>
              <c:f>Sheet1!$C$1</c:f>
              <c:strCache>
                <c:ptCount val="1"/>
                <c:pt idx="0">
                  <c:v>2019年</c:v>
                </c:pt>
              </c:strCache>
            </c:strRef>
          </c:tx>
          <c:spPr>
            <a:solidFill>
              <a:schemeClr val="accent2"/>
            </a:solidFill>
            <a:ln>
              <a:noFill/>
            </a:ln>
            <a:effectLst/>
          </c:spPr>
          <c:invertIfNegative val="0"/>
          <c:dLbls>
            <c:delete val="1"/>
          </c:dLbls>
          <c:cat>
            <c:strRef>
              <c:f>Sheet1!$A$2:$A$9</c:f>
              <c:strCache>
                <c:ptCount val="8"/>
                <c:pt idx="0">
                  <c:v>妇幼保健机构</c:v>
                </c:pt>
                <c:pt idx="1">
                  <c:v>基本公共卫生服务</c:v>
                </c:pt>
                <c:pt idx="2">
                  <c:v>重大公共卫生专项</c:v>
                </c:pt>
                <c:pt idx="3">
                  <c:v>其他公共卫生支出</c:v>
                </c:pt>
                <c:pt idx="4">
                  <c:v>计划生育机构</c:v>
                </c:pt>
                <c:pt idx="5">
                  <c:v>计划生育服务</c:v>
                </c:pt>
                <c:pt idx="6">
                  <c:v>其他计划生育支出</c:v>
                </c:pt>
              </c:strCache>
            </c:strRef>
          </c:cat>
          <c:val>
            <c:numRef>
              <c:f>Sheet1!$C$2:$C$9</c:f>
              <c:numCache>
                <c:formatCode>General</c:formatCode>
                <c:ptCount val="8"/>
                <c:pt idx="0">
                  <c:v>370.77</c:v>
                </c:pt>
                <c:pt idx="1">
                  <c:v>46.2</c:v>
                </c:pt>
                <c:pt idx="2">
                  <c:v>218.12</c:v>
                </c:pt>
                <c:pt idx="3">
                  <c:v>129</c:v>
                </c:pt>
                <c:pt idx="4">
                  <c:v>8.47</c:v>
                </c:pt>
                <c:pt idx="5">
                  <c:v>28.5</c:v>
                </c:pt>
                <c:pt idx="6">
                  <c:v>25.9</c:v>
                </c:pt>
              </c:numCache>
            </c:numRef>
          </c:val>
        </c:ser>
        <c:dLbls>
          <c:showLegendKey val="0"/>
          <c:showVal val="0"/>
          <c:showCatName val="0"/>
          <c:showSerName val="0"/>
          <c:showPercent val="0"/>
          <c:showBubbleSize val="0"/>
        </c:dLbls>
        <c:gapWidth val="75"/>
        <c:overlap val="-25"/>
        <c:axId val="774050810"/>
        <c:axId val="195739830"/>
      </c:barChart>
      <c:catAx>
        <c:axId val="774050810"/>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5739830"/>
        <c:crosses val="autoZero"/>
        <c:auto val="1"/>
        <c:lblAlgn val="ctr"/>
        <c:lblOffset val="100"/>
        <c:noMultiLvlLbl val="0"/>
      </c:catAx>
      <c:valAx>
        <c:axId val="19573983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7405081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defTabSz="914400">
              <a:defRPr lang="zh-CN" sz="1400" b="0" i="0" u="none" strike="noStrike" kern="1200" spc="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一般公共预算财政拨款支出情况 </a:t>
            </a:r>
          </a:p>
          <a:p>
            <a:pPr defTabSz="914400">
              <a:defRPr lang="zh-CN" sz="1400" b="0" i="0" u="none" strike="noStrike" kern="1200" spc="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sz="1050"/>
              <a:t>                                    单位：万元</a:t>
            </a:r>
            <a:endParaRPr sz="1050"/>
          </a:p>
        </c:rich>
      </c:tx>
      <c:layout>
        <c:manualLayout>
          <c:xMode val="edge"/>
          <c:yMode val="edge"/>
          <c:x val="0.197003685306842"/>
          <c:y val="0.0380771061399334"/>
        </c:manualLayout>
      </c:layout>
      <c:overlay val="0"/>
      <c:spPr>
        <a:noFill/>
        <a:ln>
          <a:noFill/>
        </a:ln>
        <a:effectLst/>
      </c:spPr>
    </c:title>
    <c:autoTitleDeleted val="0"/>
    <c:plotArea>
      <c:layout>
        <c:manualLayout>
          <c:layoutTarget val="inner"/>
          <c:xMode val="edge"/>
          <c:yMode val="edge"/>
          <c:x val="0.103320019223641"/>
          <c:y val="0.248706507833349"/>
          <c:w val="0.846175"/>
          <c:h val="0.619816666666667"/>
        </c:manualLayout>
      </c:layout>
      <c:barChart>
        <c:barDir val="col"/>
        <c:grouping val="clustered"/>
        <c:varyColors val="0"/>
        <c:ser>
          <c:idx val="0"/>
          <c:order val="0"/>
          <c:tx>
            <c:strRef>
              <c:f>Sheet1!$C$1</c:f>
              <c:strCache>
                <c:ptCount val="1"/>
                <c:pt idx="0">
                  <c:v>一般公共财政拨款</c:v>
                </c:pt>
              </c:strCache>
            </c:strRef>
          </c:tx>
          <c:spPr>
            <a:blipFill>
              <a:blip xmlns:r="http://schemas.openxmlformats.org/officeDocument/2006/relationships" r:embed="rId3"/>
              <a:stretch>
                <a:fillRect/>
              </a:stretch>
            </a:blip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2018年</c:v>
                </c:pt>
                <c:pt idx="1">
                  <c:v>2019年</c:v>
                </c:pt>
              </c:strCache>
            </c:strRef>
          </c:cat>
          <c:val>
            <c:numRef>
              <c:f>Sheet1!$C$2:$C$5</c:f>
              <c:numCache>
                <c:formatCode>General</c:formatCode>
                <c:ptCount val="4"/>
                <c:pt idx="0">
                  <c:v>766.3</c:v>
                </c:pt>
                <c:pt idx="1">
                  <c:v>872.9</c:v>
                </c:pt>
              </c:numCache>
            </c:numRef>
          </c:val>
        </c:ser>
        <c:dLbls>
          <c:showLegendKey val="0"/>
          <c:showVal val="1"/>
          <c:showCatName val="0"/>
          <c:showSerName val="0"/>
          <c:showPercent val="0"/>
          <c:showBubbleSize val="0"/>
        </c:dLbls>
        <c:gapWidth val="240"/>
        <c:overlap val="10"/>
        <c:axId val="964171637"/>
        <c:axId val="448821303"/>
      </c:barChart>
      <c:catAx>
        <c:axId val="964171637"/>
        <c:scaling>
          <c:orientation val="minMax"/>
        </c:scaling>
        <c:delete val="0"/>
        <c:axPos val="b"/>
        <c:numFmt formatCode="General" sourceLinked="0"/>
        <c:majorTickMark val="out"/>
        <c:minorTickMark val="none"/>
        <c:tickLblPos val="nextTo"/>
        <c:spPr>
          <a:noFill/>
          <a:ln w="9525" cap="flat" cmpd="sng" algn="ctr">
            <a:solidFill>
              <a:schemeClr val="bg1">
                <a:lumMod val="7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448821303"/>
        <c:crosses val="autoZero"/>
        <c:auto val="1"/>
        <c:lblAlgn val="ctr"/>
        <c:lblOffset val="100"/>
        <c:noMultiLvlLbl val="0"/>
      </c:catAx>
      <c:valAx>
        <c:axId val="44882130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solidFill>
              <a:schemeClr val="bg1">
                <a:lumMod val="75000"/>
              </a:schemeClr>
            </a:solidFill>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964171637"/>
        <c:crosses val="autoZero"/>
        <c:crossBetween val="between"/>
      </c:valAx>
      <c:spPr>
        <a:noFill/>
        <a:ln>
          <a:noFill/>
        </a:ln>
        <a:effectLst/>
      </c:spPr>
    </c:plotArea>
    <c:plotVisOnly val="1"/>
    <c:dispBlanksAs val="gap"/>
    <c:showDLblsOverMax val="0"/>
  </c:chart>
  <c:spPr>
    <a:solidFill>
      <a:sysClr val="window" lastClr="FFFFFF"/>
    </a:solidFill>
    <a:ln w="9525" cap="flat" cmpd="sng" algn="ctr">
      <a:solidFill>
        <a:schemeClr val="tx1">
          <a:lumMod val="15000"/>
          <a:lumOff val="85000"/>
        </a:schemeClr>
      </a:solidFill>
      <a:round/>
    </a:ln>
    <a:effectLst>
      <a:outerShdw blurRad="63500" dist="37357" dir="2700000" sx="0" sy="0" rotWithShape="0">
        <a:scrgbClr r="0" g="0" b="0"/>
      </a:outerShdw>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三公经费财政拨款支出情况</a:t>
            </a:r>
          </a:p>
          <a:p>
            <a:pPr defTabSz="914400">
              <a:defRPr lang="zh-CN" sz="1400" b="0" i="0" u="none" strike="noStrike" kern="1200" spc="0" baseline="0">
                <a:solidFill>
                  <a:schemeClr val="tx1">
                    <a:lumMod val="65000"/>
                    <a:lumOff val="35000"/>
                  </a:schemeClr>
                </a:solidFill>
                <a:latin typeface="+mn-lt"/>
                <a:ea typeface="+mn-ea"/>
                <a:cs typeface="+mn-cs"/>
              </a:defRPr>
            </a:pPr>
            <a:r>
              <a:t>               单位：万元</a:t>
            </a:r>
          </a:p>
        </c:rich>
      </c:tx>
      <c:layout/>
      <c:overlay val="0"/>
      <c:spPr>
        <a:noFill/>
        <a:ln>
          <a:noFill/>
        </a:ln>
        <a:effectLst/>
      </c:spPr>
    </c:title>
    <c:autoTitleDeleted val="0"/>
    <c:plotArea>
      <c:layout>
        <c:manualLayout>
          <c:layoutTarget val="inner"/>
          <c:xMode val="edge"/>
          <c:yMode val="edge"/>
          <c:x val="0.216995168881643"/>
          <c:y val="0.157255076330221"/>
          <c:w val="0.727879640333976"/>
          <c:h val="0.552601156069364"/>
        </c:manualLayout>
      </c:layout>
      <c:barChart>
        <c:barDir val="col"/>
        <c:grouping val="clustered"/>
        <c:varyColors val="0"/>
        <c:ser>
          <c:idx val="1"/>
          <c:order val="0"/>
          <c:tx>
            <c:strRef>
              <c:f>Sheet1!$C$1</c:f>
              <c:strCache>
                <c:ptCount val="1"/>
                <c:pt idx="0">
                  <c:v/>
                </c:pt>
              </c:strCache>
            </c:strRef>
          </c:tx>
          <c:spPr>
            <a:solidFill>
              <a:schemeClr val="accent2"/>
            </a:solidFill>
            <a:ln>
              <a:noFill/>
            </a:ln>
            <a:effectLst/>
          </c:spPr>
          <c:invertIfNegative val="0"/>
          <c:dLbls>
            <c:delete val="1"/>
          </c:dLbls>
          <c:cat>
            <c:strRef>
              <c:f>Sheet1!$A$2:$A$9</c:f>
              <c:strCache>
                <c:ptCount val="8"/>
                <c:pt idx="0">
                  <c:v>因公出国（境）支出</c:v>
                </c:pt>
                <c:pt idx="1">
                  <c:v>公务用车购置费用支出</c:v>
                </c:pt>
                <c:pt idx="2">
                  <c:v>公务用车运行维护费用支出</c:v>
                </c:pt>
                <c:pt idx="3">
                  <c:v>公务接待费支出</c:v>
                </c:pt>
              </c:strCache>
            </c:strRef>
          </c:cat>
          <c:val>
            <c:numRef>
              <c:f>Sheet1!$C$2:$C$9</c:f>
              <c:numCache>
                <c:formatCode>General</c:formatCode>
                <c:ptCount val="8"/>
                <c:pt idx="0">
                  <c:v>0</c:v>
                </c:pt>
                <c:pt idx="1">
                  <c:v>0</c:v>
                </c:pt>
                <c:pt idx="2">
                  <c:v>10.55</c:v>
                </c:pt>
                <c:pt idx="3">
                  <c:v>1.01</c:v>
                </c:pt>
              </c:numCache>
            </c:numRef>
          </c:val>
        </c:ser>
        <c:dLbls>
          <c:showLegendKey val="0"/>
          <c:showVal val="0"/>
          <c:showCatName val="0"/>
          <c:showSerName val="0"/>
          <c:showPercent val="0"/>
          <c:showBubbleSize val="0"/>
        </c:dLbls>
        <c:gapWidth val="75"/>
        <c:overlap val="-25"/>
        <c:axId val="774050810"/>
        <c:axId val="195739830"/>
      </c:barChart>
      <c:catAx>
        <c:axId val="774050810"/>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5739830"/>
        <c:crosses val="autoZero"/>
        <c:auto val="1"/>
        <c:lblAlgn val="ctr"/>
        <c:lblOffset val="100"/>
        <c:noMultiLvlLbl val="0"/>
      </c:catAx>
      <c:valAx>
        <c:axId val="19573983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7405081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88</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二师、妹。</cp:lastModifiedBy>
  <cp:lastPrinted>2020-10-27T01:34:00Z</cp:lastPrinted>
  <dcterms:modified xsi:type="dcterms:W3CDTF">2020-10-27T03:12:44Z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