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eastAsia" w:ascii="黑体" w:hAnsi="黑体" w:eastAsia="黑体"/>
          <w:color w:val="000000"/>
          <w:sz w:val="32"/>
          <w:szCs w:val="32"/>
        </w:rPr>
      </w:pPr>
      <w:r>
        <w:rPr>
          <w:rFonts w:hint="eastAsia" w:ascii="黑体" w:hAnsi="黑体" w:eastAsia="黑体"/>
          <w:color w:val="000000"/>
          <w:sz w:val="32"/>
          <w:szCs w:val="32"/>
        </w:rPr>
        <w:t>附件2</w:t>
      </w:r>
      <w:bookmarkStart w:id="0" w:name="_GoBack"/>
      <w:bookmarkEnd w:id="0"/>
    </w:p>
    <w:tbl>
      <w:tblPr>
        <w:tblStyle w:val="2"/>
        <w:tblW w:w="5000" w:type="pct"/>
        <w:tblInd w:w="0" w:type="dxa"/>
        <w:tblLayout w:type="autofit"/>
        <w:tblCellMar>
          <w:top w:w="0" w:type="dxa"/>
          <w:left w:w="108" w:type="dxa"/>
          <w:bottom w:w="0" w:type="dxa"/>
          <w:right w:w="108" w:type="dxa"/>
        </w:tblCellMar>
      </w:tblPr>
      <w:tblGrid>
        <w:gridCol w:w="1196"/>
        <w:gridCol w:w="1420"/>
        <w:gridCol w:w="10693"/>
        <w:gridCol w:w="788"/>
        <w:gridCol w:w="797"/>
      </w:tblGrid>
      <w:tr>
        <w:tblPrEx>
          <w:tblCellMar>
            <w:top w:w="0" w:type="dxa"/>
            <w:left w:w="108" w:type="dxa"/>
            <w:bottom w:w="0" w:type="dxa"/>
            <w:right w:w="108" w:type="dxa"/>
          </w:tblCellMar>
        </w:tblPrEx>
        <w:trPr>
          <w:trHeight w:val="682" w:hRule="atLeast"/>
        </w:trPr>
        <w:tc>
          <w:tcPr>
            <w:tcW w:w="5000" w:type="pct"/>
            <w:gridSpan w:val="5"/>
            <w:vMerge w:val="restart"/>
            <w:tcBorders>
              <w:top w:val="nil"/>
              <w:left w:val="nil"/>
              <w:bottom w:val="nil"/>
              <w:right w:val="nil"/>
            </w:tcBorders>
            <w:noWrap/>
            <w:vAlign w:val="center"/>
          </w:tcPr>
          <w:p>
            <w:pPr>
              <w:widowControl/>
              <w:spacing w:line="360" w:lineRule="exact"/>
              <w:jc w:val="center"/>
              <w:rPr>
                <w:rFonts w:hint="eastAsia" w:ascii="方正小标宋简体" w:hAnsi="宋体" w:eastAsia="方正小标宋简体" w:cs="宋体"/>
                <w:bCs/>
                <w:color w:val="000000"/>
                <w:kern w:val="0"/>
                <w:sz w:val="36"/>
                <w:szCs w:val="36"/>
              </w:rPr>
            </w:pPr>
            <w:r>
              <w:rPr>
                <w:rFonts w:hint="eastAsia" w:ascii="方正小标宋简体" w:hAnsi="宋体" w:eastAsia="方正小标宋简体" w:cs="宋体"/>
                <w:bCs/>
                <w:color w:val="000000"/>
                <w:kern w:val="0"/>
                <w:sz w:val="36"/>
                <w:szCs w:val="36"/>
              </w:rPr>
              <w:t>西安市民办幼儿园年检评估标准（试行）</w:t>
            </w:r>
          </w:p>
        </w:tc>
      </w:tr>
      <w:tr>
        <w:tblPrEx>
          <w:tblCellMar>
            <w:top w:w="0" w:type="dxa"/>
            <w:left w:w="108" w:type="dxa"/>
            <w:bottom w:w="0" w:type="dxa"/>
            <w:right w:w="108" w:type="dxa"/>
          </w:tblCellMar>
        </w:tblPrEx>
        <w:trPr>
          <w:trHeight w:val="571" w:hRule="atLeast"/>
        </w:trPr>
        <w:tc>
          <w:tcPr>
            <w:tcW w:w="5000" w:type="pct"/>
            <w:gridSpan w:val="5"/>
            <w:vMerge w:val="continue"/>
            <w:tcBorders>
              <w:top w:val="nil"/>
              <w:left w:val="nil"/>
              <w:bottom w:val="nil"/>
              <w:right w:val="nil"/>
            </w:tcBorders>
            <w:noWrap w:val="0"/>
            <w:vAlign w:val="center"/>
          </w:tcPr>
          <w:p>
            <w:pPr>
              <w:widowControl/>
              <w:spacing w:line="360" w:lineRule="exact"/>
              <w:jc w:val="left"/>
              <w:rPr>
                <w:rFonts w:ascii="宋体" w:hAnsi="宋体" w:cs="宋体"/>
                <w:b/>
                <w:bCs/>
                <w:color w:val="000000"/>
                <w:kern w:val="0"/>
                <w:sz w:val="44"/>
                <w:szCs w:val="44"/>
              </w:rPr>
            </w:pPr>
          </w:p>
        </w:tc>
      </w:tr>
      <w:tr>
        <w:tblPrEx>
          <w:tblCellMar>
            <w:top w:w="0" w:type="dxa"/>
            <w:left w:w="108" w:type="dxa"/>
            <w:bottom w:w="0" w:type="dxa"/>
            <w:right w:w="108" w:type="dxa"/>
          </w:tblCellMar>
        </w:tblPrEx>
        <w:trPr>
          <w:trHeight w:val="525" w:hRule="atLeast"/>
        </w:trPr>
        <w:tc>
          <w:tcPr>
            <w:tcW w:w="862" w:type="pct"/>
            <w:gridSpan w:val="2"/>
            <w:tcBorders>
              <w:top w:val="nil"/>
              <w:left w:val="nil"/>
              <w:bottom w:val="single" w:color="auto" w:sz="4" w:space="0"/>
              <w:right w:val="nil"/>
            </w:tcBorders>
            <w:noWrap/>
            <w:vAlign w:val="center"/>
          </w:tcPr>
          <w:p>
            <w:pPr>
              <w:widowControl/>
              <w:spacing w:line="400" w:lineRule="exact"/>
              <w:jc w:val="center"/>
              <w:rPr>
                <w:rFonts w:ascii="宋体" w:hAnsi="宋体" w:cs="宋体"/>
                <w:color w:val="000000"/>
                <w:kern w:val="0"/>
                <w:sz w:val="24"/>
              </w:rPr>
            </w:pPr>
            <w:r>
              <w:rPr>
                <w:rFonts w:hint="eastAsia" w:ascii="宋体" w:hAnsi="宋体" w:cs="宋体"/>
                <w:color w:val="000000"/>
                <w:kern w:val="0"/>
                <w:sz w:val="24"/>
              </w:rPr>
              <w:t>幼儿园名称（盖章）：</w:t>
            </w:r>
          </w:p>
        </w:tc>
        <w:tc>
          <w:tcPr>
            <w:tcW w:w="4137" w:type="pct"/>
            <w:gridSpan w:val="3"/>
            <w:tcBorders>
              <w:top w:val="nil"/>
              <w:left w:val="nil"/>
              <w:bottom w:val="single" w:color="auto" w:sz="4" w:space="0"/>
              <w:right w:val="nil"/>
            </w:tcBorders>
            <w:noWrap/>
            <w:vAlign w:val="center"/>
          </w:tcPr>
          <w:p>
            <w:pPr>
              <w:widowControl/>
              <w:spacing w:line="360" w:lineRule="exact"/>
              <w:jc w:val="center"/>
              <w:rPr>
                <w:rFonts w:ascii="宋体" w:hAnsi="宋体" w:cs="宋体"/>
                <w:color w:val="000000"/>
                <w:kern w:val="0"/>
                <w:sz w:val="24"/>
              </w:rPr>
            </w:pPr>
            <w:r>
              <w:rPr>
                <w:rFonts w:hint="eastAsia" w:ascii="宋体" w:hAnsi="宋体" w:cs="宋体"/>
                <w:color w:val="000000"/>
                <w:kern w:val="0"/>
                <w:sz w:val="24"/>
              </w:rPr>
              <w:t xml:space="preserve">                                              评估日期：   年   月   日</w:t>
            </w:r>
          </w:p>
        </w:tc>
      </w:tr>
      <w:tr>
        <w:tblPrEx>
          <w:tblCellMar>
            <w:top w:w="0" w:type="dxa"/>
            <w:left w:w="108" w:type="dxa"/>
            <w:bottom w:w="0" w:type="dxa"/>
            <w:right w:w="108" w:type="dxa"/>
          </w:tblCellMar>
        </w:tblPrEx>
        <w:trPr>
          <w:trHeight w:val="511" w:hRule="atLeast"/>
        </w:trPr>
        <w:tc>
          <w:tcPr>
            <w:tcW w:w="394" w:type="pct"/>
            <w:tcBorders>
              <w:top w:val="nil"/>
              <w:left w:val="single" w:color="auto" w:sz="4" w:space="0"/>
              <w:bottom w:val="single" w:color="auto" w:sz="4" w:space="0"/>
              <w:right w:val="single" w:color="auto" w:sz="4" w:space="0"/>
            </w:tcBorders>
            <w:noWrap w:val="0"/>
            <w:vAlign w:val="center"/>
          </w:tcPr>
          <w:p>
            <w:pPr>
              <w:widowControl/>
              <w:spacing w:line="340" w:lineRule="exact"/>
              <w:jc w:val="center"/>
              <w:rPr>
                <w:rFonts w:ascii="宋体" w:hAnsi="宋体" w:cs="宋体"/>
                <w:b/>
                <w:bCs/>
                <w:color w:val="000000"/>
                <w:kern w:val="0"/>
                <w:sz w:val="24"/>
              </w:rPr>
            </w:pPr>
            <w:r>
              <w:rPr>
                <w:rFonts w:hint="eastAsia" w:ascii="宋体" w:hAnsi="宋体" w:cs="宋体"/>
                <w:b/>
                <w:bCs/>
                <w:color w:val="000000"/>
                <w:kern w:val="0"/>
                <w:sz w:val="24"/>
              </w:rPr>
              <w:t>A级指标</w:t>
            </w:r>
          </w:p>
        </w:tc>
        <w:tc>
          <w:tcPr>
            <w:tcW w:w="468" w:type="pct"/>
            <w:tcBorders>
              <w:top w:val="nil"/>
              <w:left w:val="nil"/>
              <w:bottom w:val="single" w:color="auto" w:sz="4" w:space="0"/>
              <w:right w:val="single" w:color="auto" w:sz="4" w:space="0"/>
            </w:tcBorders>
            <w:noWrap w:val="0"/>
            <w:vAlign w:val="center"/>
          </w:tcPr>
          <w:p>
            <w:pPr>
              <w:widowControl/>
              <w:spacing w:line="340" w:lineRule="exact"/>
              <w:jc w:val="center"/>
              <w:rPr>
                <w:rFonts w:ascii="宋体" w:hAnsi="宋体" w:cs="宋体"/>
                <w:b/>
                <w:bCs/>
                <w:color w:val="000000"/>
                <w:kern w:val="0"/>
                <w:sz w:val="24"/>
              </w:rPr>
            </w:pPr>
            <w:r>
              <w:rPr>
                <w:rFonts w:hint="eastAsia" w:ascii="宋体" w:hAnsi="宋体" w:cs="宋体"/>
                <w:b/>
                <w:bCs/>
                <w:color w:val="000000"/>
                <w:kern w:val="0"/>
                <w:sz w:val="24"/>
              </w:rPr>
              <w:t>B级指标</w:t>
            </w:r>
          </w:p>
        </w:tc>
        <w:tc>
          <w:tcPr>
            <w:tcW w:w="3595" w:type="pct"/>
            <w:tcBorders>
              <w:top w:val="nil"/>
              <w:left w:val="nil"/>
              <w:bottom w:val="single" w:color="auto" w:sz="4" w:space="0"/>
              <w:right w:val="single" w:color="auto" w:sz="4" w:space="0"/>
            </w:tcBorders>
            <w:noWrap w:val="0"/>
            <w:vAlign w:val="center"/>
          </w:tcPr>
          <w:p>
            <w:pPr>
              <w:widowControl/>
              <w:spacing w:line="340" w:lineRule="exact"/>
              <w:jc w:val="center"/>
              <w:rPr>
                <w:rFonts w:ascii="宋体" w:hAnsi="宋体" w:cs="宋体"/>
                <w:b/>
                <w:bCs/>
                <w:color w:val="000000"/>
                <w:kern w:val="0"/>
                <w:sz w:val="24"/>
              </w:rPr>
            </w:pPr>
            <w:r>
              <w:rPr>
                <w:rFonts w:hint="eastAsia" w:ascii="宋体" w:hAnsi="宋体" w:cs="宋体"/>
                <w:b/>
                <w:bCs/>
                <w:color w:val="000000"/>
                <w:kern w:val="0"/>
                <w:sz w:val="24"/>
              </w:rPr>
              <w:t>评估内容及要求</w:t>
            </w:r>
          </w:p>
        </w:tc>
        <w:tc>
          <w:tcPr>
            <w:tcW w:w="270"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b/>
                <w:bCs/>
                <w:color w:val="000000"/>
                <w:kern w:val="0"/>
                <w:sz w:val="24"/>
              </w:rPr>
            </w:pPr>
            <w:r>
              <w:rPr>
                <w:rFonts w:hint="eastAsia" w:ascii="宋体" w:hAnsi="宋体" w:cs="宋体"/>
                <w:b/>
                <w:bCs/>
                <w:color w:val="000000"/>
                <w:kern w:val="0"/>
                <w:sz w:val="24"/>
              </w:rPr>
              <w:t>参考分值</w:t>
            </w:r>
          </w:p>
        </w:tc>
        <w:tc>
          <w:tcPr>
            <w:tcW w:w="271"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b/>
                <w:bCs/>
                <w:color w:val="000000"/>
                <w:kern w:val="0"/>
                <w:sz w:val="24"/>
              </w:rPr>
            </w:pPr>
            <w:r>
              <w:rPr>
                <w:rFonts w:hint="eastAsia" w:ascii="宋体" w:hAnsi="宋体" w:cs="宋体"/>
                <w:b/>
                <w:bCs/>
                <w:color w:val="000000"/>
                <w:kern w:val="0"/>
                <w:sz w:val="24"/>
              </w:rPr>
              <w:t>评估分值</w:t>
            </w:r>
          </w:p>
        </w:tc>
      </w:tr>
      <w:tr>
        <w:tblPrEx>
          <w:tblCellMar>
            <w:top w:w="0" w:type="dxa"/>
            <w:left w:w="108" w:type="dxa"/>
            <w:bottom w:w="0" w:type="dxa"/>
            <w:right w:w="108" w:type="dxa"/>
          </w:tblCellMar>
        </w:tblPrEx>
        <w:trPr>
          <w:trHeight w:val="604" w:hRule="atLeast"/>
        </w:trPr>
        <w:tc>
          <w:tcPr>
            <w:tcW w:w="394" w:type="pct"/>
            <w:vMerge w:val="restart"/>
            <w:tcBorders>
              <w:top w:val="nil"/>
              <w:left w:val="single" w:color="auto" w:sz="4" w:space="0"/>
              <w:bottom w:val="single" w:color="auto" w:sz="4" w:space="0"/>
              <w:right w:val="single" w:color="auto" w:sz="4" w:space="0"/>
            </w:tcBorders>
            <w:noWrap w:val="0"/>
            <w:vAlign w:val="center"/>
          </w:tcPr>
          <w:p>
            <w:pPr>
              <w:widowControl/>
              <w:spacing w:line="340" w:lineRule="exact"/>
              <w:jc w:val="center"/>
              <w:rPr>
                <w:rFonts w:ascii="宋体" w:hAnsi="宋体" w:cs="宋体"/>
                <w:b/>
                <w:bCs/>
                <w:color w:val="000000"/>
                <w:kern w:val="0"/>
                <w:szCs w:val="21"/>
              </w:rPr>
            </w:pPr>
            <w:r>
              <w:rPr>
                <w:rFonts w:hint="eastAsia" w:ascii="宋体" w:hAnsi="宋体" w:cs="宋体"/>
                <w:b/>
                <w:bCs/>
                <w:color w:val="000000"/>
                <w:kern w:val="0"/>
                <w:szCs w:val="21"/>
              </w:rPr>
              <w:t>A1党团建设（6分）</w:t>
            </w:r>
          </w:p>
        </w:tc>
        <w:tc>
          <w:tcPr>
            <w:tcW w:w="468" w:type="pct"/>
            <w:tcBorders>
              <w:top w:val="nil"/>
              <w:left w:val="nil"/>
              <w:bottom w:val="single" w:color="auto" w:sz="4" w:space="0"/>
              <w:right w:val="single" w:color="auto" w:sz="4" w:space="0"/>
            </w:tcBorders>
            <w:noWrap w:val="0"/>
            <w:vAlign w:val="center"/>
          </w:tcPr>
          <w:p>
            <w:pPr>
              <w:widowControl/>
              <w:spacing w:line="340" w:lineRule="exact"/>
              <w:jc w:val="left"/>
              <w:rPr>
                <w:rFonts w:ascii="宋体" w:hAnsi="宋体" w:cs="宋体"/>
                <w:color w:val="000000"/>
                <w:kern w:val="0"/>
                <w:szCs w:val="21"/>
              </w:rPr>
            </w:pPr>
            <w:r>
              <w:rPr>
                <w:rFonts w:hint="eastAsia" w:ascii="宋体" w:hAnsi="宋体" w:cs="宋体"/>
                <w:color w:val="000000"/>
                <w:kern w:val="0"/>
                <w:szCs w:val="21"/>
              </w:rPr>
              <w:t>B1组建情况        （3分）</w:t>
            </w:r>
          </w:p>
        </w:tc>
        <w:tc>
          <w:tcPr>
            <w:tcW w:w="3595" w:type="pct"/>
            <w:tcBorders>
              <w:top w:val="nil"/>
              <w:left w:val="nil"/>
              <w:bottom w:val="single" w:color="auto" w:sz="4" w:space="0"/>
              <w:right w:val="single" w:color="auto" w:sz="4" w:space="0"/>
            </w:tcBorders>
            <w:noWrap w:val="0"/>
            <w:vAlign w:val="center"/>
          </w:tcPr>
          <w:p>
            <w:pPr>
              <w:widowControl/>
              <w:spacing w:line="340" w:lineRule="exact"/>
              <w:jc w:val="left"/>
              <w:rPr>
                <w:rFonts w:ascii="宋体" w:hAnsi="宋体" w:cs="宋体"/>
                <w:color w:val="000000"/>
                <w:kern w:val="0"/>
                <w:szCs w:val="21"/>
              </w:rPr>
            </w:pPr>
            <w:r>
              <w:rPr>
                <w:rFonts w:hint="eastAsia" w:ascii="宋体" w:hAnsi="宋体" w:cs="宋体"/>
                <w:color w:val="000000"/>
                <w:kern w:val="0"/>
                <w:szCs w:val="21"/>
              </w:rPr>
              <w:t>C1、经上级党组织批准，设立党组织，并按期进行换届。党员人数3人以上，设立党支部；正式党员人数不足3人的，通过就近就便联合或挂靠其他学校等形式组建党组织。暂时没有党员的学校，由县（市、区）教育行政部门党组织选派党建指导员，也可通过调剂、聘任党员教师等，建立党组织。</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35"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340" w:lineRule="exact"/>
              <w:jc w:val="left"/>
              <w:rPr>
                <w:rFonts w:ascii="宋体" w:hAnsi="宋体" w:cs="宋体"/>
                <w:b/>
                <w:bCs/>
                <w:color w:val="000000"/>
                <w:kern w:val="0"/>
                <w:szCs w:val="21"/>
              </w:rPr>
            </w:pPr>
          </w:p>
        </w:tc>
        <w:tc>
          <w:tcPr>
            <w:tcW w:w="468" w:type="pct"/>
            <w:tcBorders>
              <w:top w:val="nil"/>
              <w:left w:val="nil"/>
              <w:bottom w:val="single" w:color="auto" w:sz="4" w:space="0"/>
              <w:right w:val="single" w:color="auto" w:sz="4" w:space="0"/>
            </w:tcBorders>
            <w:noWrap w:val="0"/>
            <w:vAlign w:val="center"/>
          </w:tcPr>
          <w:p>
            <w:pPr>
              <w:widowControl/>
              <w:spacing w:line="340" w:lineRule="exact"/>
              <w:jc w:val="center"/>
              <w:rPr>
                <w:rFonts w:ascii="宋体" w:hAnsi="宋体" w:cs="宋体"/>
                <w:color w:val="000000"/>
                <w:kern w:val="0"/>
                <w:szCs w:val="21"/>
              </w:rPr>
            </w:pPr>
            <w:r>
              <w:rPr>
                <w:rFonts w:hint="eastAsia" w:ascii="宋体" w:hAnsi="宋体" w:cs="宋体"/>
                <w:color w:val="000000"/>
                <w:kern w:val="0"/>
                <w:szCs w:val="21"/>
              </w:rPr>
              <w:t>B2作用发挥（3分）</w:t>
            </w:r>
          </w:p>
        </w:tc>
        <w:tc>
          <w:tcPr>
            <w:tcW w:w="3595" w:type="pct"/>
            <w:tcBorders>
              <w:top w:val="nil"/>
              <w:left w:val="nil"/>
              <w:bottom w:val="single" w:color="auto" w:sz="4" w:space="0"/>
              <w:right w:val="single" w:color="auto" w:sz="4" w:space="0"/>
            </w:tcBorders>
            <w:noWrap w:val="0"/>
            <w:vAlign w:val="center"/>
          </w:tcPr>
          <w:p>
            <w:pPr>
              <w:widowControl/>
              <w:spacing w:line="340" w:lineRule="exact"/>
              <w:jc w:val="left"/>
              <w:rPr>
                <w:rFonts w:ascii="宋体" w:hAnsi="宋体" w:cs="宋体"/>
                <w:color w:val="000000"/>
                <w:kern w:val="0"/>
                <w:szCs w:val="21"/>
              </w:rPr>
            </w:pPr>
            <w:r>
              <w:rPr>
                <w:rFonts w:hint="eastAsia" w:ascii="宋体" w:hAnsi="宋体" w:cs="宋体"/>
                <w:color w:val="000000"/>
                <w:kern w:val="0"/>
                <w:szCs w:val="21"/>
              </w:rPr>
              <w:t>C2、党组织充分发挥政治核心作用，牢牢把握社会主义办学方向，健全党组织参与决策和监督机制；积极做好党员发展、教育、管理和服务等工作；坚持党建带群建，加强民办学校共青团组织建设。</w:t>
            </w:r>
          </w:p>
        </w:tc>
        <w:tc>
          <w:tcPr>
            <w:tcW w:w="270" w:type="pct"/>
            <w:tcBorders>
              <w:top w:val="nil"/>
              <w:left w:val="nil"/>
              <w:bottom w:val="single" w:color="auto" w:sz="4" w:space="0"/>
              <w:right w:val="single" w:color="auto" w:sz="4" w:space="0"/>
            </w:tcBorders>
            <w:noWrap/>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488" w:hRule="atLeast"/>
        </w:trPr>
        <w:tc>
          <w:tcPr>
            <w:tcW w:w="394" w:type="pct"/>
            <w:vMerge w:val="restart"/>
            <w:tcBorders>
              <w:top w:val="nil"/>
              <w:left w:val="single" w:color="auto" w:sz="4" w:space="0"/>
              <w:bottom w:val="single" w:color="auto" w:sz="4" w:space="0"/>
              <w:right w:val="single" w:color="auto" w:sz="4" w:space="0"/>
            </w:tcBorders>
            <w:noWrap w:val="0"/>
            <w:vAlign w:val="center"/>
          </w:tcPr>
          <w:p>
            <w:pPr>
              <w:widowControl/>
              <w:spacing w:line="340" w:lineRule="exact"/>
              <w:jc w:val="center"/>
              <w:rPr>
                <w:rFonts w:ascii="宋体" w:hAnsi="宋体" w:cs="宋体"/>
                <w:b/>
                <w:bCs/>
                <w:color w:val="000000"/>
                <w:kern w:val="0"/>
                <w:szCs w:val="21"/>
              </w:rPr>
            </w:pPr>
            <w:r>
              <w:rPr>
                <w:rFonts w:hint="eastAsia" w:ascii="宋体" w:hAnsi="宋体" w:cs="宋体"/>
                <w:b/>
                <w:bCs/>
                <w:color w:val="000000"/>
                <w:kern w:val="0"/>
                <w:szCs w:val="21"/>
              </w:rPr>
              <w:t>A2依法办学（20分）</w:t>
            </w:r>
          </w:p>
        </w:tc>
        <w:tc>
          <w:tcPr>
            <w:tcW w:w="468" w:type="pct"/>
            <w:vMerge w:val="restart"/>
            <w:tcBorders>
              <w:top w:val="nil"/>
              <w:left w:val="single" w:color="auto" w:sz="4" w:space="0"/>
              <w:bottom w:val="single" w:color="auto" w:sz="4" w:space="0"/>
              <w:right w:val="single" w:color="auto" w:sz="4" w:space="0"/>
            </w:tcBorders>
            <w:noWrap w:val="0"/>
            <w:vAlign w:val="center"/>
          </w:tcPr>
          <w:p>
            <w:pPr>
              <w:widowControl/>
              <w:spacing w:line="340" w:lineRule="exact"/>
              <w:jc w:val="center"/>
              <w:rPr>
                <w:rFonts w:ascii="宋体" w:hAnsi="宋体" w:cs="宋体"/>
                <w:color w:val="000000"/>
                <w:kern w:val="0"/>
                <w:szCs w:val="21"/>
              </w:rPr>
            </w:pPr>
            <w:r>
              <w:rPr>
                <w:rFonts w:hint="eastAsia" w:ascii="宋体" w:hAnsi="宋体" w:cs="宋体"/>
                <w:color w:val="000000"/>
                <w:kern w:val="0"/>
                <w:szCs w:val="21"/>
              </w:rPr>
              <w:t>B3办学思想（7分）</w:t>
            </w:r>
          </w:p>
        </w:tc>
        <w:tc>
          <w:tcPr>
            <w:tcW w:w="3595" w:type="pct"/>
            <w:tcBorders>
              <w:top w:val="nil"/>
              <w:left w:val="nil"/>
              <w:bottom w:val="single" w:color="auto" w:sz="4" w:space="0"/>
              <w:right w:val="single" w:color="auto" w:sz="4" w:space="0"/>
            </w:tcBorders>
            <w:noWrap w:val="0"/>
            <w:vAlign w:val="center"/>
          </w:tcPr>
          <w:p>
            <w:pPr>
              <w:widowControl/>
              <w:spacing w:line="340" w:lineRule="exact"/>
              <w:jc w:val="left"/>
              <w:rPr>
                <w:rFonts w:ascii="宋体" w:hAnsi="宋体" w:cs="宋体"/>
                <w:color w:val="000000"/>
                <w:kern w:val="0"/>
                <w:szCs w:val="21"/>
              </w:rPr>
            </w:pPr>
            <w:r>
              <w:rPr>
                <w:rFonts w:hint="eastAsia" w:ascii="宋体" w:hAnsi="宋体" w:cs="宋体"/>
                <w:color w:val="000000"/>
                <w:kern w:val="0"/>
                <w:szCs w:val="21"/>
              </w:rPr>
              <w:t>C3、贯彻党的教育方针，坚持办学的公益性原则，学校未发生造成严重不良社会影响的政治类事件。</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353"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34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340" w:lineRule="exact"/>
              <w:jc w:val="left"/>
              <w:rPr>
                <w:rFonts w:ascii="宋体" w:hAnsi="宋体" w:cs="宋体"/>
                <w:color w:val="000000"/>
                <w:kern w:val="0"/>
                <w:szCs w:val="21"/>
              </w:rPr>
            </w:pPr>
          </w:p>
        </w:tc>
        <w:tc>
          <w:tcPr>
            <w:tcW w:w="3595"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C4、幼儿园应当持证办学，学校《章程》、印章应报审批机关备案。具有合法有效的《民办非企业单位登记证》或《企业法人营业执照》等法人证书。</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02"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34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340" w:lineRule="exact"/>
              <w:jc w:val="left"/>
              <w:rPr>
                <w:rFonts w:ascii="宋体" w:hAnsi="宋体" w:cs="宋体"/>
                <w:color w:val="000000"/>
                <w:kern w:val="0"/>
                <w:szCs w:val="21"/>
              </w:rPr>
            </w:pPr>
          </w:p>
        </w:tc>
        <w:tc>
          <w:tcPr>
            <w:tcW w:w="3595" w:type="pct"/>
            <w:tcBorders>
              <w:top w:val="nil"/>
              <w:left w:val="nil"/>
              <w:bottom w:val="single" w:color="auto" w:sz="4" w:space="0"/>
              <w:right w:val="single" w:color="auto" w:sz="4" w:space="0"/>
            </w:tcBorders>
            <w:noWrap w:val="0"/>
            <w:vAlign w:val="center"/>
          </w:tcPr>
          <w:p>
            <w:pPr>
              <w:widowControl/>
              <w:spacing w:line="340" w:lineRule="exact"/>
              <w:jc w:val="left"/>
              <w:rPr>
                <w:rFonts w:ascii="宋体" w:hAnsi="宋体" w:cs="宋体"/>
                <w:color w:val="000000"/>
                <w:kern w:val="0"/>
                <w:szCs w:val="21"/>
              </w:rPr>
            </w:pPr>
            <w:r>
              <w:rPr>
                <w:rFonts w:hint="eastAsia" w:ascii="宋体" w:hAnsi="宋体" w:cs="宋体"/>
                <w:color w:val="000000"/>
                <w:kern w:val="0"/>
                <w:szCs w:val="21"/>
              </w:rPr>
              <w:t>C5、幼儿园的教学内容应当符合法律和法规的规定，不得举办宗教学校或变相宗教学校，不得利用宗教进行妨碍国家教育制度的活动。</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15"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340" w:lineRule="exact"/>
              <w:jc w:val="left"/>
              <w:rPr>
                <w:rFonts w:ascii="宋体" w:hAnsi="宋体" w:cs="宋体"/>
                <w:b/>
                <w:bCs/>
                <w:color w:val="000000"/>
                <w:kern w:val="0"/>
                <w:szCs w:val="21"/>
              </w:rPr>
            </w:pPr>
          </w:p>
        </w:tc>
        <w:tc>
          <w:tcPr>
            <w:tcW w:w="468" w:type="pct"/>
            <w:vMerge w:val="restart"/>
            <w:tcBorders>
              <w:top w:val="nil"/>
              <w:left w:val="single" w:color="auto" w:sz="4" w:space="0"/>
              <w:bottom w:val="single" w:color="auto" w:sz="4" w:space="0"/>
              <w:right w:val="single" w:color="auto" w:sz="4" w:space="0"/>
            </w:tcBorders>
            <w:noWrap w:val="0"/>
            <w:vAlign w:val="center"/>
          </w:tcPr>
          <w:p>
            <w:pPr>
              <w:widowControl/>
              <w:spacing w:line="340" w:lineRule="exact"/>
              <w:jc w:val="center"/>
              <w:rPr>
                <w:rFonts w:ascii="宋体" w:hAnsi="宋体" w:cs="宋体"/>
                <w:color w:val="000000"/>
                <w:kern w:val="0"/>
                <w:szCs w:val="21"/>
              </w:rPr>
            </w:pPr>
            <w:r>
              <w:rPr>
                <w:rFonts w:hint="eastAsia" w:ascii="宋体" w:hAnsi="宋体" w:cs="宋体"/>
                <w:color w:val="000000"/>
                <w:kern w:val="0"/>
                <w:szCs w:val="21"/>
              </w:rPr>
              <w:t>B4办学行为（9分）</w:t>
            </w:r>
          </w:p>
        </w:tc>
        <w:tc>
          <w:tcPr>
            <w:tcW w:w="3595" w:type="pct"/>
            <w:tcBorders>
              <w:top w:val="nil"/>
              <w:left w:val="nil"/>
              <w:bottom w:val="single" w:color="auto" w:sz="4" w:space="0"/>
              <w:right w:val="single" w:color="auto" w:sz="4" w:space="0"/>
            </w:tcBorders>
            <w:noWrap w:val="0"/>
            <w:vAlign w:val="center"/>
          </w:tcPr>
          <w:p>
            <w:pPr>
              <w:widowControl/>
              <w:spacing w:line="340" w:lineRule="exact"/>
              <w:jc w:val="left"/>
              <w:rPr>
                <w:rFonts w:ascii="宋体" w:hAnsi="宋体" w:cs="宋体"/>
                <w:color w:val="000000"/>
                <w:kern w:val="0"/>
                <w:szCs w:val="21"/>
              </w:rPr>
            </w:pPr>
            <w:r>
              <w:rPr>
                <w:rFonts w:hint="eastAsia" w:ascii="宋体" w:hAnsi="宋体" w:cs="宋体"/>
                <w:color w:val="000000"/>
                <w:kern w:val="0"/>
                <w:szCs w:val="21"/>
              </w:rPr>
              <w:t>C6、按照审批机关批准的办学类型、层次、范围办学；未经批准，不得设立分支机构或变相设立分支机构，不得跨县市区办学或设立教学点。</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30"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34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340" w:lineRule="exact"/>
              <w:jc w:val="left"/>
              <w:rPr>
                <w:rFonts w:ascii="宋体" w:hAnsi="宋体" w:cs="宋体"/>
                <w:color w:val="000000"/>
                <w:kern w:val="0"/>
                <w:szCs w:val="21"/>
              </w:rPr>
            </w:pPr>
          </w:p>
        </w:tc>
        <w:tc>
          <w:tcPr>
            <w:tcW w:w="3595" w:type="pct"/>
            <w:tcBorders>
              <w:top w:val="nil"/>
              <w:left w:val="nil"/>
              <w:bottom w:val="single" w:color="auto" w:sz="4" w:space="0"/>
              <w:right w:val="single" w:color="auto" w:sz="4" w:space="0"/>
            </w:tcBorders>
            <w:noWrap w:val="0"/>
            <w:vAlign w:val="center"/>
          </w:tcPr>
          <w:p>
            <w:pPr>
              <w:widowControl/>
              <w:spacing w:line="340" w:lineRule="exact"/>
              <w:jc w:val="left"/>
              <w:rPr>
                <w:rFonts w:ascii="宋体" w:hAnsi="宋体" w:cs="宋体"/>
                <w:color w:val="000000"/>
                <w:kern w:val="0"/>
                <w:szCs w:val="21"/>
              </w:rPr>
            </w:pPr>
            <w:r>
              <w:rPr>
                <w:rFonts w:hint="eastAsia" w:ascii="宋体" w:hAnsi="宋体" w:cs="宋体"/>
                <w:color w:val="000000"/>
                <w:kern w:val="0"/>
                <w:szCs w:val="21"/>
              </w:rPr>
              <w:t>C7、服从教育行政部门的管理，学校没有因为违反规定给社会造成不良影响和因此而引发学生家长上访告状及法律纠纷案件。</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30"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34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340" w:lineRule="exact"/>
              <w:jc w:val="left"/>
              <w:rPr>
                <w:rFonts w:ascii="宋体" w:hAnsi="宋体" w:cs="宋体"/>
                <w:color w:val="000000"/>
                <w:kern w:val="0"/>
                <w:szCs w:val="21"/>
              </w:rPr>
            </w:pPr>
          </w:p>
        </w:tc>
        <w:tc>
          <w:tcPr>
            <w:tcW w:w="3595" w:type="pct"/>
            <w:tcBorders>
              <w:top w:val="single" w:color="auto" w:sz="4" w:space="0"/>
              <w:left w:val="nil"/>
              <w:bottom w:val="single" w:color="auto" w:sz="4" w:space="0"/>
              <w:right w:val="single" w:color="auto" w:sz="4" w:space="0"/>
            </w:tcBorders>
            <w:noWrap w:val="0"/>
            <w:vAlign w:val="center"/>
          </w:tcPr>
          <w:p>
            <w:pPr>
              <w:widowControl/>
              <w:spacing w:line="340" w:lineRule="exact"/>
              <w:jc w:val="left"/>
              <w:rPr>
                <w:rFonts w:ascii="宋体" w:hAnsi="宋体" w:cs="宋体"/>
                <w:color w:val="000000"/>
                <w:kern w:val="0"/>
                <w:szCs w:val="21"/>
              </w:rPr>
            </w:pPr>
            <w:r>
              <w:rPr>
                <w:rFonts w:hint="eastAsia" w:ascii="宋体" w:hAnsi="宋体" w:cs="宋体"/>
                <w:color w:val="000000"/>
                <w:kern w:val="0"/>
                <w:szCs w:val="21"/>
              </w:rPr>
              <w:t>C8、法人、园长或主要负责人、校名、校址、《章程》等重大事项的变更均经过教育行政部门的批准或到教育行政部门备案。</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1185"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34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340" w:lineRule="exact"/>
              <w:jc w:val="left"/>
              <w:rPr>
                <w:rFonts w:ascii="宋体" w:hAnsi="宋体" w:cs="宋体"/>
                <w:color w:val="000000"/>
                <w:kern w:val="0"/>
                <w:szCs w:val="21"/>
              </w:rPr>
            </w:pPr>
          </w:p>
        </w:tc>
        <w:tc>
          <w:tcPr>
            <w:tcW w:w="3595" w:type="pct"/>
            <w:tcBorders>
              <w:top w:val="single" w:color="auto" w:sz="4" w:space="0"/>
              <w:left w:val="nil"/>
              <w:bottom w:val="single" w:color="auto" w:sz="4" w:space="0"/>
              <w:right w:val="single" w:color="auto" w:sz="4" w:space="0"/>
            </w:tcBorders>
            <w:noWrap w:val="0"/>
            <w:vAlign w:val="center"/>
          </w:tcPr>
          <w:p>
            <w:pPr>
              <w:widowControl/>
              <w:spacing w:line="340" w:lineRule="exact"/>
              <w:jc w:val="left"/>
              <w:rPr>
                <w:rFonts w:ascii="宋体" w:hAnsi="宋体" w:cs="宋体"/>
                <w:color w:val="000000"/>
                <w:kern w:val="0"/>
                <w:szCs w:val="21"/>
              </w:rPr>
            </w:pPr>
            <w:r>
              <w:rPr>
                <w:rFonts w:hint="eastAsia" w:ascii="宋体" w:hAnsi="宋体" w:cs="宋体"/>
                <w:color w:val="000000"/>
                <w:kern w:val="0"/>
                <w:szCs w:val="21"/>
              </w:rPr>
              <w:t>C9、幼儿园刊登、张贴、发布招生广告和招生简章，必须按照规定报教育行政部门审核备案。民办学校招生宣传内容必须真实、准确，不得夸大其词，不得作带有欺骗性、诱惑性的失实宣传。广告用语应符合《广告法》等有关规定。不得在大众传播媒介以新闻报道形式发布广告， 招生广告（简章）内容一经审定，学校、广告经营单位等均不得擅自更改， 不得发布超过有效期的广告。</w:t>
            </w:r>
          </w:p>
        </w:tc>
        <w:tc>
          <w:tcPr>
            <w:tcW w:w="270" w:type="pct"/>
            <w:tcBorders>
              <w:top w:val="single" w:color="auto" w:sz="4" w:space="0"/>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single" w:color="auto" w:sz="4" w:space="0"/>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1260" w:hRule="atLeast"/>
        </w:trPr>
        <w:tc>
          <w:tcPr>
            <w:tcW w:w="394"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ascii="宋体" w:hAnsi="宋体" w:cs="宋体"/>
                <w:b/>
                <w:bCs/>
                <w:color w:val="000000"/>
                <w:kern w:val="0"/>
                <w:szCs w:val="21"/>
              </w:rPr>
            </w:pPr>
            <w:r>
              <w:rPr>
                <w:rFonts w:hint="eastAsia" w:ascii="宋体" w:hAnsi="宋体" w:cs="宋体"/>
                <w:b/>
                <w:bCs/>
                <w:color w:val="000000"/>
                <w:kern w:val="0"/>
                <w:szCs w:val="21"/>
              </w:rPr>
              <w:t>A2依法办学（20分）</w:t>
            </w:r>
          </w:p>
        </w:tc>
        <w:tc>
          <w:tcPr>
            <w:tcW w:w="468" w:type="pct"/>
            <w:tcBorders>
              <w:top w:val="single" w:color="auto" w:sz="4" w:space="0"/>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B5机构设置（2分）</w:t>
            </w:r>
          </w:p>
        </w:tc>
        <w:tc>
          <w:tcPr>
            <w:tcW w:w="3595" w:type="pct"/>
            <w:tcBorders>
              <w:top w:val="single" w:color="auto" w:sz="4" w:space="0"/>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C10、应当设立学校理事会、董事会或者其他形式的决策机构；园长必须达到国家规定的任职条件，具有高尚的道德品质和 5 年以上的教育教学经验；建立健全团组织和少先队组织，充实包括辅导员、班主任在内党团干部队伍和思想政治工作队伍；规模较大、教职工较多的学校应建立教职工工会组织；应当建立行政管理、教育教学和独立设置的安全保卫、财务机构。</w:t>
            </w:r>
          </w:p>
        </w:tc>
        <w:tc>
          <w:tcPr>
            <w:tcW w:w="270" w:type="pct"/>
            <w:tcBorders>
              <w:top w:val="single" w:color="auto" w:sz="4" w:space="0"/>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single" w:color="auto" w:sz="4" w:space="0"/>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65"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b/>
                <w:bCs/>
                <w:color w:val="000000"/>
                <w:kern w:val="0"/>
                <w:szCs w:val="21"/>
              </w:rPr>
            </w:pPr>
          </w:p>
        </w:tc>
        <w:tc>
          <w:tcPr>
            <w:tcW w:w="468"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B6建章立制（2分）</w:t>
            </w:r>
          </w:p>
        </w:tc>
        <w:tc>
          <w:tcPr>
            <w:tcW w:w="3595"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C11、各项规章制度健全，并能严格执行；对制度执行情况认真检查、考核，奖惩落实，效果好。</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1129" w:hRule="atLeast"/>
        </w:trPr>
        <w:tc>
          <w:tcPr>
            <w:tcW w:w="394" w:type="pct"/>
            <w:vMerge w:val="restart"/>
            <w:tcBorders>
              <w:top w:val="nil"/>
              <w:left w:val="single" w:color="auto" w:sz="4" w:space="0"/>
              <w:bottom w:val="single" w:color="auto" w:sz="4" w:space="0"/>
              <w:right w:val="single" w:color="auto" w:sz="4" w:space="0"/>
            </w:tcBorders>
            <w:noWrap w:val="0"/>
            <w:vAlign w:val="center"/>
          </w:tcPr>
          <w:p>
            <w:pPr>
              <w:widowControl/>
              <w:spacing w:line="400" w:lineRule="exact"/>
              <w:jc w:val="center"/>
              <w:rPr>
                <w:rFonts w:ascii="宋体" w:hAnsi="宋体" w:cs="宋体"/>
                <w:b/>
                <w:bCs/>
                <w:color w:val="000000"/>
                <w:kern w:val="0"/>
                <w:szCs w:val="21"/>
              </w:rPr>
            </w:pPr>
            <w:r>
              <w:rPr>
                <w:rFonts w:hint="eastAsia" w:ascii="宋体" w:hAnsi="宋体" w:cs="宋体"/>
                <w:b/>
                <w:bCs/>
                <w:color w:val="000000"/>
                <w:kern w:val="0"/>
                <w:szCs w:val="21"/>
              </w:rPr>
              <w:t>A3办学条件（24分）</w:t>
            </w:r>
          </w:p>
        </w:tc>
        <w:tc>
          <w:tcPr>
            <w:tcW w:w="468" w:type="pct"/>
            <w:vMerge w:val="restart"/>
            <w:tcBorders>
              <w:top w:val="nil"/>
              <w:left w:val="single" w:color="auto" w:sz="4" w:space="0"/>
              <w:bottom w:val="single" w:color="auto" w:sz="4" w:space="0"/>
              <w:right w:val="single" w:color="auto" w:sz="4" w:space="0"/>
            </w:tcBorders>
            <w:noWrap w:val="0"/>
            <w:vAlign w:val="center"/>
          </w:tcPr>
          <w:p>
            <w:pPr>
              <w:widowControl/>
              <w:spacing w:line="380" w:lineRule="exact"/>
              <w:jc w:val="center"/>
              <w:rPr>
                <w:rFonts w:ascii="宋体" w:hAnsi="宋体" w:cs="宋体"/>
                <w:color w:val="000000"/>
                <w:kern w:val="0"/>
                <w:szCs w:val="21"/>
              </w:rPr>
            </w:pPr>
            <w:r>
              <w:rPr>
                <w:rFonts w:hint="eastAsia" w:ascii="宋体" w:hAnsi="宋体" w:cs="宋体"/>
                <w:color w:val="000000"/>
                <w:kern w:val="0"/>
                <w:szCs w:val="21"/>
              </w:rPr>
              <w:t>B7办学场所</w:t>
            </w:r>
            <w:r>
              <w:rPr>
                <w:rFonts w:hint="eastAsia" w:ascii="宋体" w:hAnsi="宋体" w:cs="宋体"/>
                <w:color w:val="000000"/>
                <w:kern w:val="0"/>
                <w:szCs w:val="21"/>
              </w:rPr>
              <w:br w:type="textWrapping"/>
            </w:r>
            <w:r>
              <w:rPr>
                <w:rFonts w:hint="eastAsia" w:ascii="宋体" w:hAnsi="宋体" w:cs="宋体"/>
                <w:color w:val="000000"/>
                <w:kern w:val="0"/>
                <w:szCs w:val="21"/>
              </w:rPr>
              <w:t>（6分）</w:t>
            </w:r>
          </w:p>
        </w:tc>
        <w:tc>
          <w:tcPr>
            <w:tcW w:w="3595" w:type="pct"/>
            <w:tcBorders>
              <w:top w:val="nil"/>
              <w:left w:val="nil"/>
              <w:bottom w:val="single" w:color="auto" w:sz="4" w:space="0"/>
              <w:right w:val="single" w:color="auto" w:sz="4" w:space="0"/>
            </w:tcBorders>
            <w:noWrap w:val="0"/>
            <w:vAlign w:val="center"/>
          </w:tcPr>
          <w:p>
            <w:pPr>
              <w:widowControl/>
              <w:spacing w:line="380" w:lineRule="exact"/>
              <w:jc w:val="left"/>
              <w:rPr>
                <w:rFonts w:ascii="宋体" w:hAnsi="宋体" w:cs="宋体"/>
                <w:color w:val="000000"/>
                <w:kern w:val="0"/>
                <w:szCs w:val="21"/>
              </w:rPr>
            </w:pPr>
            <w:r>
              <w:rPr>
                <w:rFonts w:hint="eastAsia" w:ascii="宋体" w:hAnsi="宋体" w:cs="宋体"/>
                <w:color w:val="000000"/>
                <w:kern w:val="0"/>
                <w:szCs w:val="21"/>
              </w:rPr>
              <w:t>C12、办学条件达到同级同类幼儿园设置标准。园舍建设应当符合《陕西省幼儿园基本办园标准(试行)》幼儿园建设设计规范和幼儿园建筑面积定额标准。建设用地农村幼儿园不应低于一级指标，城镇幼儿园应不低于二级指标。幼儿园不得使用简易建筑物、危房及其它不适用于开展教育教学活动的房屋。</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4</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1298"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宋体" w:hAnsi="宋体" w:cs="宋体"/>
                <w:color w:val="000000"/>
                <w:kern w:val="0"/>
                <w:szCs w:val="21"/>
              </w:rPr>
            </w:pPr>
          </w:p>
        </w:tc>
        <w:tc>
          <w:tcPr>
            <w:tcW w:w="3595" w:type="pct"/>
            <w:tcBorders>
              <w:top w:val="nil"/>
              <w:left w:val="nil"/>
              <w:bottom w:val="single" w:color="auto" w:sz="4" w:space="0"/>
              <w:right w:val="single" w:color="auto" w:sz="4" w:space="0"/>
            </w:tcBorders>
            <w:noWrap w:val="0"/>
            <w:vAlign w:val="center"/>
          </w:tcPr>
          <w:p>
            <w:pPr>
              <w:widowControl/>
              <w:spacing w:line="380" w:lineRule="exact"/>
              <w:jc w:val="left"/>
              <w:rPr>
                <w:rFonts w:ascii="宋体" w:hAnsi="宋体" w:cs="宋体"/>
                <w:color w:val="000000"/>
                <w:kern w:val="0"/>
                <w:szCs w:val="21"/>
              </w:rPr>
            </w:pPr>
            <w:r>
              <w:rPr>
                <w:rFonts w:hint="eastAsia" w:ascii="宋体" w:hAnsi="宋体" w:cs="宋体"/>
                <w:color w:val="000000"/>
                <w:kern w:val="0"/>
                <w:szCs w:val="21"/>
              </w:rPr>
              <w:t>C13、有独立、安全、稳定的办学场所；租赁合同合法有效且3年以上；生均活动室面积不少于2平方米，生均户外活动面积不少于4平方米。园内活动及辅助用房、办公及辅助用房和生活用房等布局合理、功能划分明确、环境优美、文化氛围浓厚。</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87"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b/>
                <w:bCs/>
                <w:color w:val="000000"/>
                <w:kern w:val="0"/>
                <w:szCs w:val="21"/>
              </w:rPr>
            </w:pPr>
          </w:p>
        </w:tc>
        <w:tc>
          <w:tcPr>
            <w:tcW w:w="468" w:type="pct"/>
            <w:vMerge w:val="restart"/>
            <w:tcBorders>
              <w:top w:val="nil"/>
              <w:left w:val="single" w:color="auto" w:sz="4" w:space="0"/>
              <w:bottom w:val="single" w:color="auto" w:sz="4" w:space="0"/>
              <w:right w:val="single" w:color="auto" w:sz="4" w:space="0"/>
            </w:tcBorders>
            <w:noWrap w:val="0"/>
            <w:vAlign w:val="center"/>
          </w:tcPr>
          <w:p>
            <w:pPr>
              <w:widowControl/>
              <w:spacing w:line="380" w:lineRule="exact"/>
              <w:jc w:val="center"/>
              <w:rPr>
                <w:rFonts w:ascii="宋体" w:hAnsi="宋体" w:cs="宋体"/>
                <w:color w:val="000000"/>
                <w:kern w:val="0"/>
                <w:szCs w:val="21"/>
              </w:rPr>
            </w:pPr>
            <w:r>
              <w:rPr>
                <w:rFonts w:hint="eastAsia" w:ascii="宋体" w:hAnsi="宋体" w:cs="宋体"/>
                <w:color w:val="000000"/>
                <w:kern w:val="0"/>
                <w:szCs w:val="21"/>
              </w:rPr>
              <w:t>B8教学设施（6分）</w:t>
            </w:r>
          </w:p>
        </w:tc>
        <w:tc>
          <w:tcPr>
            <w:tcW w:w="3595" w:type="pct"/>
            <w:tcBorders>
              <w:top w:val="nil"/>
              <w:left w:val="nil"/>
              <w:bottom w:val="single" w:color="auto" w:sz="4" w:space="0"/>
              <w:right w:val="single" w:color="auto" w:sz="4" w:space="0"/>
            </w:tcBorders>
            <w:noWrap w:val="0"/>
            <w:vAlign w:val="center"/>
          </w:tcPr>
          <w:p>
            <w:pPr>
              <w:widowControl/>
              <w:spacing w:line="380" w:lineRule="exact"/>
              <w:jc w:val="left"/>
              <w:rPr>
                <w:rFonts w:ascii="宋体" w:hAnsi="宋体" w:cs="宋体"/>
                <w:color w:val="000000"/>
                <w:kern w:val="0"/>
                <w:szCs w:val="21"/>
              </w:rPr>
            </w:pPr>
            <w:r>
              <w:rPr>
                <w:rFonts w:hint="eastAsia" w:ascii="宋体" w:hAnsi="宋体" w:cs="宋体"/>
                <w:color w:val="000000"/>
                <w:kern w:val="0"/>
                <w:szCs w:val="21"/>
              </w:rPr>
              <w:t>C14、应有适合幼儿使用、符合卫生及安全要求的生活设施和教学设备，包括盥洗卫生用具、桌椅、玩具架，必要的乐器、电教设备、保健医疗卫生器械等，能满足教育教学、生活及卫生需要。</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892"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380" w:lineRule="exact"/>
              <w:jc w:val="left"/>
              <w:rPr>
                <w:rFonts w:ascii="宋体" w:hAnsi="宋体" w:cs="宋体"/>
                <w:color w:val="000000"/>
                <w:kern w:val="0"/>
                <w:szCs w:val="21"/>
              </w:rPr>
            </w:pPr>
          </w:p>
        </w:tc>
        <w:tc>
          <w:tcPr>
            <w:tcW w:w="3595" w:type="pct"/>
            <w:tcBorders>
              <w:top w:val="nil"/>
              <w:left w:val="nil"/>
              <w:bottom w:val="single" w:color="auto" w:sz="4" w:space="0"/>
              <w:right w:val="single" w:color="auto" w:sz="4" w:space="0"/>
            </w:tcBorders>
            <w:noWrap w:val="0"/>
            <w:vAlign w:val="center"/>
          </w:tcPr>
          <w:p>
            <w:pPr>
              <w:widowControl/>
              <w:spacing w:line="380" w:lineRule="exact"/>
              <w:jc w:val="left"/>
              <w:rPr>
                <w:rFonts w:ascii="宋体" w:hAnsi="宋体" w:cs="宋体"/>
                <w:color w:val="000000"/>
                <w:kern w:val="0"/>
                <w:szCs w:val="21"/>
              </w:rPr>
            </w:pPr>
            <w:r>
              <w:rPr>
                <w:rFonts w:hint="eastAsia" w:ascii="宋体" w:hAnsi="宋体" w:cs="宋体"/>
                <w:color w:val="000000"/>
                <w:kern w:val="0"/>
                <w:szCs w:val="21"/>
              </w:rPr>
              <w:t>C15、幼儿园的教玩具应按《幼儿园教玩具配备目录》标准基本配齐。有基本保证幼儿游戏和教育活动需要的玩教具，有一定数量的自制教玩具；教玩具使用率高；幼儿读物人均5册以上，并适时更换。</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10"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b/>
                <w:bCs/>
                <w:color w:val="000000"/>
                <w:kern w:val="0"/>
                <w:szCs w:val="21"/>
              </w:rPr>
            </w:pPr>
          </w:p>
        </w:tc>
        <w:tc>
          <w:tcPr>
            <w:tcW w:w="468" w:type="pct"/>
            <w:vMerge w:val="restart"/>
            <w:tcBorders>
              <w:top w:val="nil"/>
              <w:left w:val="single" w:color="auto" w:sz="4" w:space="0"/>
              <w:bottom w:val="single" w:color="auto" w:sz="4" w:space="0"/>
              <w:right w:val="single" w:color="auto" w:sz="4" w:space="0"/>
            </w:tcBorders>
            <w:noWrap w:val="0"/>
            <w:vAlign w:val="center"/>
          </w:tcPr>
          <w:p>
            <w:pPr>
              <w:widowControl/>
              <w:spacing w:line="380" w:lineRule="exact"/>
              <w:jc w:val="center"/>
              <w:rPr>
                <w:rFonts w:ascii="宋体" w:hAnsi="宋体" w:cs="宋体"/>
                <w:color w:val="000000"/>
                <w:kern w:val="0"/>
                <w:szCs w:val="21"/>
              </w:rPr>
            </w:pPr>
            <w:r>
              <w:rPr>
                <w:rFonts w:hint="eastAsia" w:ascii="宋体" w:hAnsi="宋体" w:cs="宋体"/>
                <w:color w:val="000000"/>
                <w:kern w:val="0"/>
                <w:szCs w:val="21"/>
              </w:rPr>
              <w:t>B9教师队伍（10分）</w:t>
            </w:r>
          </w:p>
        </w:tc>
        <w:tc>
          <w:tcPr>
            <w:tcW w:w="3595" w:type="pct"/>
            <w:tcBorders>
              <w:top w:val="nil"/>
              <w:left w:val="nil"/>
              <w:bottom w:val="single" w:color="auto" w:sz="4" w:space="0"/>
              <w:right w:val="single" w:color="auto" w:sz="4" w:space="0"/>
            </w:tcBorders>
            <w:noWrap w:val="0"/>
            <w:vAlign w:val="center"/>
          </w:tcPr>
          <w:p>
            <w:pPr>
              <w:widowControl/>
              <w:spacing w:line="380" w:lineRule="exact"/>
              <w:jc w:val="left"/>
              <w:rPr>
                <w:rFonts w:ascii="宋体" w:hAnsi="宋体" w:cs="宋体"/>
                <w:color w:val="000000"/>
                <w:kern w:val="0"/>
                <w:szCs w:val="21"/>
              </w:rPr>
            </w:pPr>
            <w:r>
              <w:rPr>
                <w:rFonts w:hint="eastAsia" w:ascii="宋体" w:hAnsi="宋体" w:cs="宋体"/>
                <w:color w:val="000000"/>
                <w:kern w:val="0"/>
                <w:szCs w:val="21"/>
              </w:rPr>
              <w:t>C16、基本达到同类公办幼儿园师生比要求。教师、保育员、保健人员、食堂工作人员等应当具有相关岗位资质。</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291"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p>
        </w:tc>
        <w:tc>
          <w:tcPr>
            <w:tcW w:w="3595"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C17、认真落实并不断提高教师工资福利待遇；学校与教职工按照规定签订劳动合同并参加社会保险。</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5</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973"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p>
        </w:tc>
        <w:tc>
          <w:tcPr>
            <w:tcW w:w="3595"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xml:space="preserve">C18、重视教师培训工作，认真落实师资培训的有关政策要求，师资培训有计划，目标明确，措施制度落实；每位专任教师每年继续教育应不少于72学时；教师培训经费落实。 </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61"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b/>
                <w:bCs/>
                <w:color w:val="000000"/>
                <w:kern w:val="0"/>
                <w:szCs w:val="21"/>
              </w:rPr>
            </w:pPr>
          </w:p>
        </w:tc>
        <w:tc>
          <w:tcPr>
            <w:tcW w:w="468"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B10办学规模（2分）</w:t>
            </w:r>
          </w:p>
        </w:tc>
        <w:tc>
          <w:tcPr>
            <w:tcW w:w="3595"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C19、幼儿园规模及班级人数符合同级同类公办幼儿园标准，小班（3-4周岁）20-25人，中班（4-5周岁）25-30人，大班（5-6周岁）30-35人。</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435" w:hRule="atLeast"/>
        </w:trPr>
        <w:tc>
          <w:tcPr>
            <w:tcW w:w="394"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ascii="宋体" w:hAnsi="宋体" w:cs="宋体"/>
                <w:b/>
                <w:bCs/>
                <w:color w:val="000000"/>
                <w:kern w:val="0"/>
                <w:szCs w:val="21"/>
              </w:rPr>
            </w:pPr>
            <w:r>
              <w:rPr>
                <w:rFonts w:hint="eastAsia" w:ascii="宋体" w:hAnsi="宋体" w:cs="宋体"/>
                <w:b/>
                <w:bCs/>
                <w:color w:val="000000"/>
                <w:kern w:val="0"/>
                <w:szCs w:val="21"/>
              </w:rPr>
              <w:t>A4教育教学管理</w:t>
            </w:r>
            <w:r>
              <w:rPr>
                <w:rFonts w:hint="eastAsia" w:ascii="宋体" w:hAnsi="宋体" w:cs="宋体"/>
                <w:b/>
                <w:bCs/>
                <w:color w:val="000000"/>
                <w:kern w:val="0"/>
                <w:szCs w:val="21"/>
              </w:rPr>
              <w:br w:type="textWrapping"/>
            </w:r>
            <w:r>
              <w:rPr>
                <w:rFonts w:hint="eastAsia" w:ascii="宋体" w:hAnsi="宋体" w:cs="宋体"/>
                <w:b/>
                <w:bCs/>
                <w:color w:val="000000"/>
                <w:kern w:val="0"/>
                <w:szCs w:val="21"/>
              </w:rPr>
              <w:t>（20分）</w:t>
            </w:r>
          </w:p>
        </w:tc>
        <w:tc>
          <w:tcPr>
            <w:tcW w:w="468"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B11德育管理（6分）</w:t>
            </w:r>
          </w:p>
        </w:tc>
        <w:tc>
          <w:tcPr>
            <w:tcW w:w="3595" w:type="pct"/>
            <w:tcBorders>
              <w:top w:val="single" w:color="auto" w:sz="4" w:space="0"/>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C20、重视师德师风建设，教师有良好的职业道德，为人师表，不歧视、侮辱、打骂、体罚和变相体罚幼儿。</w:t>
            </w:r>
          </w:p>
        </w:tc>
        <w:tc>
          <w:tcPr>
            <w:tcW w:w="270" w:type="pct"/>
            <w:tcBorders>
              <w:top w:val="single" w:color="auto" w:sz="4" w:space="0"/>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single" w:color="auto" w:sz="4" w:space="0"/>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645"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p>
        </w:tc>
        <w:tc>
          <w:tcPr>
            <w:tcW w:w="3595"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C21、应认真做好对学生的思想品德教育和思想政治工作，严格校风校纪，采取多种形式加强文明健康的校园文化建设；</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495"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p>
        </w:tc>
        <w:tc>
          <w:tcPr>
            <w:tcW w:w="3595"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C22、师幼文明程度高、无违法和重大违规现象。</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50"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b/>
                <w:bCs/>
                <w:color w:val="000000"/>
                <w:kern w:val="0"/>
                <w:szCs w:val="21"/>
              </w:rPr>
            </w:pPr>
          </w:p>
        </w:tc>
        <w:tc>
          <w:tcPr>
            <w:tcW w:w="468" w:type="pct"/>
            <w:vMerge w:val="restart"/>
            <w:tcBorders>
              <w:top w:val="nil"/>
              <w:left w:val="single" w:color="auto" w:sz="4" w:space="0"/>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B12教学计划（7分）</w:t>
            </w:r>
          </w:p>
        </w:tc>
        <w:tc>
          <w:tcPr>
            <w:tcW w:w="3595"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C23、严格执行《幼儿园教育指导纲要(试行)》，开展五大领域教学；合理安排节假日，不得随意延长或缩短；幼儿园自行编写的教材应报审批机关备案，选用的国（境）外教材 须经教育行政部门批准。</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1050"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p>
        </w:tc>
        <w:tc>
          <w:tcPr>
            <w:tcW w:w="3595"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C24、教育活动内容的组织应充分考虑幼儿的学习特点和认识规律，各领域的内容要有机联系，相互渗透，注重综合性、趣味性、活动性，寓教育于生活、游戏之中。教育活动的组织形式应根据需要合理安排，兼顾群体需要和个体差异。</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4</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840"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b/>
                <w:bCs/>
                <w:color w:val="000000"/>
                <w:kern w:val="0"/>
                <w:szCs w:val="21"/>
              </w:rPr>
            </w:pPr>
          </w:p>
        </w:tc>
        <w:tc>
          <w:tcPr>
            <w:tcW w:w="468"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B13教学管理（4分）</w:t>
            </w:r>
          </w:p>
        </w:tc>
        <w:tc>
          <w:tcPr>
            <w:tcW w:w="3595"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C25、科学、合理地安排和组织一日生活。建立良好的常规，教师直接指导的活动和间接指导的活动相结合，保证幼儿每天有适当的自主选择和自由活动时间。每天户外活动时间不少于2小时。</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4</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95"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ascii="宋体" w:hAnsi="宋体" w:cs="宋体"/>
                <w:b/>
                <w:bCs/>
                <w:color w:val="000000"/>
                <w:kern w:val="0"/>
                <w:szCs w:val="21"/>
              </w:rPr>
            </w:pPr>
          </w:p>
        </w:tc>
        <w:tc>
          <w:tcPr>
            <w:tcW w:w="468"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B14学生管理（3分）</w:t>
            </w:r>
          </w:p>
        </w:tc>
        <w:tc>
          <w:tcPr>
            <w:tcW w:w="3595"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C26、严格执行招生计划和学籍管理规定，建立健全学籍档案管理制度，入学新生信息报管理部门备案。</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50" w:hRule="atLeast"/>
        </w:trPr>
        <w:tc>
          <w:tcPr>
            <w:tcW w:w="394" w:type="pct"/>
            <w:vMerge w:val="restart"/>
            <w:tcBorders>
              <w:top w:val="nil"/>
              <w:left w:val="single" w:color="auto" w:sz="4" w:space="0"/>
              <w:bottom w:val="single" w:color="auto" w:sz="4" w:space="0"/>
              <w:right w:val="single" w:color="auto" w:sz="4" w:space="0"/>
            </w:tcBorders>
            <w:noWrap w:val="0"/>
            <w:vAlign w:val="center"/>
          </w:tcPr>
          <w:p>
            <w:pPr>
              <w:widowControl/>
              <w:spacing w:line="400" w:lineRule="exact"/>
              <w:jc w:val="center"/>
              <w:rPr>
                <w:rFonts w:ascii="宋体" w:hAnsi="宋体" w:cs="宋体"/>
                <w:b/>
                <w:bCs/>
                <w:color w:val="000000"/>
                <w:kern w:val="0"/>
                <w:szCs w:val="21"/>
              </w:rPr>
            </w:pPr>
            <w:r>
              <w:rPr>
                <w:rFonts w:hint="eastAsia" w:ascii="宋体" w:hAnsi="宋体" w:cs="宋体"/>
                <w:b/>
                <w:bCs/>
                <w:color w:val="000000"/>
                <w:kern w:val="0"/>
                <w:szCs w:val="21"/>
              </w:rPr>
              <w:t>A5安全卫生管理</w:t>
            </w:r>
            <w:r>
              <w:rPr>
                <w:rFonts w:hint="eastAsia" w:ascii="宋体" w:hAnsi="宋体" w:cs="宋体"/>
                <w:b/>
                <w:bCs/>
                <w:color w:val="000000"/>
                <w:kern w:val="0"/>
                <w:szCs w:val="21"/>
              </w:rPr>
              <w:br w:type="textWrapping"/>
            </w:r>
            <w:r>
              <w:rPr>
                <w:rFonts w:hint="eastAsia" w:ascii="宋体" w:hAnsi="宋体" w:cs="宋体"/>
                <w:b/>
                <w:bCs/>
                <w:color w:val="000000"/>
                <w:kern w:val="0"/>
                <w:szCs w:val="21"/>
              </w:rPr>
              <w:t>（14分）</w:t>
            </w:r>
          </w:p>
        </w:tc>
        <w:tc>
          <w:tcPr>
            <w:tcW w:w="468" w:type="pct"/>
            <w:vMerge w:val="restart"/>
            <w:tcBorders>
              <w:top w:val="nil"/>
              <w:left w:val="single" w:color="auto" w:sz="4" w:space="0"/>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B15安全工作（10分）</w:t>
            </w:r>
          </w:p>
        </w:tc>
        <w:tc>
          <w:tcPr>
            <w:tcW w:w="3595"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C27、安全管理制度健全，岗位职责明确，应急处置预案完善，安全工作机构健全；“人防、物防、技防”措施落实到位；按规定配足配齐安保人员和安防器材；严格落实门禁制度；公共场所监控无死角，按标准统一联网。</w:t>
            </w:r>
          </w:p>
        </w:tc>
        <w:tc>
          <w:tcPr>
            <w:tcW w:w="270" w:type="pct"/>
            <w:tcBorders>
              <w:top w:val="nil"/>
              <w:left w:val="nil"/>
              <w:bottom w:val="single" w:color="auto" w:sz="4" w:space="0"/>
              <w:right w:val="single" w:color="auto" w:sz="4" w:space="0"/>
            </w:tcBorders>
            <w:noWrap w:val="0"/>
            <w:vAlign w:val="center"/>
          </w:tcPr>
          <w:p>
            <w:pPr>
              <w:widowControl/>
              <w:spacing w:line="40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nil"/>
              <w:left w:val="nil"/>
              <w:bottom w:val="single" w:color="auto" w:sz="4" w:space="0"/>
              <w:right w:val="single" w:color="auto" w:sz="4" w:space="0"/>
            </w:tcBorders>
            <w:noWrap w:val="0"/>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810"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p>
        </w:tc>
        <w:tc>
          <w:tcPr>
            <w:tcW w:w="3595"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C28、消防安全疏散通道规范且保持畅通。有房屋、设备、消防、交通等安全防护设施和检查制度，特种设备有专人持证上岗操作，定期维保，做好隐患排查整治工作。</w:t>
            </w:r>
          </w:p>
        </w:tc>
        <w:tc>
          <w:tcPr>
            <w:tcW w:w="270"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70"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p>
        </w:tc>
        <w:tc>
          <w:tcPr>
            <w:tcW w:w="3595"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C29、定期开展安全、消防、反恐、防自然灾害等安全教育和应急演练，年度均不少于2次。</w:t>
            </w:r>
          </w:p>
        </w:tc>
        <w:tc>
          <w:tcPr>
            <w:tcW w:w="270"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990"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p>
        </w:tc>
        <w:tc>
          <w:tcPr>
            <w:tcW w:w="3595"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C30、建立有利益诉求和矛盾调解处理机制；安排专人定期排查和有效化解校内矛盾；幼儿园、家长、教师无矛盾激化情况；无恶意拖欠教职工工资等行为。一年来无重大安全事故发生，无校车超载现象，无重大的教师、家长上访和投诉事件（经调查属实的一票否决）。</w:t>
            </w:r>
          </w:p>
        </w:tc>
        <w:tc>
          <w:tcPr>
            <w:tcW w:w="270"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915" w:hRule="atLeast"/>
        </w:trPr>
        <w:tc>
          <w:tcPr>
            <w:tcW w:w="394"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ascii="宋体" w:hAnsi="宋体" w:cs="宋体"/>
                <w:b/>
                <w:bCs/>
                <w:color w:val="000000"/>
                <w:kern w:val="0"/>
                <w:szCs w:val="21"/>
              </w:rPr>
            </w:pPr>
            <w:r>
              <w:rPr>
                <w:rFonts w:hint="eastAsia" w:ascii="宋体" w:hAnsi="宋体" w:cs="宋体"/>
                <w:b/>
                <w:bCs/>
                <w:color w:val="000000"/>
                <w:kern w:val="0"/>
                <w:szCs w:val="21"/>
              </w:rPr>
              <w:t>A5安全卫生管理</w:t>
            </w:r>
            <w:r>
              <w:rPr>
                <w:rFonts w:hint="eastAsia" w:ascii="宋体" w:hAnsi="宋体" w:cs="宋体"/>
                <w:b/>
                <w:bCs/>
                <w:color w:val="000000"/>
                <w:kern w:val="0"/>
                <w:szCs w:val="21"/>
              </w:rPr>
              <w:br w:type="textWrapping"/>
            </w:r>
            <w:r>
              <w:rPr>
                <w:rFonts w:hint="eastAsia" w:ascii="宋体" w:hAnsi="宋体" w:cs="宋体"/>
                <w:b/>
                <w:bCs/>
                <w:color w:val="000000"/>
                <w:kern w:val="0"/>
                <w:szCs w:val="21"/>
              </w:rPr>
              <w:t>（14分）</w:t>
            </w:r>
          </w:p>
        </w:tc>
        <w:tc>
          <w:tcPr>
            <w:tcW w:w="468" w:type="pct"/>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B16卫生工作（4分）</w:t>
            </w:r>
          </w:p>
        </w:tc>
        <w:tc>
          <w:tcPr>
            <w:tcW w:w="3595" w:type="pct"/>
            <w:tcBorders>
              <w:top w:val="single" w:color="auto" w:sz="4" w:space="0"/>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C31、建立健全相关制度，落实校园食品安全责任，完善学校食品安全风险防控体系，开展食品安全与营养健康宣传教育，保障食品安全，促进营养健康。学校食堂应有《食品经营许可证》，配备相应的设施设备，接触直接入口食品工作的从业人员应有《健康证》，幼儿园应落实校领导陪餐制。</w:t>
            </w:r>
          </w:p>
        </w:tc>
        <w:tc>
          <w:tcPr>
            <w:tcW w:w="270" w:type="pct"/>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single" w:color="auto" w:sz="4" w:space="0"/>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915"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宋体" w:hAnsi="宋体" w:cs="宋体"/>
                <w:b/>
                <w:bCs/>
                <w:color w:val="000000"/>
                <w:kern w:val="0"/>
                <w:szCs w:val="21"/>
              </w:rPr>
            </w:pPr>
          </w:p>
        </w:tc>
        <w:tc>
          <w:tcPr>
            <w:tcW w:w="468" w:type="pct"/>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p>
        </w:tc>
        <w:tc>
          <w:tcPr>
            <w:tcW w:w="3595"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C32、设立保健室或卫生室，根据儿童数量配备符合相关资质的卫生保健人员；严格执行工作人员和儿童入园（所）及定期健康检查制度，有幼儿体质健康登记记录；建立预防接种证查验制度和传染病管理制度及应急预案；有食品、药物等管理制度。</w:t>
            </w:r>
          </w:p>
        </w:tc>
        <w:tc>
          <w:tcPr>
            <w:tcW w:w="270"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2</w:t>
            </w:r>
          </w:p>
        </w:tc>
        <w:tc>
          <w:tcPr>
            <w:tcW w:w="271"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810" w:hRule="atLeast"/>
        </w:trPr>
        <w:tc>
          <w:tcPr>
            <w:tcW w:w="394" w:type="pct"/>
            <w:vMerge w:val="restart"/>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宋体" w:hAnsi="宋体" w:cs="宋体"/>
                <w:b/>
                <w:bCs/>
                <w:color w:val="000000"/>
                <w:kern w:val="0"/>
                <w:szCs w:val="21"/>
              </w:rPr>
            </w:pPr>
            <w:r>
              <w:rPr>
                <w:rFonts w:hint="eastAsia" w:ascii="宋体" w:hAnsi="宋体" w:cs="宋体"/>
                <w:b/>
                <w:bCs/>
                <w:color w:val="000000"/>
                <w:kern w:val="0"/>
                <w:szCs w:val="21"/>
              </w:rPr>
              <w:t>A6财务管理（10分）</w:t>
            </w:r>
          </w:p>
        </w:tc>
        <w:tc>
          <w:tcPr>
            <w:tcW w:w="468"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B17财务制度（4分）</w:t>
            </w:r>
          </w:p>
        </w:tc>
        <w:tc>
          <w:tcPr>
            <w:tcW w:w="3595"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C33、建立会计制度和资产管理制度，账册齐全，账目清楚；财务管理人员任职资格和任职条件；资产使用和财务管理符合规定并接受各方监督；学校资产产权明晰；编制年度会计报告提交审计并公布审计结果。</w:t>
            </w:r>
          </w:p>
        </w:tc>
        <w:tc>
          <w:tcPr>
            <w:tcW w:w="270"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4</w:t>
            </w:r>
          </w:p>
        </w:tc>
        <w:tc>
          <w:tcPr>
            <w:tcW w:w="271"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855"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宋体" w:hAnsi="宋体" w:cs="宋体"/>
                <w:b/>
                <w:bCs/>
                <w:color w:val="000000"/>
                <w:kern w:val="0"/>
                <w:szCs w:val="21"/>
              </w:rPr>
            </w:pPr>
          </w:p>
        </w:tc>
        <w:tc>
          <w:tcPr>
            <w:tcW w:w="468"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B18费用支出情况（3分）</w:t>
            </w:r>
          </w:p>
        </w:tc>
        <w:tc>
          <w:tcPr>
            <w:tcW w:w="3595"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C34、办学收入中除留足发展资金后的其余部分的各项支出合乎开支规定，各项教育教学业务费能够得到保障；有稳定、可靠的办园经费来源，学校办学经费没有被挪用或抽逃，没有被用于校外投资，无偷税漏税行为。</w:t>
            </w:r>
          </w:p>
        </w:tc>
        <w:tc>
          <w:tcPr>
            <w:tcW w:w="270"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25"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宋体" w:hAnsi="宋体" w:cs="宋体"/>
                <w:b/>
                <w:bCs/>
                <w:color w:val="000000"/>
                <w:kern w:val="0"/>
                <w:szCs w:val="21"/>
              </w:rPr>
            </w:pPr>
          </w:p>
        </w:tc>
        <w:tc>
          <w:tcPr>
            <w:tcW w:w="468"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B19收退费管理（3分）</w:t>
            </w:r>
          </w:p>
        </w:tc>
        <w:tc>
          <w:tcPr>
            <w:tcW w:w="3595"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C35、严格执行国家的收费政策，收费及退学退费制度完善，执行良好。贫困生国家补助金档案齐备、申领、发放规范。</w:t>
            </w:r>
          </w:p>
        </w:tc>
        <w:tc>
          <w:tcPr>
            <w:tcW w:w="270"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519" w:hRule="atLeast"/>
        </w:trPr>
        <w:tc>
          <w:tcPr>
            <w:tcW w:w="394" w:type="pct"/>
            <w:vMerge w:val="restart"/>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宋体" w:hAnsi="宋体" w:cs="宋体"/>
                <w:b/>
                <w:bCs/>
                <w:color w:val="000000"/>
                <w:kern w:val="0"/>
                <w:szCs w:val="21"/>
              </w:rPr>
            </w:pPr>
            <w:r>
              <w:rPr>
                <w:rFonts w:hint="eastAsia" w:ascii="宋体" w:hAnsi="宋体" w:cs="宋体"/>
                <w:b/>
                <w:bCs/>
                <w:color w:val="000000"/>
                <w:kern w:val="0"/>
                <w:szCs w:val="21"/>
              </w:rPr>
              <w:t>A7办学效益（6分）</w:t>
            </w:r>
          </w:p>
        </w:tc>
        <w:tc>
          <w:tcPr>
            <w:tcW w:w="468"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B20学生发展（3分）</w:t>
            </w:r>
          </w:p>
        </w:tc>
        <w:tc>
          <w:tcPr>
            <w:tcW w:w="3595" w:type="pct"/>
            <w:tcBorders>
              <w:top w:val="nil"/>
              <w:left w:val="nil"/>
              <w:bottom w:val="single" w:color="auto" w:sz="4" w:space="0"/>
              <w:right w:val="single" w:color="auto" w:sz="4" w:space="0"/>
            </w:tcBorders>
            <w:noWrap/>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C36、达到培养目标要求，幼儿全面发展，素质教育成果明显。</w:t>
            </w:r>
          </w:p>
        </w:tc>
        <w:tc>
          <w:tcPr>
            <w:tcW w:w="270"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499" w:hRule="atLeast"/>
        </w:trPr>
        <w:tc>
          <w:tcPr>
            <w:tcW w:w="394" w:type="pct"/>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宋体" w:hAnsi="宋体" w:cs="宋体"/>
                <w:b/>
                <w:bCs/>
                <w:color w:val="000000"/>
                <w:kern w:val="0"/>
                <w:szCs w:val="21"/>
              </w:rPr>
            </w:pPr>
          </w:p>
        </w:tc>
        <w:tc>
          <w:tcPr>
            <w:tcW w:w="468"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B21社会声誉（3分）</w:t>
            </w:r>
          </w:p>
        </w:tc>
        <w:tc>
          <w:tcPr>
            <w:tcW w:w="3595" w:type="pct"/>
            <w:tcBorders>
              <w:top w:val="nil"/>
              <w:left w:val="nil"/>
              <w:bottom w:val="single" w:color="auto" w:sz="4" w:space="0"/>
              <w:right w:val="single" w:color="auto" w:sz="4" w:space="0"/>
            </w:tcBorders>
            <w:noWrap/>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C37、办学特色鲜明，科研成果显著，社会反响良好。</w:t>
            </w:r>
          </w:p>
        </w:tc>
        <w:tc>
          <w:tcPr>
            <w:tcW w:w="270"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3</w:t>
            </w:r>
          </w:p>
        </w:tc>
        <w:tc>
          <w:tcPr>
            <w:tcW w:w="271"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　</w:t>
            </w:r>
          </w:p>
        </w:tc>
      </w:tr>
      <w:tr>
        <w:trPr>
          <w:trHeight w:val="585" w:hRule="atLeast"/>
        </w:trPr>
        <w:tc>
          <w:tcPr>
            <w:tcW w:w="4457" w:type="pct"/>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ascii="宋体" w:hAnsi="宋体" w:cs="宋体"/>
                <w:b/>
                <w:bCs/>
                <w:color w:val="000000"/>
                <w:kern w:val="0"/>
                <w:szCs w:val="21"/>
              </w:rPr>
            </w:pPr>
            <w:r>
              <w:rPr>
                <w:rFonts w:hint="eastAsia" w:ascii="宋体" w:hAnsi="宋体" w:cs="宋体"/>
                <w:b/>
                <w:bCs/>
                <w:color w:val="000000"/>
                <w:kern w:val="0"/>
                <w:szCs w:val="21"/>
              </w:rPr>
              <w:t>合  计</w:t>
            </w:r>
          </w:p>
        </w:tc>
        <w:tc>
          <w:tcPr>
            <w:tcW w:w="270" w:type="pct"/>
            <w:tcBorders>
              <w:top w:val="nil"/>
              <w:left w:val="nil"/>
              <w:bottom w:val="single" w:color="auto" w:sz="4" w:space="0"/>
              <w:right w:val="single" w:color="auto" w:sz="4" w:space="0"/>
            </w:tcBorders>
            <w:noWrap w:val="0"/>
            <w:vAlign w:val="center"/>
          </w:tcPr>
          <w:p>
            <w:pPr>
              <w:widowControl/>
              <w:spacing w:line="320" w:lineRule="exact"/>
              <w:jc w:val="center"/>
              <w:rPr>
                <w:rFonts w:ascii="宋体" w:hAnsi="宋体" w:cs="宋体"/>
                <w:color w:val="000000"/>
                <w:kern w:val="0"/>
                <w:szCs w:val="21"/>
              </w:rPr>
            </w:pPr>
            <w:r>
              <w:rPr>
                <w:rFonts w:hint="eastAsia" w:ascii="宋体" w:hAnsi="宋体" w:cs="宋体"/>
                <w:color w:val="000000"/>
                <w:kern w:val="0"/>
                <w:szCs w:val="21"/>
              </w:rPr>
              <w:t>100</w:t>
            </w:r>
          </w:p>
        </w:tc>
        <w:tc>
          <w:tcPr>
            <w:tcW w:w="271" w:type="pct"/>
            <w:tcBorders>
              <w:top w:val="nil"/>
              <w:left w:val="nil"/>
              <w:bottom w:val="single" w:color="auto" w:sz="4" w:space="0"/>
              <w:right w:val="single" w:color="auto" w:sz="4" w:space="0"/>
            </w:tcBorders>
            <w:noWrap w:val="0"/>
            <w:vAlign w:val="center"/>
          </w:tcPr>
          <w:p>
            <w:pPr>
              <w:widowControl/>
              <w:spacing w:line="320" w:lineRule="exact"/>
              <w:jc w:val="left"/>
              <w:rPr>
                <w:rFonts w:ascii="宋体" w:hAnsi="宋体" w:cs="宋体"/>
                <w:color w:val="000000"/>
                <w:kern w:val="0"/>
                <w:szCs w:val="21"/>
              </w:rPr>
            </w:pPr>
            <w:r>
              <w:rPr>
                <w:rFonts w:hint="eastAsia" w:ascii="宋体" w:hAnsi="宋体" w:cs="宋体"/>
                <w:color w:val="000000"/>
                <w:kern w:val="0"/>
                <w:szCs w:val="21"/>
              </w:rPr>
              <w:t>　</w:t>
            </w:r>
          </w:p>
        </w:tc>
      </w:tr>
    </w:tbl>
    <w:p/>
    <w:sectPr>
      <w:pgSz w:w="16838" w:h="11906" w:orient="landscape"/>
      <w:pgMar w:top="1440" w:right="1080" w:bottom="1440" w:left="108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515454"/>
    <w:rsid w:val="01917678"/>
    <w:rsid w:val="22864932"/>
    <w:rsid w:val="32515454"/>
    <w:rsid w:val="3CC41384"/>
    <w:rsid w:val="5BF974D1"/>
    <w:rsid w:val="78567B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2021-03-09T00:58:00Z</dcterms:created>
  <dc:creator>李兆卓</dc:creator>
  <cp:lastModifiedBy>李兆卓</cp:lastModifiedBy>
  <dcterms:modified xsi:type="dcterms:W3CDTF">2021-03-09T00:59:58Z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