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olor w:val="000000"/>
          <w:sz w:val="32"/>
          <w:szCs w:val="32"/>
        </w:rPr>
      </w:pPr>
      <w:r>
        <w:rPr>
          <w:rFonts w:hint="eastAsia" w:ascii="黑体" w:hAnsi="黑体" w:eastAsia="黑体"/>
          <w:color w:val="000000"/>
          <w:sz w:val="32"/>
          <w:szCs w:val="32"/>
        </w:rPr>
        <w:t>附件3</w:t>
      </w:r>
      <w:bookmarkStart w:id="0" w:name="_GoBack"/>
      <w:bookmarkEnd w:id="0"/>
    </w:p>
    <w:tbl>
      <w:tblPr>
        <w:tblStyle w:val="2"/>
        <w:tblW w:w="5000" w:type="pct"/>
        <w:tblInd w:w="0" w:type="dxa"/>
        <w:tblLayout w:type="autofit"/>
        <w:tblCellMar>
          <w:top w:w="0" w:type="dxa"/>
          <w:left w:w="108" w:type="dxa"/>
          <w:bottom w:w="0" w:type="dxa"/>
          <w:right w:w="108" w:type="dxa"/>
        </w:tblCellMar>
      </w:tblPr>
      <w:tblGrid>
        <w:gridCol w:w="1146"/>
        <w:gridCol w:w="1332"/>
        <w:gridCol w:w="10613"/>
        <w:gridCol w:w="757"/>
        <w:gridCol w:w="1046"/>
      </w:tblGrid>
      <w:tr>
        <w:tblPrEx>
          <w:tblCellMar>
            <w:top w:w="0" w:type="dxa"/>
            <w:left w:w="108" w:type="dxa"/>
            <w:bottom w:w="0" w:type="dxa"/>
            <w:right w:w="108" w:type="dxa"/>
          </w:tblCellMar>
        </w:tblPrEx>
        <w:trPr>
          <w:trHeight w:val="682" w:hRule="atLeast"/>
        </w:trPr>
        <w:tc>
          <w:tcPr>
            <w:tcW w:w="5000" w:type="pct"/>
            <w:gridSpan w:val="5"/>
            <w:vMerge w:val="restart"/>
            <w:tcBorders>
              <w:top w:val="nil"/>
              <w:left w:val="nil"/>
              <w:bottom w:val="nil"/>
              <w:right w:val="nil"/>
            </w:tcBorders>
            <w:noWrap/>
            <w:vAlign w:val="center"/>
          </w:tcPr>
          <w:p>
            <w:pPr>
              <w:widowControl/>
              <w:jc w:val="center"/>
              <w:rPr>
                <w:rFonts w:hint="eastAsia" w:ascii="方正小标宋简体" w:hAnsi="宋体" w:eastAsia="方正小标宋简体" w:cs="宋体"/>
                <w:bCs/>
                <w:color w:val="000000"/>
                <w:kern w:val="0"/>
                <w:sz w:val="36"/>
                <w:szCs w:val="36"/>
              </w:rPr>
            </w:pPr>
            <w:r>
              <w:rPr>
                <w:rFonts w:hint="eastAsia" w:ascii="方正小标宋简体" w:hAnsi="宋体" w:eastAsia="方正小标宋简体" w:cs="宋体"/>
                <w:bCs/>
                <w:color w:val="000000"/>
                <w:kern w:val="0"/>
                <w:sz w:val="36"/>
                <w:szCs w:val="36"/>
              </w:rPr>
              <w:t>西安市民办非学历培训机构年检评估标准（试行）</w:t>
            </w:r>
          </w:p>
        </w:tc>
      </w:tr>
      <w:tr>
        <w:tblPrEx>
          <w:tblCellMar>
            <w:top w:w="0" w:type="dxa"/>
            <w:left w:w="108" w:type="dxa"/>
            <w:bottom w:w="0" w:type="dxa"/>
            <w:right w:w="108" w:type="dxa"/>
          </w:tblCellMar>
        </w:tblPrEx>
        <w:trPr>
          <w:trHeight w:val="571" w:hRule="atLeast"/>
        </w:trPr>
        <w:tc>
          <w:tcPr>
            <w:tcW w:w="5000" w:type="pct"/>
            <w:gridSpan w:val="5"/>
            <w:vMerge w:val="continue"/>
            <w:tcBorders>
              <w:top w:val="nil"/>
              <w:left w:val="nil"/>
              <w:bottom w:val="nil"/>
              <w:right w:val="nil"/>
            </w:tcBorders>
            <w:noWrap w:val="0"/>
            <w:vAlign w:val="center"/>
          </w:tcPr>
          <w:p>
            <w:pPr>
              <w:widowControl/>
              <w:jc w:val="left"/>
              <w:rPr>
                <w:rFonts w:ascii="宋体" w:hAnsi="宋体" w:cs="宋体"/>
                <w:b/>
                <w:bCs/>
                <w:color w:val="000000"/>
                <w:kern w:val="0"/>
                <w:sz w:val="44"/>
                <w:szCs w:val="44"/>
              </w:rPr>
            </w:pPr>
          </w:p>
        </w:tc>
      </w:tr>
      <w:tr>
        <w:tblPrEx>
          <w:tblCellMar>
            <w:top w:w="0" w:type="dxa"/>
            <w:left w:w="108" w:type="dxa"/>
            <w:bottom w:w="0" w:type="dxa"/>
            <w:right w:w="108" w:type="dxa"/>
          </w:tblCellMar>
        </w:tblPrEx>
        <w:trPr>
          <w:trHeight w:val="525" w:hRule="atLeast"/>
        </w:trPr>
        <w:tc>
          <w:tcPr>
            <w:tcW w:w="832" w:type="pct"/>
            <w:gridSpan w:val="2"/>
            <w:tcBorders>
              <w:top w:val="nil"/>
              <w:left w:val="nil"/>
              <w:bottom w:val="nil"/>
              <w:right w:val="nil"/>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机构名称（盖章）：</w:t>
            </w:r>
          </w:p>
        </w:tc>
        <w:tc>
          <w:tcPr>
            <w:tcW w:w="4167" w:type="pct"/>
            <w:gridSpan w:val="3"/>
            <w:tcBorders>
              <w:top w:val="nil"/>
              <w:left w:val="nil"/>
              <w:bottom w:val="nil"/>
              <w:right w:val="nil"/>
            </w:tcBorders>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xml:space="preserve">                                              评估日期：   年   月   日</w:t>
            </w:r>
          </w:p>
        </w:tc>
      </w:tr>
      <w:tr>
        <w:tblPrEx>
          <w:tblCellMar>
            <w:top w:w="0" w:type="dxa"/>
            <w:left w:w="108" w:type="dxa"/>
            <w:bottom w:w="0" w:type="dxa"/>
            <w:right w:w="108" w:type="dxa"/>
          </w:tblCellMar>
        </w:tblPrEx>
        <w:trPr>
          <w:trHeight w:val="778" w:hRule="atLeast"/>
        </w:trPr>
        <w:tc>
          <w:tcPr>
            <w:tcW w:w="38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A级指标</w:t>
            </w:r>
          </w:p>
        </w:tc>
        <w:tc>
          <w:tcPr>
            <w:tcW w:w="447"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B级指标</w:t>
            </w:r>
          </w:p>
        </w:tc>
        <w:tc>
          <w:tcPr>
            <w:tcW w:w="3563"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评估内容及要求</w:t>
            </w:r>
          </w:p>
        </w:tc>
        <w:tc>
          <w:tcPr>
            <w:tcW w:w="254"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b/>
                <w:bCs/>
                <w:color w:val="000000"/>
                <w:kern w:val="0"/>
                <w:sz w:val="24"/>
              </w:rPr>
            </w:pPr>
            <w:r>
              <w:rPr>
                <w:rFonts w:hint="eastAsia" w:ascii="宋体" w:hAnsi="宋体" w:cs="宋体"/>
                <w:b/>
                <w:bCs/>
                <w:color w:val="000000"/>
                <w:kern w:val="0"/>
                <w:sz w:val="24"/>
              </w:rPr>
              <w:t>参考分值</w:t>
            </w:r>
          </w:p>
        </w:tc>
        <w:tc>
          <w:tcPr>
            <w:tcW w:w="349"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b/>
                <w:bCs/>
                <w:color w:val="000000"/>
                <w:kern w:val="0"/>
                <w:sz w:val="24"/>
              </w:rPr>
            </w:pPr>
            <w:r>
              <w:rPr>
                <w:rFonts w:hint="eastAsia" w:ascii="宋体" w:hAnsi="宋体" w:cs="宋体"/>
                <w:b/>
                <w:bCs/>
                <w:color w:val="000000"/>
                <w:kern w:val="0"/>
                <w:sz w:val="24"/>
              </w:rPr>
              <w:t>评估</w:t>
            </w:r>
          </w:p>
          <w:p>
            <w:pPr>
              <w:widowControl/>
              <w:jc w:val="left"/>
              <w:rPr>
                <w:rFonts w:ascii="宋体" w:hAnsi="宋体" w:cs="宋体"/>
                <w:b/>
                <w:bCs/>
                <w:color w:val="000000"/>
                <w:kern w:val="0"/>
                <w:sz w:val="24"/>
              </w:rPr>
            </w:pPr>
            <w:r>
              <w:rPr>
                <w:rFonts w:hint="eastAsia" w:ascii="宋体" w:hAnsi="宋体" w:cs="宋体"/>
                <w:b/>
                <w:bCs/>
                <w:color w:val="000000"/>
                <w:kern w:val="0"/>
                <w:sz w:val="24"/>
              </w:rPr>
              <w:t>分值</w:t>
            </w:r>
          </w:p>
        </w:tc>
      </w:tr>
      <w:tr>
        <w:tblPrEx>
          <w:tblCellMar>
            <w:top w:w="0" w:type="dxa"/>
            <w:left w:w="108" w:type="dxa"/>
            <w:bottom w:w="0" w:type="dxa"/>
            <w:right w:w="108" w:type="dxa"/>
          </w:tblCellMar>
        </w:tblPrEx>
        <w:trPr>
          <w:trHeight w:val="1290" w:hRule="atLeast"/>
        </w:trPr>
        <w:tc>
          <w:tcPr>
            <w:tcW w:w="385"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A1党团建设（6分）</w:t>
            </w:r>
          </w:p>
        </w:tc>
        <w:tc>
          <w:tcPr>
            <w:tcW w:w="447"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B1组建情况        （3分）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经上级党组织批准，设立党组织，并按期进行换届。党员人数3人以上，设立党支部；正式党员人数不足3人的，通过就近就便联合或挂靠其他学校等形式组建党组织。暂时没有党员的学校，由县（市、区）教育行政部门党组织选派党建指导员，也可通过调剂、聘任党员教师等，建立党组织。</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41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B2作用发挥（3分）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C2、党组织充分发挥政治核心作用，牢牢把握社会主义办学方向，健全党组织参与决策和监督机制；积极做好党员发展、教育、管理和服务等工作；坚持党建带群建，加强民办学校共青团组织建设。</w:t>
            </w:r>
          </w:p>
        </w:tc>
        <w:tc>
          <w:tcPr>
            <w:tcW w:w="254" w:type="pct"/>
            <w:tcBorders>
              <w:top w:val="nil"/>
              <w:left w:val="nil"/>
              <w:bottom w:val="nil"/>
              <w:right w:val="nil"/>
            </w:tcBorders>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85" w:hRule="atLeast"/>
        </w:trPr>
        <w:tc>
          <w:tcPr>
            <w:tcW w:w="385"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A2依法办学（20分）</w:t>
            </w:r>
          </w:p>
        </w:tc>
        <w:tc>
          <w:tcPr>
            <w:tcW w:w="447"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B3办学思想（2分）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C3、贯彻党的教育方针，坚持办学的公益性原则，本年度未发生造成严重不良社会影响的政治类事件。</w:t>
            </w:r>
          </w:p>
        </w:tc>
        <w:tc>
          <w:tcPr>
            <w:tcW w:w="254"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24"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B4办学行为（14分）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C4、应当持证办学，学校《章程》、印章应报审批机关备案。具有合法有效的《民办非企业单位登记证》或《企业法人营业执照》等法人证书。</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34"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C5、教学内容应当符合法律和法规的规定，不得举办宗教学校或变相宗教学校，不得利用宗教进行妨碍国家教育制度的活动。</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7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C6、按照审批机关批准的办学类型、层次、范围办学；未经批准，不得设立分支机构或变相设立分支机构，不得跨县市区办学或设立教学点。</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9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C7、服从教育行政部门的管理，没有因为违反规定给社会造成不良影响和因此而引发学生家长上访告状及法律纠纷案件。</w:t>
            </w:r>
          </w:p>
        </w:tc>
        <w:tc>
          <w:tcPr>
            <w:tcW w:w="254"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349"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2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C8、法人、校长或主要负责人、校名、校址、《章程》等重大事项的变更均经过教育行政部门的批准或到教育行政部门备案。</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185" w:hRule="atLeast"/>
        </w:trPr>
        <w:tc>
          <w:tcPr>
            <w:tcW w:w="385"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A2依法办学（20分）</w:t>
            </w:r>
          </w:p>
        </w:tc>
        <w:tc>
          <w:tcPr>
            <w:tcW w:w="447"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B4办学行为（14分）</w:t>
            </w:r>
          </w:p>
        </w:tc>
        <w:tc>
          <w:tcPr>
            <w:tcW w:w="356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9、刊登、张贴、发布招生广告和招生简章，必须按照规定报教育行政部门审核备案。民办学校招生宣传内容必须真实、准确，不得夸大其词，不得作带有欺骗性、诱惑性的失实宣传。广告用语应符合《广告法》等有关规定。不得在大众传播媒介以新闻报道形式发布广告， 招生广告（简章）内容一经审定，学校、广告经营单位等均不得擅自更改， 不得发布超过有效期的广告。</w:t>
            </w:r>
          </w:p>
        </w:tc>
        <w:tc>
          <w:tcPr>
            <w:tcW w:w="254"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214"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C10、加强规范招生和学籍管理工作。不得有空挂学籍、违规借读、违规招生行为。</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104"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B5机构设置（2分）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C11、应当设立学校理事会、董事会或者其他形式的决策机构；校长必须达到国家规定的任职条件，具有高尚的道德品质和 5 年以上的教育教学经验；建立健全团组织和少先队组织，充实包括辅导员、班主任在内党团干部队伍和思想政治工作队伍；规模较大、教职工较多的学校应建立教职工工会组织；应当建立行政管理、教育教学和独立设置的安全保卫、财务机构。</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42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B6建章立制（2分）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C12、各项规章制度健全，并能严格执行；对制度执行情况认真检查、考核，奖惩落实，效果好。</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978" w:hRule="atLeast"/>
        </w:trPr>
        <w:tc>
          <w:tcPr>
            <w:tcW w:w="385"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A3办学条件（22分）</w:t>
            </w:r>
          </w:p>
        </w:tc>
        <w:tc>
          <w:tcPr>
            <w:tcW w:w="447"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B7办学场所</w:t>
            </w:r>
            <w:r>
              <w:rPr>
                <w:rFonts w:hint="eastAsia" w:ascii="宋体" w:hAnsi="宋体" w:cs="宋体"/>
                <w:color w:val="000000"/>
                <w:kern w:val="0"/>
                <w:szCs w:val="21"/>
              </w:rPr>
              <w:br w:type="textWrapping"/>
            </w:r>
            <w:r>
              <w:rPr>
                <w:rFonts w:hint="eastAsia" w:ascii="宋体" w:hAnsi="宋体" w:cs="宋体"/>
                <w:color w:val="000000"/>
                <w:kern w:val="0"/>
                <w:szCs w:val="21"/>
              </w:rPr>
              <w:t>（8分）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13、应有满足培训要求、符合消防安全及卫生标准的培训场地和教学用房，办学场所总建筑面积不少于300平方米，其中，教学用房建筑面积不少于办学场所总建筑面积的2/3，且同一培训时段内生均教学用房建筑面积不少于3平方米。招生对象为中小学生的，办学场地楼层及教学用房设置条件参照《中小学设计规范》（GB50099-2011）执行。不得选用居民住宅、半地下室、地下室及其它有安全隐患的场所，应符合《建筑设计防火规范》（GB50016-2014）设置要求，并经公安消防机关检查验收。招收寄宿学员的民办教育培训机构，其生均宿舍使用面积不得少于3平方米，且应当配备与寄宿学员规模相匹配的阅览、生活与运动场所，应当建立健全食品安全管理制度，按照规定配备管理人员，落实食品安全防范措施。</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77"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14、举办者以自有场所办学的，应当提供办学场所的房屋产权证明材料；以租用场所办学的，应当提供房屋租赁合同和经区（县）房屋行政管理部门登记备案的证明，承租方不得擅自更改房屋用途，租赁期限自申请办学之日起不得少于二年。</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299"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B8教学设施（3分）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C15、有满足培训教学需要的设施设备、图书资料、生活及安全保障设施。</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86" w:hRule="atLeast"/>
        </w:trPr>
        <w:tc>
          <w:tcPr>
            <w:tcW w:w="385"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A3办学条件（22分）</w:t>
            </w:r>
          </w:p>
        </w:tc>
        <w:tc>
          <w:tcPr>
            <w:tcW w:w="447"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B9教师队伍（11分）</w:t>
            </w:r>
          </w:p>
        </w:tc>
        <w:tc>
          <w:tcPr>
            <w:tcW w:w="356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16、应当根据办学项目和办学规模配备结构合理、数量充足、具有法定任职资格和任职条件的专兼职教师，专职教师数不得少于教师总数的1/4，其中单个教学场所的专职教师应当不少于3人。民办教育培训机构不得聘用中小学在职教师。</w:t>
            </w:r>
          </w:p>
        </w:tc>
        <w:tc>
          <w:tcPr>
            <w:tcW w:w="254"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349"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4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C17、认真落实并不断提高教师工资福利待遇；与教职工按照规定签订劳动合同并参加社会保险。</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5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xml:space="preserve">C18、重视教师培训工作，认真落实师资培训的有关政策要求，师资培训有计划，目标明确，措施制度落实；教师培训经费落实。 </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70" w:hRule="atLeast"/>
        </w:trPr>
        <w:tc>
          <w:tcPr>
            <w:tcW w:w="385"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A4教育教学管理</w:t>
            </w:r>
            <w:r>
              <w:rPr>
                <w:rFonts w:hint="eastAsia" w:ascii="宋体" w:hAnsi="宋体" w:cs="宋体"/>
                <w:b/>
                <w:bCs/>
                <w:color w:val="000000"/>
                <w:kern w:val="0"/>
                <w:szCs w:val="21"/>
              </w:rPr>
              <w:br w:type="textWrapping"/>
            </w:r>
            <w:r>
              <w:rPr>
                <w:rFonts w:hint="eastAsia" w:ascii="宋体" w:hAnsi="宋体" w:cs="宋体"/>
                <w:b/>
                <w:bCs/>
                <w:color w:val="000000"/>
                <w:kern w:val="0"/>
                <w:szCs w:val="21"/>
              </w:rPr>
              <w:t>（22分）</w:t>
            </w:r>
          </w:p>
        </w:tc>
        <w:tc>
          <w:tcPr>
            <w:tcW w:w="447"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B10德育管理（8分）</w:t>
            </w:r>
          </w:p>
        </w:tc>
        <w:tc>
          <w:tcPr>
            <w:tcW w:w="356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C19、重视师德师风建设，教师有良好的职业道德，为人师表，不歧视、侮辱、打骂和体罚学生。</w:t>
            </w:r>
          </w:p>
        </w:tc>
        <w:tc>
          <w:tcPr>
            <w:tcW w:w="254"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349"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5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C20、认真做好对学生的思想品德教育和思想政治工作，严格校风校纪，采取多种形式加强文明健康的校园文化建设。</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8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C21、师生文明程度高、无违法和重大违规现象。</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5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B11教学计划（8分）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C22、制定与其培训项目相对应的培训计划，合理安排教学内容，应基于相应的课程标准制定科学的教学（培训）评价办法。</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29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23、选用与其培训项目及培训计划相匹配的教材，所有教材均需报审批部门备案，且举办者需对所使用教材的合法性、合规性以及自愿接受主管部门检查等作出书面承诺。涉及引进教材的，应当严格遵守国家出版物进口管理的有关规定，不得违反宪法法律、危害国家安全、破坏民族团结、宣扬邪教迷信。</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0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B12教学管理（6分）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C24、符合国家及本市有关规定，具有明确的办学宗旨及培养目标，不得违背教育规律和学生身心发展规律，学前教育阶段不得进行小学化（课程）教育。</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960" w:hRule="atLeast"/>
        </w:trPr>
        <w:tc>
          <w:tcPr>
            <w:tcW w:w="385"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A5安全卫生管理</w:t>
            </w:r>
            <w:r>
              <w:rPr>
                <w:rFonts w:hint="eastAsia" w:ascii="宋体" w:hAnsi="宋体" w:cs="宋体"/>
                <w:b/>
                <w:bCs/>
                <w:color w:val="000000"/>
                <w:kern w:val="0"/>
                <w:szCs w:val="21"/>
              </w:rPr>
              <w:br w:type="textWrapping"/>
            </w:r>
            <w:r>
              <w:rPr>
                <w:rFonts w:hint="eastAsia" w:ascii="宋体" w:hAnsi="宋体" w:cs="宋体"/>
                <w:b/>
                <w:bCs/>
                <w:color w:val="000000"/>
                <w:kern w:val="0"/>
                <w:szCs w:val="21"/>
              </w:rPr>
              <w:t>（14分）</w:t>
            </w:r>
          </w:p>
        </w:tc>
        <w:tc>
          <w:tcPr>
            <w:tcW w:w="447"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B14安全工作（10分）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25、有安全管理制度和应急处理预案；有专人负责安全工作；“人防、物防、技防”措施落实到位；按规定配足安保人员；严格落实门禁制度；安保器材配备齐全。宿管人员配置标准达到《中小学校学生宿舍（公寓）管理服务规范》（DB51/T1959-2015）。应当按规定配备一名及以上保安人员。公共场监控设备无死角。</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01"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C26、消防安全疏散通道符合要求，保持畅通。学校有房屋、设备、消防、交通等安全防护设施和检查制度，特种设备有专人持证上岗操作，定期维保，做好隐患排查整治工作。</w:t>
            </w:r>
          </w:p>
        </w:tc>
        <w:tc>
          <w:tcPr>
            <w:tcW w:w="254"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60"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C27、定期开展安全、消防、反恐、反邪教、校园欺凌、法治、禁毒、防溺水、防踩踏、防自然灾害等安全教育培训和应急演练，年度均不少于2次。</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483"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Cs w:val="21"/>
              </w:rPr>
            </w:pP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28、建立有利益诉求和矛盾调解处理机制；安排专人定期排查和有效化解校内矛盾；学校、学生、家长、教师无矛盾激化情况；无恶意拖欠教职工工资等行为。一年来无重大安全事故发生，无校车超载现象，无重大的教师、学生、家长上访和投诉事件（经调查属实的一票否决）。</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9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B15卫生工作（4分）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C29、落实《中华人民共和国传染病防治法实施办法》、《中华人民共和国食品安全法》、《中华人民共和国食品安全法实施条例》等法律法规。在卫健委、市场监管等部门指导下开展传染病防控和食品安全工作。</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05" w:hRule="atLeast"/>
        </w:trPr>
        <w:tc>
          <w:tcPr>
            <w:tcW w:w="385"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A6财务管理（10分）</w:t>
            </w:r>
          </w:p>
        </w:tc>
        <w:tc>
          <w:tcPr>
            <w:tcW w:w="447"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B16财务制度（3分）</w:t>
            </w:r>
          </w:p>
        </w:tc>
        <w:tc>
          <w:tcPr>
            <w:tcW w:w="356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C30、建立会计制度和资产管理制度，账册齐全，账目清楚；财务管理人员任职资格和任职条件；资产使用和财务管理符合规定并接受各方监督；学校资产产权明晰；编制年度会计报告提交审计并公布审计结果。</w:t>
            </w:r>
          </w:p>
        </w:tc>
        <w:tc>
          <w:tcPr>
            <w:tcW w:w="254"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0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B17财务人员（2分）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C31、应当配备具备从事会计工作所需要的专业能力的会计人员，会计和出纳不得兼任。会计机构负责人（会计主管人员）应具备从事会计工作三年及以上经历。</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55"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B18资金情况（3分）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C32、营利性民办教育培训机构设立分公司的，应当具备与设立分公司相匹配的资金、教学条件及办学经验。</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68"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B19收退费管理（2分）</w:t>
            </w:r>
          </w:p>
        </w:tc>
        <w:tc>
          <w:tcPr>
            <w:tcW w:w="3563"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C33、严格执行国家的收费政策，收费及退学退费制度完善，执行良好。</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47" w:hRule="atLeast"/>
        </w:trPr>
        <w:tc>
          <w:tcPr>
            <w:tcW w:w="385"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A7办学效益（6分）</w:t>
            </w: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B20学生发展（3分）</w:t>
            </w:r>
          </w:p>
        </w:tc>
        <w:tc>
          <w:tcPr>
            <w:tcW w:w="3563" w:type="pct"/>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C34、达到培养目标要求，学生全面发展，素质教育成果明显。</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49" w:hRule="atLeast"/>
        </w:trPr>
        <w:tc>
          <w:tcPr>
            <w:tcW w:w="38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color w:val="000000"/>
                <w:kern w:val="0"/>
                <w:szCs w:val="21"/>
              </w:rPr>
            </w:pPr>
          </w:p>
        </w:tc>
        <w:tc>
          <w:tcPr>
            <w:tcW w:w="447"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B21社会声誉（3分）</w:t>
            </w:r>
          </w:p>
        </w:tc>
        <w:tc>
          <w:tcPr>
            <w:tcW w:w="3563" w:type="pct"/>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C35、办学特色鲜明，科研成果显著，社会反响良好。</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90" w:hRule="atLeast"/>
        </w:trPr>
        <w:tc>
          <w:tcPr>
            <w:tcW w:w="4395" w:type="pct"/>
            <w:gridSpan w:val="3"/>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合  计</w:t>
            </w:r>
          </w:p>
        </w:tc>
        <w:tc>
          <w:tcPr>
            <w:tcW w:w="254"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100</w:t>
            </w:r>
          </w:p>
        </w:tc>
        <w:tc>
          <w:tcPr>
            <w:tcW w:w="349"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bl>
    <w:p/>
    <w:sectPr>
      <w:pgSz w:w="16838" w:h="11906" w:orient="landscape"/>
      <w:pgMar w:top="1440" w:right="1080" w:bottom="1440" w:left="10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515454"/>
    <w:rsid w:val="01917678"/>
    <w:rsid w:val="21620EEB"/>
    <w:rsid w:val="22864932"/>
    <w:rsid w:val="32515454"/>
    <w:rsid w:val="398014F4"/>
    <w:rsid w:val="3CC41384"/>
    <w:rsid w:val="5BF974D1"/>
    <w:rsid w:val="78567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2021-03-09T00:58:00Z</dcterms:created>
  <dc:creator>李兆卓</dc:creator>
  <cp:lastModifiedBy>李兆卓</cp:lastModifiedBy>
  <dcterms:modified xsi:type="dcterms:W3CDTF">2021-03-09T01:00:55Z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