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孟涛将装饰装修产生的垃圾未清运到规定的</w:t>
      </w:r>
    </w:p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处理场所案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110490</wp:posOffset>
            </wp:positionV>
            <wp:extent cx="5266690" cy="7022465"/>
            <wp:effectExtent l="0" t="0" r="10160" b="6985"/>
            <wp:wrapNone/>
            <wp:docPr id="1" name="图片 1" descr="微信图片_20230313161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3131612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480060</wp:posOffset>
            </wp:positionV>
            <wp:extent cx="5266690" cy="7022465"/>
            <wp:effectExtent l="0" t="0" r="10160" b="6985"/>
            <wp:wrapNone/>
            <wp:docPr id="2" name="图片 2" descr="微信图片_20230313161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03131612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D6135A4"/>
    <w:rsid w:val="2271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40</Characters>
  <Lines>0</Lines>
  <Paragraphs>0</Paragraphs>
  <TotalTime>4</TotalTime>
  <ScaleCrop>false</ScaleCrop>
  <LinksUpToDate>false</LinksUpToDate>
  <CharactersWithSpaces>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2023-03-13T08:09:12Z</dcterms:created>
  <dc:creator>Administrator</dc:creator>
  <cp:lastModifiedBy>猪兔子</cp:lastModifiedBy>
  <dcterms:modified xsi:type="dcterms:W3CDTF">2023-03-13T08:14:47Z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023B6B3EB8C34E589F95037A9FC1EF1A</vt:lpwstr>
  </property>
</Properties>
</file>