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outlineLvl w:val="0"/>
        <w:rPr>
          <w:rFonts w:ascii="黑体" w:hAnsi="黑体" w:eastAsia="黑体"/>
          <w:sz w:val="32"/>
          <w:szCs w:val="32"/>
        </w:rPr>
      </w:pPr>
      <w:r>
        <w:rPr>
          <w:rFonts w:hint="eastAsia" w:ascii="黑体" w:hAnsi="黑体" w:eastAsia="黑体"/>
          <w:sz w:val="32"/>
          <w:szCs w:val="32"/>
        </w:rPr>
        <w:t>附件1</w:t>
      </w:r>
    </w:p>
    <w:p>
      <w:pPr>
        <w:spacing w:line="220" w:lineRule="atLeast"/>
        <w:jc w:val="center"/>
        <w:outlineLvl w:val="0"/>
        <w:rPr>
          <w:rFonts w:ascii="方正小标宋简体" w:hAnsi="黑体" w:eastAsia="方正小标宋简体"/>
          <w:b/>
          <w:sz w:val="44"/>
          <w:szCs w:val="44"/>
        </w:rPr>
      </w:pPr>
      <w:r>
        <w:rPr>
          <w:rFonts w:hint="eastAsia" w:ascii="方正小标宋简体" w:hAnsi="黑体" w:eastAsia="方正小标宋简体"/>
          <w:b/>
          <w:sz w:val="44"/>
          <w:szCs w:val="44"/>
        </w:rPr>
        <w:t>本次检验项目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outlineLvl w:val="0"/>
        <w:rPr>
          <w:rFonts w:ascii="黑体" w:eastAsia="黑体" w:cs="黑体"/>
          <w:color w:val="000000"/>
          <w:sz w:val="32"/>
          <w:szCs w:val="32"/>
        </w:rPr>
      </w:pPr>
      <w:r>
        <w:rPr>
          <w:rFonts w:hint="eastAsia" w:ascii="黑体" w:eastAsia="黑体" w:cs="黑体"/>
          <w:color w:val="000000"/>
          <w:sz w:val="32"/>
          <w:szCs w:val="32"/>
        </w:rPr>
        <w:t>一、炒货食品及坚果制品</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150"/>
        <w:textAlignment w:val="auto"/>
        <w:outlineLvl w:val="1"/>
        <w:rPr>
          <w:rFonts w:ascii="楷体" w:hAnsi="楷体" w:eastAsia="楷体"/>
          <w:b w:val="0"/>
          <w:bCs/>
          <w:sz w:val="32"/>
          <w:szCs w:val="32"/>
        </w:rPr>
      </w:pPr>
      <w:r>
        <w:rPr>
          <w:rFonts w:hint="eastAsia" w:ascii="楷体" w:hAnsi="楷体" w:eastAsia="楷体"/>
          <w:b w:val="0"/>
          <w:bCs/>
          <w:sz w:val="32"/>
          <w:szCs w:val="32"/>
        </w:rPr>
        <w:t>（一）抽检依据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抽检依据是GB 2760-2014《食品安全国家标准食品添加剂使用标准》、GB 2762-2017《食品安全国家标准 食品中污染物限量》、GB 19300-2014《食品安全国家标准 坚果与籽类食品》、产品明示标准和质量要求。</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after="0" w:line="560" w:lineRule="exact"/>
        <w:ind w:firstLineChars="0"/>
        <w:textAlignment w:val="auto"/>
        <w:outlineLvl w:val="1"/>
        <w:rPr>
          <w:rFonts w:ascii="楷体" w:hAnsi="楷体" w:eastAsia="楷体"/>
          <w:b w:val="0"/>
          <w:bCs/>
          <w:sz w:val="32"/>
          <w:szCs w:val="32"/>
        </w:rPr>
      </w:pPr>
      <w:r>
        <w:rPr>
          <w:rFonts w:hint="eastAsia" w:ascii="楷体" w:hAnsi="楷体" w:eastAsia="楷体"/>
          <w:b w:val="0"/>
          <w:bCs/>
          <w:sz w:val="32"/>
          <w:szCs w:val="32"/>
        </w:rPr>
        <w:t>检验项目</w:t>
      </w:r>
      <w:bookmarkStart w:id="1" w:name="_GoBack"/>
      <w:bookmarkEnd w:id="1"/>
    </w:p>
    <w:p>
      <w:pPr>
        <w:keepNext w:val="0"/>
        <w:keepLines w:val="0"/>
        <w:pageBreakBefore w:val="0"/>
        <w:widowControl/>
        <w:numPr>
          <w:ilvl w:val="0"/>
          <w:numId w:val="2"/>
        </w:numPr>
        <w:kinsoku/>
        <w:wordWrap/>
        <w:overflowPunct/>
        <w:topLinePunct w:val="0"/>
        <w:autoSpaceDE/>
        <w:autoSpaceDN/>
        <w:bidi w:val="0"/>
        <w:adjustRightInd w:val="0"/>
        <w:snapToGrid w:val="0"/>
        <w:spacing w:after="0" w:line="560" w:lineRule="exact"/>
        <w:textAlignment w:val="auto"/>
        <w:rPr>
          <w:rFonts w:ascii="仿宋_GB2312" w:hAnsi="黑体" w:eastAsia="仿宋_GB2312"/>
          <w:sz w:val="32"/>
          <w:szCs w:val="32"/>
        </w:rPr>
      </w:pPr>
      <w:r>
        <w:rPr>
          <w:rFonts w:hint="eastAsia" w:ascii="仿宋_GB2312" w:hAnsi="黑体" w:eastAsia="仿宋_GB2312"/>
          <w:sz w:val="32"/>
          <w:szCs w:val="32"/>
        </w:rPr>
        <w:t>其他炒货食品及坚果制品的抽检项目包括酸价(以脂肪计)(KOH)、过氧化值(以脂肪计)、苯甲酸及其钠盐(以苯甲酸计)、山梨酸及其钾盐(以山梨酸计)、糖精钠(以糖精计)、铝的残留量(干样品,以Al计)、 丙酸及其钠盐、钙盐(以丙酸计)、三氯蔗糖、大肠菌群、脱氢乙酸及其钠盐(以脱氢乙酸计)、甜蜜素(以环己基氨基磺酸计)。</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outlineLvl w:val="0"/>
        <w:rPr>
          <w:rFonts w:hint="eastAsia" w:ascii="黑体" w:eastAsia="黑体" w:cs="黑体"/>
          <w:color w:val="000000"/>
          <w:sz w:val="32"/>
          <w:szCs w:val="32"/>
        </w:rPr>
      </w:pPr>
      <w:r>
        <w:rPr>
          <w:rFonts w:hint="eastAsia" w:ascii="黑体" w:eastAsia="黑体" w:cs="黑体"/>
          <w:color w:val="000000"/>
          <w:sz w:val="32"/>
          <w:szCs w:val="32"/>
        </w:rPr>
        <w:t>二、方便食品</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150"/>
        <w:textAlignment w:val="auto"/>
        <w:outlineLvl w:val="1"/>
        <w:rPr>
          <w:rFonts w:ascii="楷体" w:hAnsi="楷体" w:eastAsia="楷体"/>
          <w:b w:val="0"/>
          <w:bCs/>
          <w:sz w:val="32"/>
          <w:szCs w:val="32"/>
        </w:rPr>
      </w:pPr>
      <w:r>
        <w:rPr>
          <w:rFonts w:hint="eastAsia" w:ascii="楷体" w:hAnsi="楷体" w:eastAsia="楷体"/>
          <w:b w:val="0"/>
          <w:bCs/>
          <w:sz w:val="32"/>
          <w:szCs w:val="32"/>
        </w:rPr>
        <w:t>（一）抽检依据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抽检依据是GB 2760-2014《食品安全国家标准食品添加剂使用标准》、产品明示标准和质量要求。</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150"/>
        <w:textAlignment w:val="auto"/>
        <w:outlineLvl w:val="1"/>
        <w:rPr>
          <w:rFonts w:ascii="楷体" w:hAnsi="楷体" w:eastAsia="楷体"/>
          <w:b w:val="0"/>
          <w:bCs/>
          <w:sz w:val="32"/>
          <w:szCs w:val="32"/>
        </w:rPr>
      </w:pPr>
      <w:r>
        <w:rPr>
          <w:rFonts w:hint="eastAsia" w:ascii="楷体" w:hAnsi="楷体" w:eastAsia="楷体"/>
          <w:b w:val="0"/>
          <w:bCs/>
          <w:sz w:val="32"/>
          <w:szCs w:val="32"/>
        </w:rPr>
        <w:t>（二）检验项目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outlineLvl w:val="0"/>
        <w:rPr>
          <w:rFonts w:ascii="仿宋_GB2312" w:hAnsi="黑体" w:eastAsia="仿宋_GB2312"/>
          <w:sz w:val="32"/>
          <w:szCs w:val="32"/>
        </w:rPr>
      </w:pPr>
      <w:r>
        <w:rPr>
          <w:rFonts w:hint="eastAsia" w:ascii="仿宋_GB2312" w:hAnsi="黑体" w:eastAsia="仿宋_GB2312"/>
          <w:sz w:val="32"/>
          <w:szCs w:val="32"/>
        </w:rPr>
        <w:t>1</w:t>
      </w:r>
      <w:r>
        <w:rPr>
          <w:rFonts w:ascii="仿宋_GB2312" w:hAnsi="黑体" w:eastAsia="仿宋_GB2312"/>
          <w:sz w:val="32"/>
          <w:szCs w:val="32"/>
        </w:rPr>
        <w:t>.</w:t>
      </w:r>
      <w:r>
        <w:rPr>
          <w:rFonts w:hint="eastAsia"/>
        </w:rPr>
        <w:t xml:space="preserve"> </w:t>
      </w:r>
      <w:r>
        <w:rPr>
          <w:rFonts w:hint="eastAsia" w:ascii="仿宋_GB2312" w:hAnsi="黑体" w:eastAsia="仿宋_GB2312"/>
          <w:sz w:val="32"/>
          <w:szCs w:val="32"/>
        </w:rPr>
        <w:t>调味面制品的抽检项目包括苯甲酸及其钠盐(以苯甲酸计)、山梨酸及其钾盐(以山梨酸计)、脱氢乙酸及其钠盐(以脱氢乙酸计)、糖精钠(以糖精计)、三氯蔗糖、菌落总数、大肠菌群。</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outlineLvl w:val="0"/>
        <w:rPr>
          <w:rFonts w:ascii="黑体" w:eastAsia="黑体" w:cs="黑体"/>
          <w:color w:val="000000"/>
          <w:sz w:val="32"/>
          <w:szCs w:val="32"/>
        </w:rPr>
      </w:pPr>
      <w:r>
        <w:rPr>
          <w:rFonts w:hint="eastAsia" w:ascii="黑体" w:eastAsia="黑体" w:cs="黑体"/>
          <w:color w:val="000000"/>
          <w:sz w:val="32"/>
          <w:szCs w:val="32"/>
        </w:rPr>
        <w:t>三、糕点</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150"/>
        <w:textAlignment w:val="auto"/>
        <w:outlineLvl w:val="1"/>
        <w:rPr>
          <w:rFonts w:ascii="楷体" w:hAnsi="楷体" w:eastAsia="楷体"/>
          <w:b w:val="0"/>
          <w:bCs/>
          <w:sz w:val="32"/>
          <w:szCs w:val="32"/>
        </w:rPr>
      </w:pPr>
      <w:r>
        <w:rPr>
          <w:rFonts w:hint="eastAsia" w:ascii="楷体" w:hAnsi="楷体" w:eastAsia="楷体"/>
          <w:b w:val="0"/>
          <w:bCs/>
          <w:sz w:val="32"/>
          <w:szCs w:val="32"/>
        </w:rPr>
        <w:t>（一）抽检依据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抽检依据是GB 2760-2014《食品安全国家标准 食品添加剂使用标准》、GB 2762-2017《食品安全国家标准 食品中污染物限量》、GB 7099-2015《食品安全国家标准 糕点、面包》、GB 29921-2021《食品安全国家标准 预包装食品中致病菌限量》、SB/T 10377-2004《粽子》。</w:t>
      </w:r>
    </w:p>
    <w:p>
      <w:pPr>
        <w:pStyle w:val="6"/>
        <w:keepNext w:val="0"/>
        <w:keepLines w:val="0"/>
        <w:pageBreakBefore w:val="0"/>
        <w:widowControl/>
        <w:numPr>
          <w:ilvl w:val="0"/>
          <w:numId w:val="3"/>
        </w:numPr>
        <w:kinsoku/>
        <w:wordWrap/>
        <w:overflowPunct/>
        <w:topLinePunct w:val="0"/>
        <w:autoSpaceDE/>
        <w:autoSpaceDN/>
        <w:bidi w:val="0"/>
        <w:adjustRightInd w:val="0"/>
        <w:snapToGrid w:val="0"/>
        <w:spacing w:after="0" w:line="560" w:lineRule="exact"/>
        <w:ind w:firstLineChars="0"/>
        <w:textAlignment w:val="auto"/>
        <w:outlineLvl w:val="1"/>
        <w:rPr>
          <w:rFonts w:ascii="楷体" w:hAnsi="楷体" w:eastAsia="楷体"/>
          <w:b w:val="0"/>
          <w:bCs/>
          <w:sz w:val="32"/>
          <w:szCs w:val="32"/>
        </w:rPr>
      </w:pPr>
      <w:r>
        <w:rPr>
          <w:rFonts w:hint="eastAsia" w:ascii="楷体" w:hAnsi="楷体" w:eastAsia="楷体"/>
          <w:b w:val="0"/>
          <w:bCs/>
          <w:sz w:val="32"/>
          <w:szCs w:val="32"/>
        </w:rPr>
        <w:t>检验项目</w:t>
      </w:r>
    </w:p>
    <w:p>
      <w:pPr>
        <w:keepNext w:val="0"/>
        <w:keepLines w:val="0"/>
        <w:pageBreakBefore w:val="0"/>
        <w:widowControl/>
        <w:numPr>
          <w:ilvl w:val="0"/>
          <w:numId w:val="4"/>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糕点的抽检项目包括丙酸及其钠盐、钙盐(以丙酸计)、大肠菌群、三氯蔗糖、脱氢乙酸及其钠盐(以脱氢乙酸计)、铝的残留量(干样品,以 Al 计)、甜蜜素(以环己基氨基磺酸计)、糖精钠(以糖精计)、山梨酸及其钾盐(以山梨酸计)、苯甲酸及其钠盐(以苯甲酸计)、过氧化值(以脂肪计)、酸价(以脂肪计)(KOH)、菌落总数。</w:t>
      </w:r>
    </w:p>
    <w:p>
      <w:pPr>
        <w:keepNext w:val="0"/>
        <w:keepLines w:val="0"/>
        <w:pageBreakBefore w:val="0"/>
        <w:widowControl/>
        <w:numPr>
          <w:ilvl w:val="0"/>
          <w:numId w:val="4"/>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粽子的抽检项目包括山梨酸及其钾盐(以山梨酸计)、糖精钠(以糖精计)、安赛蜜、脱氢乙酸及其钠盐(以脱氢乙酸计)。</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outlineLvl w:val="0"/>
        <w:rPr>
          <w:rFonts w:ascii="黑体" w:eastAsia="黑体" w:cs="黑体"/>
          <w:color w:val="000000"/>
          <w:sz w:val="32"/>
          <w:szCs w:val="32"/>
        </w:rPr>
      </w:pPr>
      <w:r>
        <w:rPr>
          <w:rFonts w:hint="eastAsia" w:ascii="黑体" w:eastAsia="黑体" w:cs="黑体"/>
          <w:color w:val="000000"/>
          <w:sz w:val="32"/>
          <w:szCs w:val="32"/>
        </w:rPr>
        <w:t>四、酒类</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150"/>
        <w:textAlignment w:val="auto"/>
        <w:outlineLvl w:val="1"/>
        <w:rPr>
          <w:rFonts w:ascii="楷体" w:hAnsi="楷体" w:eastAsia="楷体"/>
          <w:b w:val="0"/>
          <w:bCs/>
          <w:sz w:val="32"/>
          <w:szCs w:val="32"/>
        </w:rPr>
      </w:pPr>
      <w:r>
        <w:rPr>
          <w:rFonts w:hint="eastAsia" w:ascii="楷体" w:hAnsi="楷体" w:eastAsia="楷体"/>
          <w:b w:val="0"/>
          <w:bCs/>
          <w:sz w:val="32"/>
          <w:szCs w:val="32"/>
        </w:rPr>
        <w:t>（一）抽检依据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抽检依据是GB 2760-2014《食品安全国家标准食品添加剂使用标准》、GB 2757-2012《食品安全国家标准 蒸馏酒及其配制酒》、GB/T 10781.1-2021《白酒质量要求 第1部分:浓香型白酒》。</w:t>
      </w:r>
    </w:p>
    <w:p>
      <w:pPr>
        <w:keepNext w:val="0"/>
        <w:keepLines w:val="0"/>
        <w:pageBreakBefore w:val="0"/>
        <w:widowControl/>
        <w:kinsoku/>
        <w:wordWrap/>
        <w:overflowPunct/>
        <w:topLinePunct w:val="0"/>
        <w:autoSpaceDE/>
        <w:autoSpaceDN/>
        <w:bidi w:val="0"/>
        <w:adjustRightInd w:val="0"/>
        <w:snapToGrid w:val="0"/>
        <w:spacing w:after="0" w:line="560" w:lineRule="exact"/>
        <w:ind w:firstLine="482" w:firstLineChars="150"/>
        <w:textAlignment w:val="auto"/>
        <w:outlineLvl w:val="1"/>
        <w:rPr>
          <w:rFonts w:ascii="楷体" w:hAnsi="楷体" w:eastAsia="楷体"/>
          <w:b/>
          <w:sz w:val="32"/>
          <w:szCs w:val="32"/>
        </w:rPr>
      </w:pPr>
      <w:r>
        <w:rPr>
          <w:rFonts w:hint="eastAsia" w:ascii="楷体" w:hAnsi="楷体" w:eastAsia="楷体"/>
          <w:b/>
          <w:sz w:val="32"/>
          <w:szCs w:val="32"/>
        </w:rPr>
        <w:t>（二）检验项目</w:t>
      </w:r>
    </w:p>
    <w:p>
      <w:pPr>
        <w:keepNext w:val="0"/>
        <w:keepLines w:val="0"/>
        <w:pageBreakBefore w:val="0"/>
        <w:widowControl/>
        <w:numPr>
          <w:ilvl w:val="0"/>
          <w:numId w:val="5"/>
        </w:numPr>
        <w:kinsoku/>
        <w:wordWrap/>
        <w:overflowPunct/>
        <w:topLinePunct w:val="0"/>
        <w:autoSpaceDE/>
        <w:autoSpaceDN/>
        <w:bidi w:val="0"/>
        <w:adjustRightInd w:val="0"/>
        <w:snapToGrid w:val="0"/>
        <w:spacing w:after="0" w:line="560" w:lineRule="exact"/>
        <w:textAlignment w:val="auto"/>
        <w:rPr>
          <w:rFonts w:ascii="仿宋_GB2312" w:hAnsi="黑体" w:eastAsia="仿宋_GB2312"/>
          <w:sz w:val="32"/>
          <w:szCs w:val="32"/>
        </w:rPr>
      </w:pPr>
      <w:r>
        <w:rPr>
          <w:rFonts w:hint="eastAsia" w:ascii="仿宋_GB2312" w:hAnsi="黑体" w:eastAsia="仿宋_GB2312"/>
          <w:sz w:val="32"/>
          <w:szCs w:val="32"/>
        </w:rPr>
        <w:t>白酒、白酒(液态)、白酒(原酒)的抽检项目包括三氯蔗糖、甜蜜素(以环己基氨基磺酸计)、甲醇(按 100%酒精度折算)、氰化物(以 HCN 计)(按 100%酒精度折算)、酒精度。</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outlineLvl w:val="0"/>
        <w:rPr>
          <w:rFonts w:hint="eastAsia" w:ascii="黑体" w:eastAsia="黑体" w:cs="黑体"/>
          <w:color w:val="000000"/>
          <w:sz w:val="32"/>
          <w:szCs w:val="32"/>
        </w:rPr>
      </w:pPr>
      <w:r>
        <w:rPr>
          <w:rFonts w:hint="eastAsia" w:ascii="黑体" w:eastAsia="黑体" w:cs="黑体"/>
          <w:color w:val="000000"/>
          <w:sz w:val="32"/>
          <w:szCs w:val="32"/>
        </w:rPr>
        <w:t>五、粮食加工品</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150"/>
        <w:textAlignment w:val="auto"/>
        <w:outlineLvl w:val="1"/>
        <w:rPr>
          <w:rFonts w:ascii="楷体" w:hAnsi="楷体" w:eastAsia="楷体"/>
          <w:b w:val="0"/>
          <w:bCs/>
          <w:sz w:val="32"/>
          <w:szCs w:val="32"/>
        </w:rPr>
      </w:pPr>
      <w:r>
        <w:rPr>
          <w:rFonts w:hint="eastAsia" w:ascii="楷体" w:hAnsi="楷体" w:eastAsia="楷体"/>
          <w:b w:val="0"/>
          <w:bCs/>
          <w:sz w:val="32"/>
          <w:szCs w:val="32"/>
        </w:rPr>
        <w:t>（一）抽检依据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抽检依据是GB 2760-2014《食品安全国家标准食品添加剂使用标准》。</w:t>
      </w:r>
    </w:p>
    <w:p>
      <w:pPr>
        <w:pStyle w:val="6"/>
        <w:keepNext w:val="0"/>
        <w:keepLines w:val="0"/>
        <w:pageBreakBefore w:val="0"/>
        <w:widowControl/>
        <w:numPr>
          <w:ilvl w:val="0"/>
          <w:numId w:val="6"/>
        </w:numPr>
        <w:kinsoku/>
        <w:wordWrap/>
        <w:overflowPunct/>
        <w:topLinePunct w:val="0"/>
        <w:autoSpaceDE/>
        <w:autoSpaceDN/>
        <w:bidi w:val="0"/>
        <w:adjustRightInd w:val="0"/>
        <w:snapToGrid w:val="0"/>
        <w:spacing w:after="0" w:line="560" w:lineRule="exact"/>
        <w:ind w:firstLineChars="0"/>
        <w:textAlignment w:val="auto"/>
        <w:outlineLvl w:val="1"/>
        <w:rPr>
          <w:rFonts w:ascii="楷体" w:hAnsi="楷体" w:eastAsia="楷体"/>
          <w:b w:val="0"/>
          <w:bCs/>
          <w:sz w:val="32"/>
          <w:szCs w:val="32"/>
        </w:rPr>
      </w:pPr>
      <w:r>
        <w:rPr>
          <w:rFonts w:hint="eastAsia" w:ascii="楷体" w:hAnsi="楷体" w:eastAsia="楷体"/>
          <w:b w:val="0"/>
          <w:bCs/>
          <w:sz w:val="32"/>
          <w:szCs w:val="32"/>
        </w:rPr>
        <w:t>检验项目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1</w:t>
      </w:r>
      <w:r>
        <w:rPr>
          <w:rFonts w:ascii="仿宋_GB2312" w:hAnsi="黑体" w:eastAsia="仿宋_GB2312"/>
          <w:sz w:val="32"/>
          <w:szCs w:val="32"/>
        </w:rPr>
        <w:t>.</w:t>
      </w:r>
      <w:r>
        <w:rPr>
          <w:rFonts w:hint="eastAsia"/>
        </w:rPr>
        <w:t xml:space="preserve"> </w:t>
      </w:r>
      <w:r>
        <w:rPr>
          <w:rFonts w:hint="eastAsia" w:ascii="仿宋_GB2312" w:hAnsi="黑体" w:eastAsia="仿宋_GB2312"/>
          <w:sz w:val="32"/>
          <w:szCs w:val="32"/>
        </w:rPr>
        <w:t>发酵面制品的抽检项目包括苯甲酸及其钠盐(以苯甲酸计)、山梨酸及其钾盐(以山梨酸计)、脱氢乙酸及其钠盐(以脱氢乙酸计)、糖精钠(以糖精计)。</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outlineLvl w:val="0"/>
        <w:rPr>
          <w:rFonts w:ascii="黑体" w:eastAsia="黑体" w:cs="黑体"/>
          <w:color w:val="000000"/>
          <w:sz w:val="32"/>
          <w:szCs w:val="32"/>
        </w:rPr>
      </w:pPr>
      <w:r>
        <w:rPr>
          <w:rFonts w:hint="eastAsia" w:ascii="黑体" w:eastAsia="黑体" w:cs="黑体"/>
          <w:color w:val="000000"/>
          <w:sz w:val="32"/>
          <w:szCs w:val="32"/>
        </w:rPr>
        <w:t>六、蔬菜制品</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150"/>
        <w:textAlignment w:val="auto"/>
        <w:outlineLvl w:val="1"/>
        <w:rPr>
          <w:rFonts w:ascii="楷体" w:hAnsi="楷体" w:eastAsia="楷体"/>
          <w:b w:val="0"/>
          <w:bCs/>
          <w:sz w:val="32"/>
          <w:szCs w:val="32"/>
        </w:rPr>
      </w:pPr>
      <w:r>
        <w:rPr>
          <w:rFonts w:hint="eastAsia" w:ascii="楷体" w:hAnsi="楷体" w:eastAsia="楷体"/>
          <w:b w:val="0"/>
          <w:bCs/>
          <w:sz w:val="32"/>
          <w:szCs w:val="32"/>
        </w:rPr>
        <w:t>（一）抽检依据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抽检依据是GB 2760-2014《食品安全国家标准食品添加剂使用标准》、GB 2714-2015《食品安全国家标准 酱腌菜》。</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150"/>
        <w:textAlignment w:val="auto"/>
        <w:outlineLvl w:val="1"/>
        <w:rPr>
          <w:rFonts w:ascii="楷体" w:hAnsi="楷体" w:eastAsia="楷体"/>
          <w:b w:val="0"/>
          <w:bCs/>
          <w:sz w:val="32"/>
          <w:szCs w:val="32"/>
        </w:rPr>
      </w:pPr>
      <w:r>
        <w:rPr>
          <w:rFonts w:hint="eastAsia" w:ascii="楷体" w:hAnsi="楷体" w:eastAsia="楷体"/>
          <w:b w:val="0"/>
          <w:bCs/>
          <w:sz w:val="32"/>
          <w:szCs w:val="32"/>
        </w:rPr>
        <w:t>（二）检验项目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黑体" w:eastAsia="仿宋_GB2312"/>
          <w:sz w:val="32"/>
          <w:szCs w:val="32"/>
        </w:rPr>
      </w:pPr>
      <w:r>
        <w:rPr>
          <w:rFonts w:hint="eastAsia" w:ascii="仿宋_GB2312" w:hAnsi="黑体" w:eastAsia="仿宋_GB2312"/>
          <w:sz w:val="32"/>
          <w:szCs w:val="32"/>
        </w:rPr>
        <w:t>1</w:t>
      </w:r>
      <w:r>
        <w:rPr>
          <w:rFonts w:ascii="仿宋_GB2312" w:hAnsi="黑体" w:eastAsia="仿宋_GB2312"/>
          <w:sz w:val="32"/>
          <w:szCs w:val="32"/>
        </w:rPr>
        <w:t>.</w:t>
      </w:r>
      <w:r>
        <w:rPr>
          <w:rFonts w:hint="eastAsia"/>
        </w:rPr>
        <w:t xml:space="preserve"> </w:t>
      </w:r>
      <w:r>
        <w:rPr>
          <w:rFonts w:hint="eastAsia" w:ascii="仿宋_GB2312" w:hAnsi="黑体" w:eastAsia="仿宋_GB2312"/>
          <w:sz w:val="32"/>
          <w:szCs w:val="32"/>
        </w:rPr>
        <w:t>其他蔬菜制品的抽检项目包括山梨酸及其钾盐(以山梨酸计)、苯甲酸及其钠盐(以苯甲酸计)、二氧化硫残留量。</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outlineLvl w:val="0"/>
        <w:rPr>
          <w:rFonts w:ascii="黑体" w:eastAsia="黑体" w:cs="黑体"/>
          <w:color w:val="000000"/>
          <w:sz w:val="32"/>
          <w:szCs w:val="32"/>
        </w:rPr>
      </w:pPr>
      <w:r>
        <w:rPr>
          <w:rFonts w:hint="eastAsia" w:ascii="黑体" w:eastAsia="黑体" w:cs="黑体"/>
          <w:color w:val="000000"/>
          <w:sz w:val="32"/>
          <w:szCs w:val="32"/>
        </w:rPr>
        <w:t>七、薯类和膨化食品</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150"/>
        <w:textAlignment w:val="auto"/>
        <w:outlineLvl w:val="1"/>
        <w:rPr>
          <w:rFonts w:ascii="楷体" w:hAnsi="楷体" w:eastAsia="楷体"/>
          <w:b w:val="0"/>
          <w:bCs/>
          <w:sz w:val="32"/>
          <w:szCs w:val="32"/>
        </w:rPr>
      </w:pPr>
      <w:r>
        <w:rPr>
          <w:rFonts w:hint="eastAsia" w:ascii="楷体" w:hAnsi="楷体" w:eastAsia="楷体"/>
          <w:b w:val="0"/>
          <w:bCs/>
          <w:sz w:val="32"/>
          <w:szCs w:val="32"/>
        </w:rPr>
        <w:t>（一）抽检依据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抽检依据是GB 2760-2014《食品安全国家标准食品添加剂使用标准》、GB 17401-2014《食品安全国家标准 膨化食品》、GB 29921-2021《食品安全国家标准 预包装食品中致病菌限量》。</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150"/>
        <w:textAlignment w:val="auto"/>
        <w:outlineLvl w:val="1"/>
        <w:rPr>
          <w:rFonts w:ascii="楷体" w:hAnsi="楷体" w:eastAsia="楷体"/>
          <w:b w:val="0"/>
          <w:bCs/>
          <w:sz w:val="32"/>
          <w:szCs w:val="32"/>
        </w:rPr>
      </w:pPr>
      <w:r>
        <w:rPr>
          <w:rFonts w:hint="eastAsia" w:ascii="楷体" w:hAnsi="楷体" w:eastAsia="楷体"/>
          <w:b w:val="0"/>
          <w:bCs/>
          <w:sz w:val="32"/>
          <w:szCs w:val="32"/>
        </w:rPr>
        <w:t>（二）检验项目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1</w:t>
      </w:r>
      <w:r>
        <w:rPr>
          <w:rFonts w:ascii="仿宋_GB2312" w:hAnsi="黑体" w:eastAsia="仿宋_GB2312"/>
          <w:sz w:val="32"/>
          <w:szCs w:val="32"/>
        </w:rPr>
        <w:t>.</w:t>
      </w:r>
      <w:r>
        <w:rPr>
          <w:rFonts w:hint="eastAsia"/>
        </w:rPr>
        <w:t xml:space="preserve"> </w:t>
      </w:r>
      <w:r>
        <w:rPr>
          <w:rFonts w:hint="eastAsia" w:ascii="仿宋_GB2312" w:hAnsi="黑体" w:eastAsia="仿宋_GB2312"/>
          <w:sz w:val="32"/>
          <w:szCs w:val="32"/>
        </w:rPr>
        <w:t>含油型膨化食品和非含油型膨化食品的抽检项目包括苯甲酸及其钠盐(以苯甲酸计)、山梨酸及其钾盐(以山梨酸计)、糖精钠(以糖精计)、菌落总数、大肠菌群、沙门氏菌、金黄色葡萄球菌。</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outlineLvl w:val="0"/>
        <w:rPr>
          <w:rFonts w:ascii="黑体" w:eastAsia="黑体" w:cs="黑体"/>
          <w:color w:val="000000"/>
          <w:sz w:val="32"/>
          <w:szCs w:val="32"/>
        </w:rPr>
      </w:pPr>
      <w:r>
        <w:rPr>
          <w:rFonts w:hint="eastAsia" w:ascii="黑体" w:eastAsia="黑体" w:cs="黑体"/>
          <w:color w:val="000000"/>
          <w:sz w:val="32"/>
          <w:szCs w:val="32"/>
        </w:rPr>
        <w:t>八、调味品</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150"/>
        <w:textAlignment w:val="auto"/>
        <w:outlineLvl w:val="1"/>
        <w:rPr>
          <w:rFonts w:ascii="楷体" w:hAnsi="楷体" w:eastAsia="楷体"/>
          <w:b w:val="0"/>
          <w:bCs/>
          <w:sz w:val="32"/>
          <w:szCs w:val="32"/>
        </w:rPr>
      </w:pPr>
      <w:r>
        <w:rPr>
          <w:rFonts w:hint="eastAsia" w:ascii="楷体" w:hAnsi="楷体" w:eastAsia="楷体"/>
          <w:b w:val="0"/>
          <w:bCs/>
          <w:sz w:val="32"/>
          <w:szCs w:val="32"/>
        </w:rPr>
        <w:t>（一）抽检依据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抽检依据是GB 2760-2014《食品安全国家标准食品添加剂使用标准》、GB/T 18187-2000《酿造食醋》、产品明示标准和质量要求。</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150"/>
        <w:textAlignment w:val="auto"/>
        <w:outlineLvl w:val="1"/>
        <w:rPr>
          <w:rFonts w:ascii="楷体" w:hAnsi="楷体" w:eastAsia="楷体"/>
          <w:b w:val="0"/>
          <w:bCs/>
          <w:sz w:val="32"/>
          <w:szCs w:val="32"/>
        </w:rPr>
      </w:pPr>
      <w:r>
        <w:rPr>
          <w:rFonts w:hint="eastAsia" w:ascii="楷体" w:hAnsi="楷体" w:eastAsia="楷体"/>
          <w:b w:val="0"/>
          <w:bCs/>
          <w:sz w:val="32"/>
          <w:szCs w:val="32"/>
        </w:rPr>
        <w:t>（二）检验项目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1</w:t>
      </w:r>
      <w:r>
        <w:rPr>
          <w:rFonts w:ascii="仿宋_GB2312" w:hAnsi="黑体" w:eastAsia="仿宋_GB2312"/>
          <w:sz w:val="32"/>
          <w:szCs w:val="32"/>
        </w:rPr>
        <w:t>.</w:t>
      </w:r>
      <w:r>
        <w:rPr>
          <w:rFonts w:hint="eastAsia"/>
        </w:rPr>
        <w:t xml:space="preserve"> </w:t>
      </w:r>
      <w:r>
        <w:rPr>
          <w:rFonts w:hint="eastAsia" w:ascii="仿宋_GB2312" w:hAnsi="黑体" w:eastAsia="仿宋_GB2312"/>
          <w:sz w:val="32"/>
          <w:szCs w:val="32"/>
        </w:rPr>
        <w:t>黄豆酱、甜面酱等的抽检项目包括山梨酸及其钾盐(以山梨酸计)、糖精钠(以糖精计)、苯甲酸及其钠盐(以苯甲酸计)、脱氢乙酸及其钠盐(以脱氢乙酸计)、三氯蔗糖。</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黑体" w:eastAsia="仿宋_GB2312"/>
          <w:sz w:val="32"/>
          <w:szCs w:val="32"/>
        </w:rPr>
      </w:pPr>
      <w:r>
        <w:rPr>
          <w:rFonts w:ascii="仿宋_GB2312" w:hAnsi="黑体" w:eastAsia="仿宋_GB2312"/>
          <w:sz w:val="32"/>
          <w:szCs w:val="32"/>
        </w:rPr>
        <w:t>2.</w:t>
      </w:r>
      <w:r>
        <w:rPr>
          <w:rFonts w:hint="eastAsia"/>
        </w:rPr>
        <w:t xml:space="preserve"> </w:t>
      </w:r>
      <w:r>
        <w:rPr>
          <w:rFonts w:hint="eastAsia" w:ascii="仿宋_GB2312" w:hAnsi="黑体" w:eastAsia="仿宋_GB2312"/>
          <w:sz w:val="32"/>
          <w:szCs w:val="32"/>
        </w:rPr>
        <w:t>食醋的抽检项目包括总酸(以乙酸计)、苯甲酸及其钠盐(以苯甲酸计)、山梨酸及其钾盐(以山梨酸计)、脱氢乙酸及其钠盐(以脱氢乙酸计)、糖精钠(以糖精计)。</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outlineLvl w:val="0"/>
        <w:rPr>
          <w:rFonts w:ascii="黑体" w:eastAsia="黑体" w:cs="黑体"/>
          <w:color w:val="000000"/>
          <w:sz w:val="32"/>
          <w:szCs w:val="32"/>
        </w:rPr>
      </w:pPr>
      <w:r>
        <w:rPr>
          <w:rFonts w:hint="eastAsia" w:ascii="黑体" w:eastAsia="黑体" w:cs="黑体"/>
          <w:color w:val="000000"/>
          <w:sz w:val="32"/>
          <w:szCs w:val="32"/>
        </w:rPr>
        <w:t>九、饮料</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150"/>
        <w:textAlignment w:val="auto"/>
        <w:outlineLvl w:val="1"/>
        <w:rPr>
          <w:rFonts w:ascii="楷体" w:hAnsi="楷体" w:eastAsia="楷体"/>
          <w:b w:val="0"/>
          <w:bCs/>
          <w:sz w:val="32"/>
          <w:szCs w:val="32"/>
        </w:rPr>
      </w:pPr>
      <w:r>
        <w:rPr>
          <w:rFonts w:hint="eastAsia" w:ascii="楷体" w:hAnsi="楷体" w:eastAsia="楷体"/>
          <w:b w:val="0"/>
          <w:bCs/>
          <w:sz w:val="32"/>
          <w:szCs w:val="32"/>
        </w:rPr>
        <w:t>（一）抽检依据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抽检依据是</w:t>
      </w:r>
      <w:bookmarkStart w:id="0" w:name="_Hlk133408939"/>
      <w:r>
        <w:rPr>
          <w:rFonts w:hint="eastAsia" w:ascii="仿宋_GB2312" w:hAnsi="黑体" w:eastAsia="仿宋_GB2312"/>
          <w:sz w:val="32"/>
          <w:szCs w:val="32"/>
        </w:rPr>
        <w:t>GB 2760-2014《食品安全国家标准食品添加剂使用标准》</w:t>
      </w:r>
      <w:bookmarkEnd w:id="0"/>
      <w:r>
        <w:rPr>
          <w:rFonts w:hint="eastAsia" w:ascii="仿宋_GB2312" w:hAnsi="黑体" w:eastAsia="仿宋_GB2312"/>
          <w:sz w:val="32"/>
          <w:szCs w:val="32"/>
        </w:rPr>
        <w:t>、GB 2762-2017《食品安全国家标准 食品中污染物限量、产品明示标准和质量要求。</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150"/>
        <w:textAlignment w:val="auto"/>
        <w:outlineLvl w:val="1"/>
        <w:rPr>
          <w:rFonts w:ascii="楷体" w:hAnsi="楷体" w:eastAsia="楷体"/>
          <w:b w:val="0"/>
          <w:bCs/>
          <w:sz w:val="32"/>
          <w:szCs w:val="32"/>
        </w:rPr>
      </w:pPr>
      <w:r>
        <w:rPr>
          <w:rFonts w:hint="eastAsia" w:ascii="楷体" w:hAnsi="楷体" w:eastAsia="楷体"/>
          <w:b w:val="0"/>
          <w:bCs/>
          <w:sz w:val="32"/>
          <w:szCs w:val="32"/>
        </w:rPr>
        <w:t>（二）检验项目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1</w:t>
      </w:r>
      <w:r>
        <w:rPr>
          <w:rFonts w:ascii="仿宋_GB2312" w:hAnsi="黑体" w:eastAsia="仿宋_GB2312"/>
          <w:sz w:val="32"/>
          <w:szCs w:val="32"/>
        </w:rPr>
        <w:t>.</w:t>
      </w:r>
      <w:r>
        <w:rPr>
          <w:rFonts w:hint="eastAsia"/>
        </w:rPr>
        <w:t xml:space="preserve"> </w:t>
      </w:r>
      <w:r>
        <w:rPr>
          <w:rFonts w:hint="eastAsia" w:ascii="仿宋_GB2312" w:hAnsi="黑体" w:eastAsia="仿宋_GB2312"/>
          <w:sz w:val="32"/>
          <w:szCs w:val="32"/>
        </w:rPr>
        <w:t>其他饮料的抽检项目包括苯甲酸及其钠盐(以苯甲酸计)、山梨酸及其钾盐(以山梨酸计)、糖精钠(以糖精计)、脱氢乙酸及其钠盐(以脱氢乙酸计)、甜蜜素(以环己基氨基磺酸计)、菌落总数、大肠菌群、霉菌、酵母、日落黄、柠檬黄、沙门氏菌、铅（以Pb计）。</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outlineLvl w:val="0"/>
        <w:rPr>
          <w:rFonts w:ascii="黑体" w:eastAsia="黑体" w:cs="黑体"/>
          <w:color w:val="000000"/>
          <w:sz w:val="32"/>
          <w:szCs w:val="32"/>
        </w:rPr>
      </w:pPr>
      <w:r>
        <w:rPr>
          <w:rFonts w:hint="eastAsia" w:ascii="黑体" w:eastAsia="黑体" w:cs="黑体"/>
          <w:color w:val="000000"/>
          <w:sz w:val="32"/>
          <w:szCs w:val="32"/>
        </w:rPr>
        <w:t>十、婴幼儿配方食品</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150"/>
        <w:textAlignment w:val="auto"/>
        <w:outlineLvl w:val="1"/>
        <w:rPr>
          <w:rFonts w:ascii="楷体" w:hAnsi="楷体" w:eastAsia="楷体"/>
          <w:b w:val="0"/>
          <w:bCs/>
          <w:sz w:val="32"/>
          <w:szCs w:val="32"/>
        </w:rPr>
      </w:pPr>
      <w:r>
        <w:rPr>
          <w:rFonts w:hint="eastAsia" w:ascii="楷体" w:hAnsi="楷体" w:eastAsia="楷体"/>
          <w:b w:val="0"/>
          <w:bCs/>
          <w:sz w:val="32"/>
          <w:szCs w:val="32"/>
        </w:rPr>
        <w:t>（一）抽检依据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抽检依据是GB 10767-2021《食品安全国家标准 幼儿配方食品》、GB 2762-2017《食品安全国家标准 食品中污染物限量》、卫生部、工业和信息化部、农业部、工商总局、质检总局公告2011年第10号《关于三聚氰胺在食品中的限量值的公告》。</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150"/>
        <w:textAlignment w:val="auto"/>
        <w:outlineLvl w:val="1"/>
        <w:rPr>
          <w:rFonts w:ascii="楷体" w:hAnsi="楷体" w:eastAsia="楷体"/>
          <w:b w:val="0"/>
          <w:bCs/>
          <w:sz w:val="32"/>
          <w:szCs w:val="32"/>
        </w:rPr>
      </w:pPr>
      <w:r>
        <w:rPr>
          <w:rFonts w:hint="eastAsia" w:ascii="楷体" w:hAnsi="楷体" w:eastAsia="楷体"/>
          <w:b w:val="0"/>
          <w:bCs/>
          <w:sz w:val="32"/>
          <w:szCs w:val="32"/>
        </w:rPr>
        <w:t>（二）检验项目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1</w:t>
      </w:r>
      <w:r>
        <w:rPr>
          <w:rFonts w:ascii="仿宋_GB2312" w:hAnsi="黑体" w:eastAsia="仿宋_GB2312"/>
          <w:sz w:val="32"/>
          <w:szCs w:val="32"/>
        </w:rPr>
        <w:t>.</w:t>
      </w:r>
      <w:r>
        <w:rPr>
          <w:rFonts w:hint="eastAsia"/>
        </w:rPr>
        <w:t xml:space="preserve"> </w:t>
      </w:r>
      <w:r>
        <w:rPr>
          <w:rFonts w:hint="eastAsia" w:ascii="仿宋_GB2312" w:hAnsi="黑体" w:eastAsia="仿宋_GB2312"/>
          <w:sz w:val="32"/>
          <w:szCs w:val="32"/>
        </w:rPr>
        <w:t>幼儿配方食品的抽检项目包括苯甲酸及其钠盐(以苯甲酸计)、山梨酸及其钾盐(以山梨酸计)、糖精钠(以糖精计)、脱氢乙酸及其钠盐(以脱氢乙酸计)、甜蜜素(以环己基氨基磺酸计)、菌落总数、大肠菌群、霉菌、酵母、日落黄、柠檬黄、沙门氏菌、铅（以Pb计）。</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outlineLvl w:val="0"/>
        <w:rPr>
          <w:rFonts w:ascii="黑体" w:eastAsia="黑体" w:cs="黑体"/>
          <w:color w:val="000000"/>
          <w:sz w:val="32"/>
          <w:szCs w:val="32"/>
        </w:rPr>
      </w:pPr>
      <w:r>
        <w:rPr>
          <w:rFonts w:hint="eastAsia" w:ascii="黑体" w:eastAsia="黑体" w:cs="黑体"/>
          <w:color w:val="000000"/>
          <w:sz w:val="32"/>
          <w:szCs w:val="32"/>
        </w:rPr>
        <w:t>十一、罐头</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150"/>
        <w:textAlignment w:val="auto"/>
        <w:outlineLvl w:val="1"/>
        <w:rPr>
          <w:rFonts w:ascii="楷体" w:hAnsi="楷体" w:eastAsia="楷体"/>
          <w:b w:val="0"/>
          <w:bCs/>
          <w:sz w:val="32"/>
          <w:szCs w:val="32"/>
        </w:rPr>
      </w:pPr>
      <w:r>
        <w:rPr>
          <w:rFonts w:hint="eastAsia" w:ascii="楷体" w:hAnsi="楷体" w:eastAsia="楷体"/>
          <w:b w:val="0"/>
          <w:bCs/>
          <w:sz w:val="32"/>
          <w:szCs w:val="32"/>
        </w:rPr>
        <w:t>（一）抽检依据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抽检依据是GB 2760-2014《食品安全国家标准 食品添加剂使用标准》。</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150"/>
        <w:textAlignment w:val="auto"/>
        <w:outlineLvl w:val="1"/>
        <w:rPr>
          <w:rFonts w:ascii="楷体" w:hAnsi="楷体" w:eastAsia="楷体"/>
          <w:b w:val="0"/>
          <w:bCs/>
          <w:sz w:val="32"/>
          <w:szCs w:val="32"/>
        </w:rPr>
      </w:pPr>
      <w:r>
        <w:rPr>
          <w:rFonts w:hint="eastAsia" w:ascii="楷体" w:hAnsi="楷体" w:eastAsia="楷体"/>
          <w:b w:val="0"/>
          <w:bCs/>
          <w:sz w:val="32"/>
          <w:szCs w:val="32"/>
        </w:rPr>
        <w:t>（二）检验项目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黑体" w:eastAsia="仿宋_GB2312"/>
          <w:sz w:val="32"/>
          <w:szCs w:val="32"/>
        </w:rPr>
      </w:pPr>
      <w:r>
        <w:rPr>
          <w:rFonts w:hint="eastAsia" w:ascii="仿宋_GB2312" w:hAnsi="黑体" w:eastAsia="仿宋_GB2312"/>
          <w:sz w:val="32"/>
          <w:szCs w:val="32"/>
        </w:rPr>
        <w:t>1</w:t>
      </w:r>
      <w:r>
        <w:rPr>
          <w:rFonts w:ascii="仿宋_GB2312" w:hAnsi="黑体" w:eastAsia="仿宋_GB2312"/>
          <w:sz w:val="32"/>
          <w:szCs w:val="32"/>
        </w:rPr>
        <w:t>.</w:t>
      </w:r>
      <w:r>
        <w:rPr>
          <w:rFonts w:hint="eastAsia"/>
        </w:rPr>
        <w:t xml:space="preserve"> </w:t>
      </w:r>
      <w:r>
        <w:rPr>
          <w:rFonts w:hint="eastAsia" w:ascii="仿宋_GB2312" w:hAnsi="黑体" w:eastAsia="仿宋_GB2312"/>
          <w:sz w:val="32"/>
          <w:szCs w:val="32"/>
        </w:rPr>
        <w:t>水果类罐头的抽检项目包括苯甲酸及其钠盐(以苯甲酸计)、赤藓红、山梨酸及其钾盐(以山梨酸计)、糖精钠(以糖精计)、甜蜜素(以环己基氨基磺酸计)、脱氢乙酸及其钠盐(以脱氢乙酸计)、胭脂红、诱惑红。</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outlineLvl w:val="0"/>
        <w:rPr>
          <w:rFonts w:ascii="黑体" w:eastAsia="黑体" w:cs="黑体"/>
          <w:color w:val="000000"/>
          <w:sz w:val="32"/>
          <w:szCs w:val="32"/>
        </w:rPr>
      </w:pPr>
      <w:r>
        <w:rPr>
          <w:rFonts w:hint="eastAsia" w:ascii="黑体" w:eastAsia="黑体" w:cs="黑体"/>
          <w:color w:val="000000"/>
          <w:sz w:val="32"/>
          <w:szCs w:val="32"/>
        </w:rPr>
        <w:t>十二、食用农产品</w:t>
      </w:r>
    </w:p>
    <w:p>
      <w:pPr>
        <w:keepNext w:val="0"/>
        <w:keepLines w:val="0"/>
        <w:pageBreakBefore w:val="0"/>
        <w:widowControl/>
        <w:kinsoku/>
        <w:wordWrap/>
        <w:overflowPunct/>
        <w:topLinePunct w:val="0"/>
        <w:autoSpaceDE/>
        <w:autoSpaceDN/>
        <w:bidi w:val="0"/>
        <w:adjustRightInd w:val="0"/>
        <w:snapToGrid w:val="0"/>
        <w:spacing w:after="0" w:line="560" w:lineRule="exact"/>
        <w:ind w:firstLine="480" w:firstLineChars="150"/>
        <w:textAlignment w:val="auto"/>
        <w:outlineLvl w:val="1"/>
        <w:rPr>
          <w:rFonts w:ascii="楷体" w:hAnsi="楷体" w:eastAsia="楷体"/>
          <w:b w:val="0"/>
          <w:bCs/>
          <w:sz w:val="32"/>
          <w:szCs w:val="32"/>
        </w:rPr>
      </w:pPr>
      <w:r>
        <w:rPr>
          <w:rFonts w:hint="eastAsia" w:ascii="楷体" w:hAnsi="楷体" w:eastAsia="楷体"/>
          <w:b w:val="0"/>
          <w:bCs/>
          <w:sz w:val="32"/>
          <w:szCs w:val="32"/>
        </w:rPr>
        <w:t>（一）抽检依据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仿宋_GB2312" w:hAnsi="黑体" w:eastAsia="仿宋_GB2312"/>
          <w:sz w:val="32"/>
          <w:szCs w:val="32"/>
        </w:rPr>
      </w:pPr>
      <w:r>
        <w:rPr>
          <w:rFonts w:hint="eastAsia" w:ascii="仿宋_GB2312" w:hAnsi="黑体" w:eastAsia="仿宋_GB2312"/>
          <w:sz w:val="32"/>
          <w:szCs w:val="32"/>
        </w:rPr>
        <w:t>抽检依据是GB 2762-2017《食品安全国家标准食品中污染物限量》、GB 2762-2022《食品安全国家标准 食品中污染物限量》、GB 2763-2021《食品安全国家标准 食品中农药最大残留限量》、GB 2763.1-2022《食品安全国家标准食品中2,4-滴丁酸钠盐等112种农药最大残留限量》、GB 22556-2008《豆芽卫生标准》、GB 2733-2015《食品安全国家标准 鲜、冻动物性水产品》、GB 2763-2021《食品安全国家标准 食品中农药最大残留限量》、GB 31650.1-2022《食品安全国家标准 食品中41种兽药最大残留限量》、GB 31650-2019《食品安全国家标准 食品中兽药最大残留限量》、国家食品药品监督管理总局 农业部 国家卫生和计划生育委员会关于豆芽生产过程中禁止使用6-苄基腺嘌呤等物质的公告(2015 年第 11 号)、国家食品药品监督管理总局农业部国家卫生和计划生育委员会关于豆芽生产过程中禁 止使用 6-苄基腺嘌呤等物质的公告(2015 年第 11 号)要求、农业农村部公告 第250号《食品动物中禁止使用的药品及其他化合物清单》。</w:t>
      </w:r>
    </w:p>
    <w:p>
      <w:pPr>
        <w:pStyle w:val="6"/>
        <w:keepNext w:val="0"/>
        <w:keepLines w:val="0"/>
        <w:pageBreakBefore w:val="0"/>
        <w:widowControl/>
        <w:numPr>
          <w:ilvl w:val="0"/>
          <w:numId w:val="7"/>
        </w:numPr>
        <w:kinsoku/>
        <w:wordWrap/>
        <w:overflowPunct/>
        <w:topLinePunct w:val="0"/>
        <w:autoSpaceDE/>
        <w:autoSpaceDN/>
        <w:bidi w:val="0"/>
        <w:adjustRightInd w:val="0"/>
        <w:snapToGrid w:val="0"/>
        <w:spacing w:after="0" w:line="560" w:lineRule="exact"/>
        <w:ind w:firstLineChars="0"/>
        <w:textAlignment w:val="auto"/>
        <w:outlineLvl w:val="1"/>
        <w:rPr>
          <w:rFonts w:ascii="楷体" w:hAnsi="楷体" w:eastAsia="楷体"/>
          <w:b w:val="0"/>
          <w:bCs/>
          <w:sz w:val="32"/>
          <w:szCs w:val="32"/>
        </w:rPr>
      </w:pPr>
      <w:r>
        <w:rPr>
          <w:rFonts w:hint="eastAsia" w:ascii="楷体" w:hAnsi="楷体" w:eastAsia="楷体"/>
          <w:b w:val="0"/>
          <w:bCs/>
          <w:sz w:val="32"/>
          <w:szCs w:val="32"/>
        </w:rPr>
        <w:t>检验项目</w:t>
      </w:r>
    </w:p>
    <w:p>
      <w:pPr>
        <w:keepNext w:val="0"/>
        <w:keepLines w:val="0"/>
        <w:pageBreakBefore w:val="0"/>
        <w:widowControl/>
        <w:numPr>
          <w:ilvl w:val="0"/>
          <w:numId w:val="8"/>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贝类的抽检项目包括呋喃西林代谢物、呋喃唑酮代谢物、孔雀石绿、镉(以 Cd 计)、氟苯尼考、恩诺沙星、氯霉素；</w:t>
      </w:r>
    </w:p>
    <w:p>
      <w:pPr>
        <w:keepNext w:val="0"/>
        <w:keepLines w:val="0"/>
        <w:pageBreakBefore w:val="0"/>
        <w:widowControl/>
        <w:numPr>
          <w:ilvl w:val="0"/>
          <w:numId w:val="8"/>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海水虾的抽检项目包括氯霉素、孔雀石绿、二氧化硫残留量、镉（以Cd计）、恩诺沙星、呋喃唑酮代谢物；</w:t>
      </w:r>
    </w:p>
    <w:p>
      <w:pPr>
        <w:keepNext w:val="0"/>
        <w:keepLines w:val="0"/>
        <w:pageBreakBefore w:val="0"/>
        <w:widowControl/>
        <w:numPr>
          <w:ilvl w:val="0"/>
          <w:numId w:val="8"/>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海水鱼的抽检项目包括培氟沙星、氧氟沙星、孔雀石绿、恩诺沙星、甲硝唑、五氯酚酸钠（以五氯酚计）、呋喃唑酮代谢物、呋喃西林代谢物、氯霉素、呋喃它酮代谢物；</w:t>
      </w:r>
    </w:p>
    <w:p>
      <w:pPr>
        <w:keepNext w:val="0"/>
        <w:keepLines w:val="0"/>
        <w:pageBreakBefore w:val="0"/>
        <w:widowControl/>
        <w:numPr>
          <w:ilvl w:val="0"/>
          <w:numId w:val="8"/>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其他水产品抽检项目包括恩诺沙星、孔雀石绿、氯霉素、诺氟沙星、氧氟沙星；</w:t>
      </w:r>
    </w:p>
    <w:p>
      <w:pPr>
        <w:keepNext w:val="0"/>
        <w:keepLines w:val="0"/>
        <w:pageBreakBefore w:val="0"/>
        <w:widowControl/>
        <w:numPr>
          <w:ilvl w:val="0"/>
          <w:numId w:val="8"/>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豆芽的抽检项目包括亚硫酸盐</w:t>
      </w:r>
      <w:r>
        <w:rPr>
          <w:rFonts w:ascii="仿宋_GB2312" w:hAnsi="黑体" w:eastAsia="仿宋_GB2312"/>
          <w:sz w:val="32"/>
          <w:szCs w:val="32"/>
        </w:rPr>
        <w:t>(</w:t>
      </w:r>
      <w:r>
        <w:rPr>
          <w:rFonts w:hint="eastAsia" w:ascii="仿宋_GB2312" w:hAnsi="黑体" w:eastAsia="仿宋_GB2312"/>
          <w:sz w:val="32"/>
          <w:szCs w:val="32"/>
        </w:rPr>
        <w:t>以</w:t>
      </w:r>
      <w:r>
        <w:rPr>
          <w:rFonts w:ascii="仿宋_GB2312" w:hAnsi="黑体" w:eastAsia="仿宋_GB2312"/>
          <w:sz w:val="32"/>
          <w:szCs w:val="32"/>
        </w:rPr>
        <w:t xml:space="preserve"> SO</w:t>
      </w:r>
      <w:r>
        <w:rPr>
          <w:rFonts w:ascii="Cambria Math" w:hAnsi="Cambria Math" w:eastAsia="仿宋_GB2312" w:cs="Cambria Math"/>
          <w:sz w:val="32"/>
          <w:szCs w:val="32"/>
        </w:rPr>
        <w:t>₂</w:t>
      </w:r>
      <w:r>
        <w:rPr>
          <w:rFonts w:hint="eastAsia" w:ascii="仿宋_GB2312" w:hAnsi="黑体" w:eastAsia="仿宋_GB2312"/>
          <w:sz w:val="32"/>
          <w:szCs w:val="32"/>
        </w:rPr>
        <w:t>计</w:t>
      </w:r>
      <w:r>
        <w:rPr>
          <w:rFonts w:ascii="仿宋_GB2312" w:hAnsi="黑体" w:eastAsia="仿宋_GB2312"/>
          <w:sz w:val="32"/>
          <w:szCs w:val="32"/>
        </w:rPr>
        <w:t>)</w:t>
      </w:r>
      <w:r>
        <w:rPr>
          <w:rFonts w:hint="eastAsia" w:ascii="仿宋_GB2312" w:hAnsi="黑体" w:eastAsia="仿宋_GB2312"/>
          <w:sz w:val="32"/>
          <w:szCs w:val="32"/>
        </w:rPr>
        <w:t>、铅</w:t>
      </w:r>
      <w:r>
        <w:rPr>
          <w:rFonts w:ascii="仿宋_GB2312" w:hAnsi="黑体" w:eastAsia="仿宋_GB2312"/>
          <w:sz w:val="32"/>
          <w:szCs w:val="32"/>
        </w:rPr>
        <w:t>(</w:t>
      </w:r>
      <w:r>
        <w:rPr>
          <w:rFonts w:hint="eastAsia" w:ascii="仿宋_GB2312" w:hAnsi="黑体" w:eastAsia="仿宋_GB2312"/>
          <w:sz w:val="32"/>
          <w:szCs w:val="32"/>
        </w:rPr>
        <w:t>以</w:t>
      </w:r>
      <w:r>
        <w:rPr>
          <w:rFonts w:ascii="仿宋_GB2312" w:hAnsi="黑体" w:eastAsia="仿宋_GB2312"/>
          <w:sz w:val="32"/>
          <w:szCs w:val="32"/>
        </w:rPr>
        <w:t xml:space="preserve"> Pb </w:t>
      </w:r>
      <w:r>
        <w:rPr>
          <w:rFonts w:hint="eastAsia" w:ascii="仿宋_GB2312" w:hAnsi="黑体" w:eastAsia="仿宋_GB2312"/>
          <w:sz w:val="32"/>
          <w:szCs w:val="32"/>
        </w:rPr>
        <w:t>计</w:t>
      </w:r>
      <w:r>
        <w:rPr>
          <w:rFonts w:ascii="仿宋_GB2312" w:hAnsi="黑体" w:eastAsia="仿宋_GB2312"/>
          <w:sz w:val="32"/>
          <w:szCs w:val="32"/>
        </w:rPr>
        <w:t>)</w:t>
      </w:r>
      <w:r>
        <w:rPr>
          <w:rFonts w:hint="eastAsia" w:ascii="仿宋_GB2312" w:hAnsi="黑体" w:eastAsia="仿宋_GB2312"/>
          <w:sz w:val="32"/>
          <w:szCs w:val="32"/>
        </w:rPr>
        <w:t>、</w:t>
      </w:r>
      <w:r>
        <w:rPr>
          <w:rFonts w:ascii="仿宋_GB2312" w:hAnsi="黑体" w:eastAsia="仿宋_GB2312"/>
          <w:sz w:val="32"/>
          <w:szCs w:val="32"/>
        </w:rPr>
        <w:t>6-</w:t>
      </w:r>
      <w:r>
        <w:rPr>
          <w:rFonts w:hint="eastAsia" w:ascii="仿宋_GB2312" w:hAnsi="黑体" w:eastAsia="仿宋_GB2312"/>
          <w:sz w:val="32"/>
          <w:szCs w:val="32"/>
        </w:rPr>
        <w:t>苄基腺嘌呤</w:t>
      </w:r>
      <w:r>
        <w:rPr>
          <w:rFonts w:ascii="仿宋_GB2312" w:hAnsi="黑体" w:eastAsia="仿宋_GB2312"/>
          <w:sz w:val="32"/>
          <w:szCs w:val="32"/>
        </w:rPr>
        <w:t>(6-BA)</w:t>
      </w:r>
      <w:r>
        <w:rPr>
          <w:rFonts w:hint="eastAsia" w:ascii="仿宋_GB2312" w:hAnsi="黑体" w:eastAsia="仿宋_GB2312"/>
          <w:sz w:val="32"/>
          <w:szCs w:val="32"/>
        </w:rPr>
        <w:t>、</w:t>
      </w:r>
      <w:r>
        <w:rPr>
          <w:rFonts w:ascii="仿宋_GB2312" w:hAnsi="黑体" w:eastAsia="仿宋_GB2312"/>
          <w:sz w:val="32"/>
          <w:szCs w:val="32"/>
        </w:rPr>
        <w:t>4-</w:t>
      </w:r>
      <w:r>
        <w:rPr>
          <w:rFonts w:hint="eastAsia" w:ascii="仿宋_GB2312" w:hAnsi="黑体" w:eastAsia="仿宋_GB2312"/>
          <w:sz w:val="32"/>
          <w:szCs w:val="32"/>
        </w:rPr>
        <w:t>氯苯氧乙酸钠</w:t>
      </w:r>
      <w:r>
        <w:rPr>
          <w:rFonts w:ascii="仿宋_GB2312" w:hAnsi="黑体" w:eastAsia="仿宋_GB2312"/>
          <w:sz w:val="32"/>
          <w:szCs w:val="32"/>
        </w:rPr>
        <w:t>(</w:t>
      </w:r>
      <w:r>
        <w:rPr>
          <w:rFonts w:hint="eastAsia" w:ascii="仿宋_GB2312" w:hAnsi="黑体" w:eastAsia="仿宋_GB2312"/>
          <w:sz w:val="32"/>
          <w:szCs w:val="32"/>
        </w:rPr>
        <w:t>以</w:t>
      </w:r>
      <w:r>
        <w:rPr>
          <w:rFonts w:ascii="仿宋_GB2312" w:hAnsi="黑体" w:eastAsia="仿宋_GB2312"/>
          <w:sz w:val="32"/>
          <w:szCs w:val="32"/>
        </w:rPr>
        <w:t xml:space="preserve"> 4-</w:t>
      </w:r>
      <w:r>
        <w:rPr>
          <w:rFonts w:hint="eastAsia" w:ascii="仿宋_GB2312" w:hAnsi="黑体" w:eastAsia="仿宋_GB2312"/>
          <w:sz w:val="32"/>
          <w:szCs w:val="32"/>
        </w:rPr>
        <w:t>氯苯氧乙酸计</w:t>
      </w:r>
      <w:r>
        <w:rPr>
          <w:rFonts w:ascii="仿宋_GB2312" w:hAnsi="黑体" w:eastAsia="仿宋_GB2312"/>
          <w:sz w:val="32"/>
          <w:szCs w:val="32"/>
        </w:rPr>
        <w:t>)</w:t>
      </w:r>
      <w:r>
        <w:rPr>
          <w:rFonts w:hint="eastAsia" w:ascii="仿宋_GB2312" w:hAnsi="黑体" w:eastAsia="仿宋_GB2312"/>
          <w:sz w:val="32"/>
          <w:szCs w:val="32"/>
        </w:rPr>
        <w:t>；</w:t>
      </w:r>
    </w:p>
    <w:p>
      <w:pPr>
        <w:keepNext w:val="0"/>
        <w:keepLines w:val="0"/>
        <w:pageBreakBefore w:val="0"/>
        <w:widowControl/>
        <w:numPr>
          <w:ilvl w:val="0"/>
          <w:numId w:val="8"/>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菠菜的抽检项目包括阿维菌素、毒死蜱、氟虫腈、腐霉利、甲拌磷、氯氟氰菊酯和高效氯氟氰菊酯、氧乐果、乙酰甲胺磷；</w:t>
      </w:r>
    </w:p>
    <w:p>
      <w:pPr>
        <w:keepNext w:val="0"/>
        <w:keepLines w:val="0"/>
        <w:pageBreakBefore w:val="0"/>
        <w:widowControl/>
        <w:numPr>
          <w:ilvl w:val="0"/>
          <w:numId w:val="8"/>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菜豆的抽检项目包括氧乐果、毒死蜱、多菌灵、氯氟氰菊酯和高效氯氟氰菊酯、灭蝇胺、噻虫胺、乙酰甲胺磷；</w:t>
      </w:r>
    </w:p>
    <w:p>
      <w:pPr>
        <w:keepNext w:val="0"/>
        <w:keepLines w:val="0"/>
        <w:pageBreakBefore w:val="0"/>
        <w:widowControl/>
        <w:numPr>
          <w:ilvl w:val="0"/>
          <w:numId w:val="8"/>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橙的抽检项目包括三唑磷、杀扑磷、丙溴磷、氯唑磷、苯醚甲环唑、氧乐果、克百威、水胺硫磷、联苯菊酯；</w:t>
      </w:r>
    </w:p>
    <w:p>
      <w:pPr>
        <w:keepNext w:val="0"/>
        <w:keepLines w:val="0"/>
        <w:pageBreakBefore w:val="0"/>
        <w:widowControl/>
        <w:numPr>
          <w:ilvl w:val="0"/>
          <w:numId w:val="8"/>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柑、橘的抽检项目包括苯醚甲环唑、甲拌磷、丙溴磷、水胺硫磷、氯氟氰菊酯和高效氯氟氰菊酯、毒死蜱、联苯菊酯、氯唑磷；</w:t>
      </w:r>
    </w:p>
    <w:p>
      <w:pPr>
        <w:keepNext w:val="0"/>
        <w:keepLines w:val="0"/>
        <w:pageBreakBefore w:val="0"/>
        <w:widowControl/>
        <w:numPr>
          <w:ilvl w:val="0"/>
          <w:numId w:val="8"/>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姜的抽检项目包括噻虫胺、氧乐果、噻虫嗪、氯唑磷、克百威、甲拌磷、毒死蜱、敌敌畏、吡虫啉；</w:t>
      </w:r>
    </w:p>
    <w:p>
      <w:pPr>
        <w:keepNext w:val="0"/>
        <w:keepLines w:val="0"/>
        <w:pageBreakBefore w:val="0"/>
        <w:widowControl/>
        <w:numPr>
          <w:ilvl w:val="0"/>
          <w:numId w:val="8"/>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韭菜的抽检项目包括氧乐果、克百威、甲拌磷、腐霉利、多菌灵、毒死蜱、啶虫脒、敌敌畏、阿维菌素；</w:t>
      </w:r>
    </w:p>
    <w:p>
      <w:pPr>
        <w:keepNext w:val="0"/>
        <w:keepLines w:val="0"/>
        <w:pageBreakBefore w:val="0"/>
        <w:widowControl/>
        <w:numPr>
          <w:ilvl w:val="0"/>
          <w:numId w:val="8"/>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普通白菜的抽检项目包括吡虫啉、氧乐果、氯氰菊酯和高效氯氰菊酯、氯氟氰菊酯和高效氯氟氰菊酯、克百威、甲拌磷、甲胺磷、毒死蜱、啶虫脒；</w:t>
      </w:r>
    </w:p>
    <w:p>
      <w:pPr>
        <w:keepNext w:val="0"/>
        <w:keepLines w:val="0"/>
        <w:pageBreakBefore w:val="0"/>
        <w:widowControl/>
        <w:numPr>
          <w:ilvl w:val="0"/>
          <w:numId w:val="8"/>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芹菜的氧乐果、水胺硫磷、噻虫嗪、噻虫胺、氯氰菊酯和高效氯氰菊酯、氯氟氰菊酯和高效氯氟氰菊酯、甲拌磷、毒死蜱、啶虫脒、苯醚甲环唑；</w:t>
      </w:r>
    </w:p>
    <w:p>
      <w:pPr>
        <w:keepNext w:val="0"/>
        <w:keepLines w:val="0"/>
        <w:pageBreakBefore w:val="0"/>
        <w:widowControl/>
        <w:numPr>
          <w:ilvl w:val="0"/>
          <w:numId w:val="8"/>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香蕉的甲拌磷、烯唑醇、联苯菊酯、苯醚甲环唑、多菌灵、吡唑醚菊酯、腈苯唑、噻虫胺、噻虫嗪、吡虫啉。</w:t>
      </w:r>
    </w:p>
    <w:p>
      <w:pPr>
        <w:keepNext w:val="0"/>
        <w:keepLines w:val="0"/>
        <w:pageBreakBefore w:val="0"/>
        <w:widowControl/>
        <w:numPr>
          <w:ilvl w:val="0"/>
          <w:numId w:val="8"/>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杨梅的抽检项目包括三氯蔗糖、山梨酸及其钾盐(以山梨酸计)、苯甲酸及其钠盐(以苯甲酸计)、脱氢乙酸及其钠盐(以脱氢乙酸计)、糖精钠(以糖精计)；</w:t>
      </w:r>
    </w:p>
    <w:p>
      <w:pPr>
        <w:keepNext w:val="0"/>
        <w:keepLines w:val="0"/>
        <w:pageBreakBefore w:val="0"/>
        <w:widowControl/>
        <w:numPr>
          <w:ilvl w:val="0"/>
          <w:numId w:val="8"/>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豇豆的抽检项目包括乙酰甲胺磷、氧乐果、水胺硫磷、灭蝇胺、氯唑磷、氯氰菊酯和高效氯氰菊酯、氯氟氰菊酯和高效氯氟氰菊酯、甲基异柳磷、甲拌磷、甲胺磷、甲氨基阿维菌素苯甲酸盐、毒死蜱、啶虫脒、倍硫磷；</w:t>
      </w:r>
    </w:p>
    <w:p>
      <w:pPr>
        <w:keepNext w:val="0"/>
        <w:keepLines w:val="0"/>
        <w:pageBreakBefore w:val="0"/>
        <w:widowControl/>
        <w:numPr>
          <w:ilvl w:val="0"/>
          <w:numId w:val="8"/>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姜的抽检项目包括乙酰甲胺磷、氧乐果、噻虫嗪、噻虫胺、氯唑磷、氯氰菊酯和高效氯氰菊酯、氯氟氰菊酯和高效氯氟氰菊酯、甲拌磷、毒死蜱、敌敌畏；</w:t>
      </w:r>
    </w:p>
    <w:p>
      <w:pPr>
        <w:keepNext w:val="0"/>
        <w:keepLines w:val="0"/>
        <w:pageBreakBefore w:val="0"/>
        <w:widowControl/>
        <w:numPr>
          <w:ilvl w:val="0"/>
          <w:numId w:val="8"/>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韭菜的抽检项目包括乙酰甲胺磷、氧乐果、水胺硫磷、氯氟氰菊酯和高效氯氟氰菊酯、甲基异柳磷、甲拌磷、甲胺磷、腐霉利、多菌灵、毒死蜱、啶虫脒、敌敌畏；</w:t>
      </w:r>
    </w:p>
    <w:p>
      <w:pPr>
        <w:keepNext w:val="0"/>
        <w:keepLines w:val="0"/>
        <w:pageBreakBefore w:val="0"/>
        <w:widowControl/>
        <w:numPr>
          <w:ilvl w:val="0"/>
          <w:numId w:val="8"/>
        </w:numPr>
        <w:kinsoku/>
        <w:wordWrap/>
        <w:overflowPunct/>
        <w:topLinePunct w:val="0"/>
        <w:autoSpaceDE/>
        <w:autoSpaceDN/>
        <w:bidi w:val="0"/>
        <w:adjustRightInd w:val="0"/>
        <w:snapToGrid w:val="0"/>
        <w:spacing w:after="0" w:line="560" w:lineRule="exact"/>
        <w:jc w:val="both"/>
        <w:textAlignment w:val="auto"/>
        <w:rPr>
          <w:rFonts w:ascii="仿宋_GB2312" w:hAnsi="黑体" w:eastAsia="仿宋_GB2312"/>
          <w:sz w:val="32"/>
          <w:szCs w:val="32"/>
        </w:rPr>
      </w:pPr>
      <w:r>
        <w:rPr>
          <w:rFonts w:hint="eastAsia" w:ascii="仿宋_GB2312" w:hAnsi="黑体" w:eastAsia="仿宋_GB2312"/>
          <w:sz w:val="32"/>
          <w:szCs w:val="32"/>
        </w:rPr>
        <w:t>菠菜的抽检项目包括毒死蜱、氟虫腈、腐霉利、甲氨基阿维菌素苯甲酸盐、甲拌磷、乐果、氯氟氰菊酯和高效氯氟氰菊酯、氯氰菊酯和高效氯氰菊酯、氧乐果、乙酰甲胺磷。</w:t>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mbria Math">
    <w:panose1 w:val="02040503050406030204"/>
    <w:charset w:val="00"/>
    <w:family w:val="roman"/>
    <w:pitch w:val="default"/>
    <w:sig w:usb0="E00002FF" w:usb1="420024FF" w:usb2="00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1E1C6"/>
    <w:multiLevelType w:val="singleLevel"/>
    <w:tmpl w:val="AE51E1C6"/>
    <w:lvl w:ilvl="0" w:tentative="0">
      <w:start w:val="1"/>
      <w:numFmt w:val="decimal"/>
      <w:suff w:val="nothing"/>
      <w:lvlText w:val="%1．"/>
      <w:lvlJc w:val="left"/>
      <w:pPr>
        <w:ind w:left="0" w:firstLine="400"/>
      </w:pPr>
      <w:rPr>
        <w:rFonts w:hint="default"/>
      </w:rPr>
    </w:lvl>
  </w:abstractNum>
  <w:abstractNum w:abstractNumId="1">
    <w:nsid w:val="C33BD1D2"/>
    <w:multiLevelType w:val="singleLevel"/>
    <w:tmpl w:val="C33BD1D2"/>
    <w:lvl w:ilvl="0" w:tentative="0">
      <w:start w:val="1"/>
      <w:numFmt w:val="decimal"/>
      <w:suff w:val="nothing"/>
      <w:lvlText w:val="%1．"/>
      <w:lvlJc w:val="left"/>
      <w:pPr>
        <w:ind w:left="0" w:firstLine="400"/>
      </w:pPr>
      <w:rPr>
        <w:rFonts w:hint="default"/>
      </w:rPr>
    </w:lvl>
  </w:abstractNum>
  <w:abstractNum w:abstractNumId="2">
    <w:nsid w:val="CF7A01A8"/>
    <w:multiLevelType w:val="singleLevel"/>
    <w:tmpl w:val="CF7A01A8"/>
    <w:lvl w:ilvl="0" w:tentative="0">
      <w:start w:val="1"/>
      <w:numFmt w:val="decimal"/>
      <w:suff w:val="nothing"/>
      <w:lvlText w:val="%1．"/>
      <w:lvlJc w:val="left"/>
      <w:pPr>
        <w:ind w:left="0" w:firstLine="400"/>
      </w:pPr>
      <w:rPr>
        <w:rFonts w:hint="default"/>
      </w:rPr>
    </w:lvl>
  </w:abstractNum>
  <w:abstractNum w:abstractNumId="3">
    <w:nsid w:val="07A1669E"/>
    <w:multiLevelType w:val="multilevel"/>
    <w:tmpl w:val="07A1669E"/>
    <w:lvl w:ilvl="0" w:tentative="0">
      <w:start w:val="2"/>
      <w:numFmt w:val="japaneseCounting"/>
      <w:lvlText w:val="（%1）"/>
      <w:lvlJc w:val="left"/>
      <w:pPr>
        <w:ind w:left="1562" w:hanging="108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4">
    <w:nsid w:val="26D75538"/>
    <w:multiLevelType w:val="singleLevel"/>
    <w:tmpl w:val="26D75538"/>
    <w:lvl w:ilvl="0" w:tentative="0">
      <w:start w:val="1"/>
      <w:numFmt w:val="decimal"/>
      <w:suff w:val="nothing"/>
      <w:lvlText w:val="%1．"/>
      <w:lvlJc w:val="left"/>
      <w:pPr>
        <w:ind w:left="0" w:firstLine="400"/>
      </w:pPr>
      <w:rPr>
        <w:rFonts w:hint="default"/>
      </w:rPr>
    </w:lvl>
  </w:abstractNum>
  <w:abstractNum w:abstractNumId="5">
    <w:nsid w:val="37DA6D49"/>
    <w:multiLevelType w:val="multilevel"/>
    <w:tmpl w:val="37DA6D49"/>
    <w:lvl w:ilvl="0" w:tentative="0">
      <w:start w:val="2"/>
      <w:numFmt w:val="japaneseCounting"/>
      <w:lvlText w:val="（%1）"/>
      <w:lvlJc w:val="left"/>
      <w:pPr>
        <w:ind w:left="1562" w:hanging="108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6">
    <w:nsid w:val="442F771E"/>
    <w:multiLevelType w:val="multilevel"/>
    <w:tmpl w:val="442F771E"/>
    <w:lvl w:ilvl="0" w:tentative="0">
      <w:start w:val="2"/>
      <w:numFmt w:val="japaneseCounting"/>
      <w:lvlText w:val="（%1）"/>
      <w:lvlJc w:val="left"/>
      <w:pPr>
        <w:ind w:left="1562" w:hanging="108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7">
    <w:nsid w:val="45632A13"/>
    <w:multiLevelType w:val="multilevel"/>
    <w:tmpl w:val="45632A13"/>
    <w:lvl w:ilvl="0" w:tentative="0">
      <w:start w:val="2"/>
      <w:numFmt w:val="japaneseCounting"/>
      <w:lvlText w:val="（%1）"/>
      <w:lvlJc w:val="left"/>
      <w:pPr>
        <w:ind w:left="1562" w:hanging="108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5"/>
  </w:num>
  <w:num w:numId="2">
    <w:abstractNumId w:val="4"/>
  </w:num>
  <w:num w:numId="3">
    <w:abstractNumId w:val="6"/>
  </w:num>
  <w:num w:numId="4">
    <w:abstractNumId w:val="1"/>
  </w:num>
  <w:num w:numId="5">
    <w:abstractNumId w:val="2"/>
  </w:num>
  <w:num w:numId="6">
    <w:abstractNumId w:val="3"/>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noPunctuationKerning w:val="1"/>
  <w:characterSpacingControl w:val="doNotCompres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wZjc0MDk1MjkyNWJjZGVmMjAzOWI4M2QwZDcyYjgifQ=="/>
  </w:docVars>
  <w:rsids>
    <w:rsidRoot w:val="00D31D50"/>
    <w:rsid w:val="0002527B"/>
    <w:rsid w:val="00083E6F"/>
    <w:rsid w:val="00114D1E"/>
    <w:rsid w:val="001967E9"/>
    <w:rsid w:val="001B4C7A"/>
    <w:rsid w:val="00240E7C"/>
    <w:rsid w:val="002838BF"/>
    <w:rsid w:val="002B7F4A"/>
    <w:rsid w:val="002D45E7"/>
    <w:rsid w:val="002D6A2C"/>
    <w:rsid w:val="00323B43"/>
    <w:rsid w:val="003477E6"/>
    <w:rsid w:val="0035189E"/>
    <w:rsid w:val="003678B2"/>
    <w:rsid w:val="00374DD8"/>
    <w:rsid w:val="003A0C86"/>
    <w:rsid w:val="003D37D8"/>
    <w:rsid w:val="00426133"/>
    <w:rsid w:val="004300AF"/>
    <w:rsid w:val="004358AB"/>
    <w:rsid w:val="004561E0"/>
    <w:rsid w:val="00483A05"/>
    <w:rsid w:val="00484C56"/>
    <w:rsid w:val="005035E7"/>
    <w:rsid w:val="00511A08"/>
    <w:rsid w:val="00524D35"/>
    <w:rsid w:val="00565257"/>
    <w:rsid w:val="005869E0"/>
    <w:rsid w:val="005A3798"/>
    <w:rsid w:val="005B063B"/>
    <w:rsid w:val="005C5118"/>
    <w:rsid w:val="00601A79"/>
    <w:rsid w:val="00621914"/>
    <w:rsid w:val="00641C58"/>
    <w:rsid w:val="00647AD8"/>
    <w:rsid w:val="00663570"/>
    <w:rsid w:val="006A36D9"/>
    <w:rsid w:val="006C2420"/>
    <w:rsid w:val="006C331C"/>
    <w:rsid w:val="006D4376"/>
    <w:rsid w:val="006E6F92"/>
    <w:rsid w:val="0070719A"/>
    <w:rsid w:val="00713237"/>
    <w:rsid w:val="00717F16"/>
    <w:rsid w:val="00754D5D"/>
    <w:rsid w:val="00782E50"/>
    <w:rsid w:val="007B7D91"/>
    <w:rsid w:val="007D158C"/>
    <w:rsid w:val="00841BD9"/>
    <w:rsid w:val="00846678"/>
    <w:rsid w:val="00847EEE"/>
    <w:rsid w:val="008B7726"/>
    <w:rsid w:val="008C0C21"/>
    <w:rsid w:val="008D46AA"/>
    <w:rsid w:val="009043D2"/>
    <w:rsid w:val="0091433E"/>
    <w:rsid w:val="0095016E"/>
    <w:rsid w:val="00964104"/>
    <w:rsid w:val="0099059E"/>
    <w:rsid w:val="009931D1"/>
    <w:rsid w:val="009C72ED"/>
    <w:rsid w:val="009D1A82"/>
    <w:rsid w:val="009E0C59"/>
    <w:rsid w:val="00A12D05"/>
    <w:rsid w:val="00A652ED"/>
    <w:rsid w:val="00A671C8"/>
    <w:rsid w:val="00AC4662"/>
    <w:rsid w:val="00AF2076"/>
    <w:rsid w:val="00B4031C"/>
    <w:rsid w:val="00B64793"/>
    <w:rsid w:val="00B72BE7"/>
    <w:rsid w:val="00B76168"/>
    <w:rsid w:val="00B841F4"/>
    <w:rsid w:val="00BA7CCE"/>
    <w:rsid w:val="00BC4C57"/>
    <w:rsid w:val="00BD2C44"/>
    <w:rsid w:val="00BE4F91"/>
    <w:rsid w:val="00CB669D"/>
    <w:rsid w:val="00CC7837"/>
    <w:rsid w:val="00CD1F4F"/>
    <w:rsid w:val="00D0488B"/>
    <w:rsid w:val="00D225F1"/>
    <w:rsid w:val="00D31D50"/>
    <w:rsid w:val="00D544D2"/>
    <w:rsid w:val="00D727CA"/>
    <w:rsid w:val="00DB1109"/>
    <w:rsid w:val="00DE14AC"/>
    <w:rsid w:val="00DE265A"/>
    <w:rsid w:val="00E845C9"/>
    <w:rsid w:val="00E9526E"/>
    <w:rsid w:val="00EC573A"/>
    <w:rsid w:val="00F70ACC"/>
    <w:rsid w:val="00F83F95"/>
    <w:rsid w:val="01443CD8"/>
    <w:rsid w:val="01490B45"/>
    <w:rsid w:val="016F1BC2"/>
    <w:rsid w:val="01AD4E65"/>
    <w:rsid w:val="01C21F02"/>
    <w:rsid w:val="02391020"/>
    <w:rsid w:val="02A92FDE"/>
    <w:rsid w:val="02AC2704"/>
    <w:rsid w:val="0302627E"/>
    <w:rsid w:val="03096179"/>
    <w:rsid w:val="030C7668"/>
    <w:rsid w:val="0340106F"/>
    <w:rsid w:val="03A251C4"/>
    <w:rsid w:val="04B619E6"/>
    <w:rsid w:val="04EB50E1"/>
    <w:rsid w:val="04F24C32"/>
    <w:rsid w:val="05083DB3"/>
    <w:rsid w:val="0512798A"/>
    <w:rsid w:val="052B6399"/>
    <w:rsid w:val="05781767"/>
    <w:rsid w:val="0599193D"/>
    <w:rsid w:val="05D076C7"/>
    <w:rsid w:val="06337E73"/>
    <w:rsid w:val="064567BF"/>
    <w:rsid w:val="06506622"/>
    <w:rsid w:val="0654471E"/>
    <w:rsid w:val="065A1A70"/>
    <w:rsid w:val="06721467"/>
    <w:rsid w:val="068B416F"/>
    <w:rsid w:val="06AF674D"/>
    <w:rsid w:val="06B25FE2"/>
    <w:rsid w:val="06B76D53"/>
    <w:rsid w:val="06CC2ABB"/>
    <w:rsid w:val="06E821F2"/>
    <w:rsid w:val="07046214"/>
    <w:rsid w:val="071C62E3"/>
    <w:rsid w:val="07E9554F"/>
    <w:rsid w:val="085A399D"/>
    <w:rsid w:val="08646437"/>
    <w:rsid w:val="08C376BD"/>
    <w:rsid w:val="08D414B0"/>
    <w:rsid w:val="091E4A06"/>
    <w:rsid w:val="091F3880"/>
    <w:rsid w:val="094270E2"/>
    <w:rsid w:val="097D61D1"/>
    <w:rsid w:val="09C24699"/>
    <w:rsid w:val="0A1C1BBB"/>
    <w:rsid w:val="0B1F6C17"/>
    <w:rsid w:val="0BA40E24"/>
    <w:rsid w:val="0BF24BE7"/>
    <w:rsid w:val="0C5B085D"/>
    <w:rsid w:val="0C6678F5"/>
    <w:rsid w:val="0CA764AD"/>
    <w:rsid w:val="0CDA4588"/>
    <w:rsid w:val="0CE26B35"/>
    <w:rsid w:val="0D0E4D9D"/>
    <w:rsid w:val="0D4E0657"/>
    <w:rsid w:val="0DC63045"/>
    <w:rsid w:val="0DC77C79"/>
    <w:rsid w:val="0E375A72"/>
    <w:rsid w:val="0E3E208E"/>
    <w:rsid w:val="0E714201"/>
    <w:rsid w:val="0F111CDA"/>
    <w:rsid w:val="0F2B389C"/>
    <w:rsid w:val="0F5F59EB"/>
    <w:rsid w:val="0F7839B1"/>
    <w:rsid w:val="0F8F78C9"/>
    <w:rsid w:val="0F9237A1"/>
    <w:rsid w:val="0F9746D1"/>
    <w:rsid w:val="0F9A1CF7"/>
    <w:rsid w:val="0FB72CB5"/>
    <w:rsid w:val="0FC05DC3"/>
    <w:rsid w:val="0FF70B2D"/>
    <w:rsid w:val="103A7F9D"/>
    <w:rsid w:val="110E77DE"/>
    <w:rsid w:val="112C04F7"/>
    <w:rsid w:val="11960308"/>
    <w:rsid w:val="11DB2CEB"/>
    <w:rsid w:val="11F07AED"/>
    <w:rsid w:val="11F915CB"/>
    <w:rsid w:val="1243626A"/>
    <w:rsid w:val="124F5849"/>
    <w:rsid w:val="125B32F4"/>
    <w:rsid w:val="1268360C"/>
    <w:rsid w:val="126F4AC8"/>
    <w:rsid w:val="12A9409D"/>
    <w:rsid w:val="12C03DBB"/>
    <w:rsid w:val="12C40C5B"/>
    <w:rsid w:val="12CA3385"/>
    <w:rsid w:val="12E436D1"/>
    <w:rsid w:val="133A504D"/>
    <w:rsid w:val="134752B4"/>
    <w:rsid w:val="1349277E"/>
    <w:rsid w:val="135314F6"/>
    <w:rsid w:val="13622CDF"/>
    <w:rsid w:val="13E8518E"/>
    <w:rsid w:val="15007451"/>
    <w:rsid w:val="15040942"/>
    <w:rsid w:val="15151D54"/>
    <w:rsid w:val="151A6A0E"/>
    <w:rsid w:val="15BA1815"/>
    <w:rsid w:val="15BD1F4C"/>
    <w:rsid w:val="15CB565B"/>
    <w:rsid w:val="16443A3F"/>
    <w:rsid w:val="16BF4502"/>
    <w:rsid w:val="175809A8"/>
    <w:rsid w:val="177264BB"/>
    <w:rsid w:val="17A2382B"/>
    <w:rsid w:val="17B72367"/>
    <w:rsid w:val="17F879E6"/>
    <w:rsid w:val="18084BE8"/>
    <w:rsid w:val="181B242F"/>
    <w:rsid w:val="18353379"/>
    <w:rsid w:val="184B736F"/>
    <w:rsid w:val="186C24AF"/>
    <w:rsid w:val="189317E1"/>
    <w:rsid w:val="19266748"/>
    <w:rsid w:val="19273D36"/>
    <w:rsid w:val="199E400A"/>
    <w:rsid w:val="19D32903"/>
    <w:rsid w:val="1A1B071B"/>
    <w:rsid w:val="1A2207C2"/>
    <w:rsid w:val="1A390F73"/>
    <w:rsid w:val="1A3C7CF4"/>
    <w:rsid w:val="1A6A7B58"/>
    <w:rsid w:val="1A8D04C4"/>
    <w:rsid w:val="1AAD5845"/>
    <w:rsid w:val="1AD3666B"/>
    <w:rsid w:val="1AEE3EB0"/>
    <w:rsid w:val="1B3E0D5F"/>
    <w:rsid w:val="1B674A42"/>
    <w:rsid w:val="1B896863"/>
    <w:rsid w:val="1BAE43EE"/>
    <w:rsid w:val="1BB34C01"/>
    <w:rsid w:val="1BF9184B"/>
    <w:rsid w:val="1C423A7F"/>
    <w:rsid w:val="1CE33157"/>
    <w:rsid w:val="1CFA2E1B"/>
    <w:rsid w:val="1D5C23CF"/>
    <w:rsid w:val="1D646FE3"/>
    <w:rsid w:val="1DAF7B26"/>
    <w:rsid w:val="1E0C5C1B"/>
    <w:rsid w:val="1EAB42E3"/>
    <w:rsid w:val="1EE57BC5"/>
    <w:rsid w:val="1EE953A6"/>
    <w:rsid w:val="1EF94AF0"/>
    <w:rsid w:val="1F1F1E3C"/>
    <w:rsid w:val="1FB445D0"/>
    <w:rsid w:val="1FE720C5"/>
    <w:rsid w:val="20066D36"/>
    <w:rsid w:val="209221B4"/>
    <w:rsid w:val="20947B75"/>
    <w:rsid w:val="20D66F1D"/>
    <w:rsid w:val="20FE037F"/>
    <w:rsid w:val="21124890"/>
    <w:rsid w:val="217A0B23"/>
    <w:rsid w:val="218B3303"/>
    <w:rsid w:val="22121F58"/>
    <w:rsid w:val="22240237"/>
    <w:rsid w:val="22364B03"/>
    <w:rsid w:val="22502A08"/>
    <w:rsid w:val="225553C0"/>
    <w:rsid w:val="2291466F"/>
    <w:rsid w:val="2310631A"/>
    <w:rsid w:val="235C5E5F"/>
    <w:rsid w:val="23BE7110"/>
    <w:rsid w:val="23C21F25"/>
    <w:rsid w:val="24316632"/>
    <w:rsid w:val="243D022B"/>
    <w:rsid w:val="24E11659"/>
    <w:rsid w:val="253E516C"/>
    <w:rsid w:val="259451D9"/>
    <w:rsid w:val="259634DE"/>
    <w:rsid w:val="25F72C08"/>
    <w:rsid w:val="263C6FE2"/>
    <w:rsid w:val="267B29C8"/>
    <w:rsid w:val="27386160"/>
    <w:rsid w:val="274B1605"/>
    <w:rsid w:val="27824E27"/>
    <w:rsid w:val="279F5217"/>
    <w:rsid w:val="27A25AC4"/>
    <w:rsid w:val="27A677F6"/>
    <w:rsid w:val="27B64E24"/>
    <w:rsid w:val="27B922B7"/>
    <w:rsid w:val="27C11FDA"/>
    <w:rsid w:val="27D6640F"/>
    <w:rsid w:val="28935A91"/>
    <w:rsid w:val="292D6970"/>
    <w:rsid w:val="299434A1"/>
    <w:rsid w:val="29C30115"/>
    <w:rsid w:val="29E629AC"/>
    <w:rsid w:val="2A3C2D5B"/>
    <w:rsid w:val="2A757135"/>
    <w:rsid w:val="2A862E0C"/>
    <w:rsid w:val="2AA3291C"/>
    <w:rsid w:val="2AC12C17"/>
    <w:rsid w:val="2B552006"/>
    <w:rsid w:val="2BA361F5"/>
    <w:rsid w:val="2BE11F16"/>
    <w:rsid w:val="2C0C6057"/>
    <w:rsid w:val="2C345812"/>
    <w:rsid w:val="2C731608"/>
    <w:rsid w:val="2CB52ABC"/>
    <w:rsid w:val="2CC7149D"/>
    <w:rsid w:val="2CDC32FA"/>
    <w:rsid w:val="2D025FDB"/>
    <w:rsid w:val="2D053CEF"/>
    <w:rsid w:val="2DA902F1"/>
    <w:rsid w:val="2DC9578C"/>
    <w:rsid w:val="2DD139D8"/>
    <w:rsid w:val="2E1340E3"/>
    <w:rsid w:val="2E381699"/>
    <w:rsid w:val="2E610060"/>
    <w:rsid w:val="2E6E0E9C"/>
    <w:rsid w:val="2E895DDF"/>
    <w:rsid w:val="2EB16608"/>
    <w:rsid w:val="2F6376CB"/>
    <w:rsid w:val="2F6570E5"/>
    <w:rsid w:val="2FD37E31"/>
    <w:rsid w:val="2FEB50A1"/>
    <w:rsid w:val="300C6D02"/>
    <w:rsid w:val="31245406"/>
    <w:rsid w:val="316C142B"/>
    <w:rsid w:val="31B15F97"/>
    <w:rsid w:val="324A15A8"/>
    <w:rsid w:val="32517698"/>
    <w:rsid w:val="3286426E"/>
    <w:rsid w:val="32C150CB"/>
    <w:rsid w:val="333669CA"/>
    <w:rsid w:val="335A7DF6"/>
    <w:rsid w:val="336B77C9"/>
    <w:rsid w:val="337852F2"/>
    <w:rsid w:val="3385582E"/>
    <w:rsid w:val="33A328BF"/>
    <w:rsid w:val="33E26EE4"/>
    <w:rsid w:val="3419021D"/>
    <w:rsid w:val="342B1ADC"/>
    <w:rsid w:val="34A557BA"/>
    <w:rsid w:val="34D56F88"/>
    <w:rsid w:val="35202852"/>
    <w:rsid w:val="358C795B"/>
    <w:rsid w:val="361E5273"/>
    <w:rsid w:val="362F23BD"/>
    <w:rsid w:val="36447D56"/>
    <w:rsid w:val="366B7DD5"/>
    <w:rsid w:val="378D34FA"/>
    <w:rsid w:val="37BB7CC9"/>
    <w:rsid w:val="37F95980"/>
    <w:rsid w:val="38686DAC"/>
    <w:rsid w:val="38925026"/>
    <w:rsid w:val="38A567A2"/>
    <w:rsid w:val="38EB1A5F"/>
    <w:rsid w:val="391D13F4"/>
    <w:rsid w:val="396975A8"/>
    <w:rsid w:val="39CC2138"/>
    <w:rsid w:val="39DC73D1"/>
    <w:rsid w:val="39EE06AF"/>
    <w:rsid w:val="3A1F706B"/>
    <w:rsid w:val="3A223EF2"/>
    <w:rsid w:val="3A30510B"/>
    <w:rsid w:val="3A5A5D76"/>
    <w:rsid w:val="3A5E1B8B"/>
    <w:rsid w:val="3A5F482C"/>
    <w:rsid w:val="3A905018"/>
    <w:rsid w:val="3AAE516E"/>
    <w:rsid w:val="3AF07280"/>
    <w:rsid w:val="3AF36090"/>
    <w:rsid w:val="3B5D165E"/>
    <w:rsid w:val="3B733C03"/>
    <w:rsid w:val="3B7548DD"/>
    <w:rsid w:val="3B761CFE"/>
    <w:rsid w:val="3BC93635"/>
    <w:rsid w:val="3C3A7F35"/>
    <w:rsid w:val="3C3B20F1"/>
    <w:rsid w:val="3C824AC6"/>
    <w:rsid w:val="3CDA0C27"/>
    <w:rsid w:val="3CF65104"/>
    <w:rsid w:val="3D0B5DC9"/>
    <w:rsid w:val="3D303C72"/>
    <w:rsid w:val="3D6552E8"/>
    <w:rsid w:val="3DAF3B4C"/>
    <w:rsid w:val="3E4B67DA"/>
    <w:rsid w:val="3E584E99"/>
    <w:rsid w:val="3E955964"/>
    <w:rsid w:val="3ED2282D"/>
    <w:rsid w:val="3ED44FCC"/>
    <w:rsid w:val="3F564AD8"/>
    <w:rsid w:val="3FAE444D"/>
    <w:rsid w:val="3FEB106A"/>
    <w:rsid w:val="40023135"/>
    <w:rsid w:val="400D0DE5"/>
    <w:rsid w:val="40596E3B"/>
    <w:rsid w:val="40AD2175"/>
    <w:rsid w:val="41611CAD"/>
    <w:rsid w:val="41B32789"/>
    <w:rsid w:val="42B9737E"/>
    <w:rsid w:val="43031BD7"/>
    <w:rsid w:val="430A3220"/>
    <w:rsid w:val="434D11B0"/>
    <w:rsid w:val="43560034"/>
    <w:rsid w:val="43741D71"/>
    <w:rsid w:val="4393745C"/>
    <w:rsid w:val="442E235F"/>
    <w:rsid w:val="447E43C3"/>
    <w:rsid w:val="44973391"/>
    <w:rsid w:val="44E016B2"/>
    <w:rsid w:val="44F47F76"/>
    <w:rsid w:val="453F1F75"/>
    <w:rsid w:val="456B51B9"/>
    <w:rsid w:val="46200D6B"/>
    <w:rsid w:val="46B23FF2"/>
    <w:rsid w:val="46D1129E"/>
    <w:rsid w:val="46D12584"/>
    <w:rsid w:val="47251F72"/>
    <w:rsid w:val="47654861"/>
    <w:rsid w:val="476C055C"/>
    <w:rsid w:val="4779000D"/>
    <w:rsid w:val="478B6964"/>
    <w:rsid w:val="47CC3192"/>
    <w:rsid w:val="47D96126"/>
    <w:rsid w:val="47EC6F7B"/>
    <w:rsid w:val="48150271"/>
    <w:rsid w:val="491F39A2"/>
    <w:rsid w:val="495F7863"/>
    <w:rsid w:val="496C7036"/>
    <w:rsid w:val="497A6827"/>
    <w:rsid w:val="497B5EBA"/>
    <w:rsid w:val="499D49CE"/>
    <w:rsid w:val="49EF123D"/>
    <w:rsid w:val="4A0528BC"/>
    <w:rsid w:val="4AAA30DE"/>
    <w:rsid w:val="4AAC4D63"/>
    <w:rsid w:val="4ABF1CE2"/>
    <w:rsid w:val="4AD20C4F"/>
    <w:rsid w:val="4B6B63E8"/>
    <w:rsid w:val="4C540784"/>
    <w:rsid w:val="4CC65980"/>
    <w:rsid w:val="4CEB447E"/>
    <w:rsid w:val="4D0B54F2"/>
    <w:rsid w:val="4D0D082D"/>
    <w:rsid w:val="4D3C4F9B"/>
    <w:rsid w:val="4D3F2C3B"/>
    <w:rsid w:val="4D6274F3"/>
    <w:rsid w:val="4D690252"/>
    <w:rsid w:val="4D8D046B"/>
    <w:rsid w:val="4DAD071D"/>
    <w:rsid w:val="4E637691"/>
    <w:rsid w:val="4E762610"/>
    <w:rsid w:val="4EC0586E"/>
    <w:rsid w:val="4EF50541"/>
    <w:rsid w:val="4F11250C"/>
    <w:rsid w:val="4F642073"/>
    <w:rsid w:val="4F746A21"/>
    <w:rsid w:val="503F342E"/>
    <w:rsid w:val="50595636"/>
    <w:rsid w:val="505E59A1"/>
    <w:rsid w:val="50CE63FD"/>
    <w:rsid w:val="50F42024"/>
    <w:rsid w:val="512958F5"/>
    <w:rsid w:val="51B02847"/>
    <w:rsid w:val="52134C04"/>
    <w:rsid w:val="52EC7F88"/>
    <w:rsid w:val="53357DC4"/>
    <w:rsid w:val="53371719"/>
    <w:rsid w:val="5342727E"/>
    <w:rsid w:val="5378200A"/>
    <w:rsid w:val="538C7CDF"/>
    <w:rsid w:val="53B3414F"/>
    <w:rsid w:val="53D70C69"/>
    <w:rsid w:val="53E9219D"/>
    <w:rsid w:val="543949C6"/>
    <w:rsid w:val="548B60F8"/>
    <w:rsid w:val="54C957CE"/>
    <w:rsid w:val="54CE4EAB"/>
    <w:rsid w:val="54D03746"/>
    <w:rsid w:val="54E2614F"/>
    <w:rsid w:val="54F1451C"/>
    <w:rsid w:val="552E7E8C"/>
    <w:rsid w:val="55361FED"/>
    <w:rsid w:val="55392E73"/>
    <w:rsid w:val="55AC2978"/>
    <w:rsid w:val="55C16AE0"/>
    <w:rsid w:val="55C7780E"/>
    <w:rsid w:val="56013237"/>
    <w:rsid w:val="56180B6D"/>
    <w:rsid w:val="564F46FC"/>
    <w:rsid w:val="56AA5530"/>
    <w:rsid w:val="56C051FE"/>
    <w:rsid w:val="56C72A6A"/>
    <w:rsid w:val="571E0EAE"/>
    <w:rsid w:val="572112E7"/>
    <w:rsid w:val="5749597E"/>
    <w:rsid w:val="575260DF"/>
    <w:rsid w:val="576B7A3C"/>
    <w:rsid w:val="57942B32"/>
    <w:rsid w:val="58724C25"/>
    <w:rsid w:val="58736E56"/>
    <w:rsid w:val="58F33BFE"/>
    <w:rsid w:val="58F52934"/>
    <w:rsid w:val="5904234D"/>
    <w:rsid w:val="59930310"/>
    <w:rsid w:val="59F06EFA"/>
    <w:rsid w:val="59F467C8"/>
    <w:rsid w:val="59FE4EE3"/>
    <w:rsid w:val="5A1319A3"/>
    <w:rsid w:val="5A1434E8"/>
    <w:rsid w:val="5A656CB7"/>
    <w:rsid w:val="5A7C24D6"/>
    <w:rsid w:val="5A973BA0"/>
    <w:rsid w:val="5AB72332"/>
    <w:rsid w:val="5AD0332D"/>
    <w:rsid w:val="5B1E7DD3"/>
    <w:rsid w:val="5B664C50"/>
    <w:rsid w:val="5B8F5553"/>
    <w:rsid w:val="5B987BC4"/>
    <w:rsid w:val="5BBC546E"/>
    <w:rsid w:val="5BD03BCE"/>
    <w:rsid w:val="5BD612F1"/>
    <w:rsid w:val="5C1405FA"/>
    <w:rsid w:val="5CD632C0"/>
    <w:rsid w:val="5CEC12C5"/>
    <w:rsid w:val="5D102FF8"/>
    <w:rsid w:val="5D1206D5"/>
    <w:rsid w:val="5D1F4EB7"/>
    <w:rsid w:val="5D2F0499"/>
    <w:rsid w:val="5D345A55"/>
    <w:rsid w:val="5D422827"/>
    <w:rsid w:val="5D530128"/>
    <w:rsid w:val="5DCC2FCB"/>
    <w:rsid w:val="5DF27B28"/>
    <w:rsid w:val="5E53230A"/>
    <w:rsid w:val="5E6467B5"/>
    <w:rsid w:val="5EB62DB6"/>
    <w:rsid w:val="5EDB2264"/>
    <w:rsid w:val="5F22094D"/>
    <w:rsid w:val="5F560A65"/>
    <w:rsid w:val="5F8878A8"/>
    <w:rsid w:val="5FC46BAF"/>
    <w:rsid w:val="603239C7"/>
    <w:rsid w:val="60440D69"/>
    <w:rsid w:val="60AC0E00"/>
    <w:rsid w:val="60D230A6"/>
    <w:rsid w:val="60F85C31"/>
    <w:rsid w:val="60FD19D9"/>
    <w:rsid w:val="610215E0"/>
    <w:rsid w:val="61461BF3"/>
    <w:rsid w:val="616C3969"/>
    <w:rsid w:val="61A26022"/>
    <w:rsid w:val="61A341A8"/>
    <w:rsid w:val="61B05AC2"/>
    <w:rsid w:val="61C80F51"/>
    <w:rsid w:val="61CE7721"/>
    <w:rsid w:val="620102FD"/>
    <w:rsid w:val="62305A5D"/>
    <w:rsid w:val="624D4C8D"/>
    <w:rsid w:val="624E5CF3"/>
    <w:rsid w:val="626E52C5"/>
    <w:rsid w:val="62720D4B"/>
    <w:rsid w:val="62FB7B90"/>
    <w:rsid w:val="63074E63"/>
    <w:rsid w:val="63380D9D"/>
    <w:rsid w:val="63AE3ADD"/>
    <w:rsid w:val="63DC43F8"/>
    <w:rsid w:val="64017021"/>
    <w:rsid w:val="64B05E8D"/>
    <w:rsid w:val="64BA3457"/>
    <w:rsid w:val="64CB17B2"/>
    <w:rsid w:val="65AB2607"/>
    <w:rsid w:val="65BA393E"/>
    <w:rsid w:val="65CF239D"/>
    <w:rsid w:val="6609072F"/>
    <w:rsid w:val="66365DD9"/>
    <w:rsid w:val="66475EAE"/>
    <w:rsid w:val="666567A4"/>
    <w:rsid w:val="66AB06D6"/>
    <w:rsid w:val="670A1F31"/>
    <w:rsid w:val="6739143B"/>
    <w:rsid w:val="67D13A6B"/>
    <w:rsid w:val="68651462"/>
    <w:rsid w:val="686C2A32"/>
    <w:rsid w:val="68860807"/>
    <w:rsid w:val="68B61AB2"/>
    <w:rsid w:val="68BA206A"/>
    <w:rsid w:val="68CC4673"/>
    <w:rsid w:val="690157BF"/>
    <w:rsid w:val="692D77A9"/>
    <w:rsid w:val="69C2479D"/>
    <w:rsid w:val="6A1316AD"/>
    <w:rsid w:val="6AAE0A5E"/>
    <w:rsid w:val="6AB57915"/>
    <w:rsid w:val="6B003251"/>
    <w:rsid w:val="6B136688"/>
    <w:rsid w:val="6B6A790C"/>
    <w:rsid w:val="6BA76213"/>
    <w:rsid w:val="6BFC3C0C"/>
    <w:rsid w:val="6C013632"/>
    <w:rsid w:val="6C051650"/>
    <w:rsid w:val="6C874FAB"/>
    <w:rsid w:val="6CBF6D6E"/>
    <w:rsid w:val="6DFC0865"/>
    <w:rsid w:val="6E244EDB"/>
    <w:rsid w:val="6E524850"/>
    <w:rsid w:val="6E8077AD"/>
    <w:rsid w:val="6E930F25"/>
    <w:rsid w:val="6EAD4F94"/>
    <w:rsid w:val="6F2B38AD"/>
    <w:rsid w:val="6F393902"/>
    <w:rsid w:val="6F3E126D"/>
    <w:rsid w:val="6F662D9A"/>
    <w:rsid w:val="6F9D241F"/>
    <w:rsid w:val="6FB63E97"/>
    <w:rsid w:val="6FF01E09"/>
    <w:rsid w:val="70126DE7"/>
    <w:rsid w:val="70313F7E"/>
    <w:rsid w:val="703C50C9"/>
    <w:rsid w:val="70B54C32"/>
    <w:rsid w:val="70C44CE0"/>
    <w:rsid w:val="70C728EB"/>
    <w:rsid w:val="70D77188"/>
    <w:rsid w:val="711A613C"/>
    <w:rsid w:val="71562075"/>
    <w:rsid w:val="71924242"/>
    <w:rsid w:val="71AC001F"/>
    <w:rsid w:val="720E2BA5"/>
    <w:rsid w:val="7241643F"/>
    <w:rsid w:val="725E6AB2"/>
    <w:rsid w:val="72BF368A"/>
    <w:rsid w:val="72F32492"/>
    <w:rsid w:val="73B065C0"/>
    <w:rsid w:val="74776889"/>
    <w:rsid w:val="747C272C"/>
    <w:rsid w:val="74AB5AD3"/>
    <w:rsid w:val="74AE0955"/>
    <w:rsid w:val="74B221BD"/>
    <w:rsid w:val="75616A9E"/>
    <w:rsid w:val="760B39D5"/>
    <w:rsid w:val="76102144"/>
    <w:rsid w:val="764C1112"/>
    <w:rsid w:val="765D6924"/>
    <w:rsid w:val="768D1384"/>
    <w:rsid w:val="76BA4B7E"/>
    <w:rsid w:val="77555C7A"/>
    <w:rsid w:val="776476E7"/>
    <w:rsid w:val="77EE2BA2"/>
    <w:rsid w:val="784515FD"/>
    <w:rsid w:val="787D497C"/>
    <w:rsid w:val="78934E47"/>
    <w:rsid w:val="78C709FB"/>
    <w:rsid w:val="78CC493A"/>
    <w:rsid w:val="78F43D82"/>
    <w:rsid w:val="798C51C0"/>
    <w:rsid w:val="79E03BD3"/>
    <w:rsid w:val="7A096F34"/>
    <w:rsid w:val="7A394663"/>
    <w:rsid w:val="7A7C5E8F"/>
    <w:rsid w:val="7ACB2BF8"/>
    <w:rsid w:val="7B8D24BB"/>
    <w:rsid w:val="7C397EC2"/>
    <w:rsid w:val="7C696626"/>
    <w:rsid w:val="7CFE55DA"/>
    <w:rsid w:val="7D5B2F30"/>
    <w:rsid w:val="7D9752F5"/>
    <w:rsid w:val="7D984609"/>
    <w:rsid w:val="7DBD61A3"/>
    <w:rsid w:val="7DDE3A71"/>
    <w:rsid w:val="7E4059DC"/>
    <w:rsid w:val="7E465794"/>
    <w:rsid w:val="7E4F2B86"/>
    <w:rsid w:val="7E5A2BE6"/>
    <w:rsid w:val="7E61230B"/>
    <w:rsid w:val="7E623FC4"/>
    <w:rsid w:val="7E625661"/>
    <w:rsid w:val="7EB14329"/>
    <w:rsid w:val="7EB37474"/>
    <w:rsid w:val="7F15483F"/>
    <w:rsid w:val="7F246FC7"/>
    <w:rsid w:val="7F6B229E"/>
    <w:rsid w:val="7FC02D03"/>
    <w:rsid w:val="7FCD6B3E"/>
    <w:rsid w:val="7FE265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字符"/>
    <w:basedOn w:val="5"/>
    <w:link w:val="3"/>
    <w:semiHidden/>
    <w:qFormat/>
    <w:uiPriority w:val="99"/>
    <w:rPr>
      <w:rFonts w:ascii="Tahoma" w:hAnsi="Tahoma"/>
      <w:sz w:val="18"/>
      <w:szCs w:val="18"/>
    </w:rPr>
  </w:style>
  <w:style w:type="character" w:customStyle="1" w:styleId="8">
    <w:name w:val="页脚 字符"/>
    <w:basedOn w:val="5"/>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3594</Words>
  <Characters>3992</Characters>
  <Lines>29</Lines>
  <Paragraphs>8</Paragraphs>
  <TotalTime>505</TotalTime>
  <ScaleCrop>false</ScaleCrop>
  <LinksUpToDate>false</LinksUpToDate>
  <CharactersWithSpaces>4080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Peter</cp:lastModifiedBy>
  <cp:lastPrinted>2023-07-06T01:53:03Z</cp:lastPrinted>
  <dcterms:modified xsi:type="dcterms:W3CDTF">2023-07-06T01:53:24Z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05C6600DFE4F4702AEF06E3375D5A194</vt:lpwstr>
  </property>
</Properties>
</file>