
<file path=[Content_Types].xml><?xml version="1.0" encoding="utf-8"?>
<Types xmlns="http://schemas.openxmlformats.org/package/2006/content-types">
  <Default Extension="xlsx" ContentType="application/vnd.openxmlformats-officedocument.spreadsheetml.shee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line="520" w:lineRule="exact"/>
        <w:jc w:val="center"/>
        <w:rPr>
          <w:rStyle w:val="8"/>
          <w:rFonts w:ascii="方正小标宋简体" w:hAnsi="方正小标宋简体" w:eastAsia="方正小标宋简体" w:cs="方正小标宋简体"/>
          <w:b w:val="0"/>
          <w:bCs w:val="0"/>
          <w:color w:val="000000"/>
          <w:sz w:val="44"/>
          <w:szCs w:val="44"/>
        </w:rPr>
      </w:pPr>
      <w:r>
        <w:rPr>
          <w:rStyle w:val="8"/>
          <w:rFonts w:hint="eastAsia" w:ascii="方正小标宋简体" w:hAnsi="方正小标宋简体" w:eastAsia="方正小标宋简体" w:cs="方正小标宋简体"/>
          <w:b w:val="0"/>
          <w:bCs w:val="0"/>
          <w:color w:val="000000"/>
          <w:sz w:val="44"/>
          <w:szCs w:val="44"/>
        </w:rPr>
        <w:t>西安市阎良区农林局</w:t>
      </w:r>
      <w:r>
        <w:rPr>
          <w:rStyle w:val="8"/>
          <w:rFonts w:ascii="方正小标宋简体" w:hAnsi="方正小标宋简体" w:eastAsia="方正小标宋简体" w:cs="方正小标宋简体"/>
          <w:b w:val="0"/>
          <w:bCs w:val="0"/>
          <w:color w:val="000000"/>
          <w:sz w:val="44"/>
          <w:szCs w:val="44"/>
        </w:rPr>
        <w:t>2017</w:t>
      </w:r>
      <w:r>
        <w:rPr>
          <w:rStyle w:val="8"/>
          <w:rFonts w:hint="eastAsia" w:ascii="方正小标宋简体" w:hAnsi="方正小标宋简体" w:eastAsia="方正小标宋简体" w:cs="方正小标宋简体"/>
          <w:b w:val="0"/>
          <w:bCs w:val="0"/>
          <w:color w:val="000000"/>
          <w:sz w:val="44"/>
          <w:szCs w:val="44"/>
        </w:rPr>
        <w:t>年度</w:t>
      </w:r>
    </w:p>
    <w:p>
      <w:pPr>
        <w:pStyle w:val="4"/>
        <w:shd w:val="clear" w:color="auto" w:fill="FFFFFF"/>
        <w:spacing w:before="0" w:beforeAutospacing="0" w:after="0" w:afterAutospacing="0" w:line="520" w:lineRule="exact"/>
        <w:jc w:val="center"/>
        <w:rPr>
          <w:rStyle w:val="8"/>
          <w:rFonts w:ascii="方正小标宋简体" w:hAnsi="方正小标宋简体" w:eastAsia="方正小标宋简体" w:cs="方正小标宋简体"/>
          <w:b w:val="0"/>
          <w:bCs w:val="0"/>
          <w:color w:val="000000"/>
          <w:sz w:val="44"/>
          <w:szCs w:val="44"/>
        </w:rPr>
      </w:pPr>
      <w:r>
        <w:rPr>
          <w:rStyle w:val="8"/>
          <w:rFonts w:hint="eastAsia" w:ascii="方正小标宋简体" w:hAnsi="方正小标宋简体" w:eastAsia="方正小标宋简体" w:cs="方正小标宋简体"/>
          <w:b w:val="0"/>
          <w:bCs w:val="0"/>
          <w:color w:val="000000"/>
          <w:sz w:val="44"/>
          <w:szCs w:val="44"/>
        </w:rPr>
        <w:t>部门决算说明</w:t>
      </w:r>
    </w:p>
    <w:p>
      <w:pPr>
        <w:pStyle w:val="4"/>
        <w:shd w:val="clear" w:color="auto" w:fill="FFFFFF"/>
        <w:spacing w:before="0" w:beforeAutospacing="0" w:after="0" w:afterAutospacing="0" w:line="520" w:lineRule="exact"/>
        <w:jc w:val="both"/>
        <w:rPr>
          <w:rStyle w:val="8"/>
          <w:rFonts w:ascii="华文仿宋" w:hAnsi="华文仿宋" w:eastAsia="华文仿宋" w:cs="华文仿宋"/>
          <w:b w:val="0"/>
          <w:bCs w:val="0"/>
          <w:color w:val="000000"/>
          <w:sz w:val="44"/>
          <w:szCs w:val="44"/>
        </w:rPr>
      </w:pPr>
    </w:p>
    <w:p>
      <w:pPr>
        <w:pStyle w:val="4"/>
        <w:numPr>
          <w:ilvl w:val="0"/>
          <w:numId w:val="1"/>
        </w:numPr>
        <w:shd w:val="clear" w:color="auto" w:fill="FFFFFF"/>
        <w:spacing w:before="0" w:beforeAutospacing="0" w:after="0" w:afterAutospacing="0" w:line="560" w:lineRule="exact"/>
        <w:ind w:firstLine="640" w:firstLineChars="200"/>
        <w:rPr>
          <w:rFonts w:hint="eastAsia" w:ascii="黑体" w:hAnsi="黑体" w:eastAsia="黑体" w:cs="黑体"/>
          <w:color w:val="000000"/>
          <w:sz w:val="32"/>
          <w:szCs w:val="32"/>
          <w:lang w:eastAsia="zh-CN"/>
        </w:rPr>
      </w:pPr>
      <w:r>
        <w:rPr>
          <w:rFonts w:hint="eastAsia" w:ascii="黑体" w:hAnsi="黑体" w:eastAsia="黑体" w:cs="黑体"/>
          <w:color w:val="000000"/>
          <w:sz w:val="32"/>
          <w:szCs w:val="32"/>
        </w:rPr>
        <w:t>部门主要职责</w:t>
      </w:r>
      <w:r>
        <w:rPr>
          <w:rFonts w:hint="eastAsia" w:ascii="黑体" w:hAnsi="黑体" w:eastAsia="黑体" w:cs="黑体"/>
          <w:color w:val="000000"/>
          <w:sz w:val="32"/>
          <w:szCs w:val="32"/>
          <w:lang w:eastAsia="zh-CN"/>
        </w:rPr>
        <w:t>及机构设置情况</w:t>
      </w:r>
    </w:p>
    <w:p>
      <w:pPr>
        <w:pStyle w:val="4"/>
        <w:numPr>
          <w:ilvl w:val="0"/>
          <w:numId w:val="0"/>
        </w:numPr>
        <w:shd w:val="clear" w:color="auto" w:fill="FFFFFF"/>
        <w:spacing w:before="0" w:beforeAutospacing="0" w:after="0" w:afterAutospacing="0" w:line="560" w:lineRule="exact"/>
        <w:ind w:firstLine="640" w:firstLineChars="200"/>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eastAsia="zh-CN"/>
        </w:rPr>
        <w:t>（一）</w:t>
      </w:r>
      <w:r>
        <w:rPr>
          <w:rFonts w:hint="eastAsia" w:ascii="黑体" w:hAnsi="黑体" w:eastAsia="黑体" w:cs="黑体"/>
          <w:color w:val="000000"/>
          <w:sz w:val="32"/>
          <w:szCs w:val="32"/>
        </w:rPr>
        <w:t>部门主要职责</w:t>
      </w:r>
    </w:p>
    <w:p>
      <w:pPr>
        <w:adjustRightInd w:val="0"/>
        <w:snapToGrid w:val="0"/>
        <w:spacing w:line="576" w:lineRule="exact"/>
        <w:ind w:firstLine="645"/>
        <w:rPr>
          <w:rFonts w:ascii="宋体" w:hAnsi="宋体" w:eastAsia="宋体" w:cs="宋体"/>
          <w:sz w:val="32"/>
          <w:szCs w:val="32"/>
        </w:rPr>
      </w:pPr>
      <w:r>
        <w:rPr>
          <w:rFonts w:hint="eastAsia" w:ascii="宋体" w:hAnsi="宋体" w:eastAsia="宋体" w:cs="宋体"/>
          <w:sz w:val="32"/>
          <w:szCs w:val="32"/>
        </w:rPr>
        <w:t>西安市阎良区农林局是西安市阎良区人民政府的组成部门，主要职责是负责贯彻执行党和国家有关农业、林业、畜牧业建设的方针政策和法律法规，负责拟定和组织实施全区农牧林业发展长远规划、年度计划，承担全区农业生产管理工作；负责宣传普及关于农牧林方面的法律、法规；实施动植物防疫、土肥监测、种子管理、兽药管理等农业行政执法工作；负责调查研究农业和农村经济工作的现状和问题，指导农村经营管理工作，负责农村财务指导；负责全区农作物病虫害防治，以及种禽畜疫病防治；推广农业、畜牧业新技术，积极完善农牧科技服务体系。加强农业系统干部、职工队伍建设；负责镇街农、牧服务站的业务指导工作。</w:t>
      </w:r>
    </w:p>
    <w:p>
      <w:pPr>
        <w:spacing w:line="576" w:lineRule="exact"/>
        <w:ind w:firstLine="640" w:firstLineChars="200"/>
        <w:rPr>
          <w:rFonts w:ascii="宋体" w:hAnsi="宋体" w:eastAsia="宋体" w:cs="宋体"/>
          <w:sz w:val="32"/>
          <w:szCs w:val="32"/>
        </w:rPr>
      </w:pPr>
      <w:r>
        <w:rPr>
          <w:rFonts w:hint="eastAsia" w:ascii="宋体" w:hAnsi="宋体" w:eastAsia="宋体" w:cs="宋体"/>
          <w:sz w:val="32"/>
          <w:szCs w:val="32"/>
        </w:rPr>
        <w:t>1、贯彻执行有关发展农业、林业、畜牧业和农村经济工作的方针、政策和法规；研究拟订并组织实施本区有关农业、林业和畜牧业产业政策和措施，引导农业、林业和畜牧业产业结构的合理调整、农业资源的合理配置和农产品品质的改善；提出农产品和农业生产资料的价格及农业财政补贴的政策建议，负责全区农业、林业和畜牧业的行政执法和行政执法监督工作；负责承办全区农业查灾、抗灾、救灾工作。</w:t>
      </w:r>
    </w:p>
    <w:p>
      <w:pPr>
        <w:spacing w:line="576" w:lineRule="exact"/>
        <w:ind w:firstLine="640" w:firstLineChars="200"/>
        <w:rPr>
          <w:rFonts w:ascii="宋体" w:hAnsi="宋体" w:eastAsia="宋体" w:cs="宋体"/>
          <w:sz w:val="32"/>
          <w:szCs w:val="32"/>
        </w:rPr>
      </w:pPr>
      <w:r>
        <w:rPr>
          <w:rFonts w:hint="eastAsia" w:ascii="宋体" w:hAnsi="宋体" w:eastAsia="宋体" w:cs="宋体"/>
          <w:sz w:val="32"/>
          <w:szCs w:val="32"/>
        </w:rPr>
        <w:t>2、研究拟订全区农业、林业、畜牧业和农村经济发展战略、中长期发展规划和年度计划，经批准后组织实施。根据市场要求，加强农业、林业和畜牧业的基础设施建设，调整产业结构，优化生产要素配置，发展高产、优质、高效农业。</w:t>
      </w:r>
    </w:p>
    <w:p>
      <w:pPr>
        <w:spacing w:line="576" w:lineRule="exact"/>
        <w:ind w:firstLine="640" w:firstLineChars="200"/>
        <w:rPr>
          <w:rFonts w:ascii="宋体" w:hAnsi="宋体" w:eastAsia="宋体" w:cs="宋体"/>
          <w:sz w:val="32"/>
          <w:szCs w:val="32"/>
        </w:rPr>
      </w:pPr>
      <w:r>
        <w:rPr>
          <w:rFonts w:hint="eastAsia" w:ascii="宋体" w:hAnsi="宋体" w:eastAsia="宋体" w:cs="宋体"/>
          <w:sz w:val="32"/>
          <w:szCs w:val="32"/>
        </w:rPr>
        <w:t>3、研究提出贯彻深化农村经济体制改革的建议；指导全区农业社会服务体系建设；稳定农村基本经济制度和政策，调节农村经济利益关系，指导、监督减轻农民负担和耕地使用权流转工作。</w:t>
      </w:r>
    </w:p>
    <w:p>
      <w:pPr>
        <w:spacing w:line="576" w:lineRule="exact"/>
        <w:ind w:firstLine="640" w:firstLineChars="200"/>
        <w:rPr>
          <w:rFonts w:ascii="宋体" w:hAnsi="宋体" w:eastAsia="宋体" w:cs="宋体"/>
          <w:sz w:val="32"/>
          <w:szCs w:val="32"/>
        </w:rPr>
      </w:pPr>
      <w:r>
        <w:rPr>
          <w:rFonts w:hint="eastAsia" w:ascii="宋体" w:hAnsi="宋体" w:eastAsia="宋体" w:cs="宋体"/>
          <w:sz w:val="32"/>
          <w:szCs w:val="32"/>
        </w:rPr>
        <w:t>4、研究拟订全区农、林、畜产业化和大宗农、林、畜产品市场体系建设与发展规划；负责全区果业产业化工作；负责农业、林业和畜牧业信息的预测和汇总，处理和发布工作，管理全区农、林、畜服务体系，指导全区农、林、畜宣传和农民教育。</w:t>
      </w:r>
    </w:p>
    <w:p>
      <w:pPr>
        <w:spacing w:line="576" w:lineRule="exact"/>
        <w:ind w:firstLine="640" w:firstLineChars="200"/>
        <w:rPr>
          <w:rFonts w:ascii="宋体" w:hAnsi="宋体" w:eastAsia="宋体" w:cs="宋体"/>
          <w:sz w:val="32"/>
          <w:szCs w:val="32"/>
        </w:rPr>
      </w:pPr>
      <w:r>
        <w:rPr>
          <w:rFonts w:hint="eastAsia" w:ascii="宋体" w:hAnsi="宋体" w:eastAsia="宋体" w:cs="宋体"/>
          <w:sz w:val="32"/>
          <w:szCs w:val="32"/>
        </w:rPr>
        <w:t>5、组织农业、林业和畜牧业资源区划、生态农业和农业、林业和畜牧业可持续发展工作；指导农用地、河滩地、农村可再生资源的保护、管理和科学利用。</w:t>
      </w:r>
    </w:p>
    <w:p>
      <w:pPr>
        <w:spacing w:line="576" w:lineRule="exact"/>
        <w:ind w:firstLine="640" w:firstLineChars="200"/>
        <w:rPr>
          <w:rFonts w:ascii="宋体" w:hAnsi="宋体" w:eastAsia="宋体" w:cs="宋体"/>
          <w:sz w:val="32"/>
          <w:szCs w:val="32"/>
        </w:rPr>
      </w:pPr>
      <w:r>
        <w:rPr>
          <w:rFonts w:hint="eastAsia" w:ascii="宋体" w:hAnsi="宋体" w:eastAsia="宋体" w:cs="宋体"/>
          <w:sz w:val="32"/>
          <w:szCs w:val="32"/>
        </w:rPr>
        <w:t>6、负责实施农、林、畜科研、教育、技术推广以及队伍建设的发展规划和有关政策，实施科教兴农战略，组织科研和技术推广项目的筛选和实施；指导全区农、林、畜教育与农业技术开发应用工作。</w:t>
      </w:r>
    </w:p>
    <w:p>
      <w:pPr>
        <w:spacing w:line="576" w:lineRule="exact"/>
        <w:ind w:firstLine="640" w:firstLineChars="200"/>
        <w:rPr>
          <w:rFonts w:ascii="宋体" w:hAnsi="宋体" w:eastAsia="宋体" w:cs="宋体"/>
          <w:sz w:val="32"/>
          <w:szCs w:val="32"/>
        </w:rPr>
      </w:pPr>
      <w:r>
        <w:rPr>
          <w:rFonts w:hint="eastAsia" w:ascii="宋体" w:hAnsi="宋体" w:eastAsia="宋体" w:cs="宋体"/>
          <w:sz w:val="32"/>
          <w:szCs w:val="32"/>
        </w:rPr>
        <w:t>7、组织实施农业、林业、畜牧业产业技术标准和农副产品及绿色食品的质量监督、认证工作；保护和利用农作物种质、畜禽质、林木树苗；组织协调种子（苗）、农药、肥料、兽药、饲料和饲料添加剂等农、林、畜投入品的质量监测，鉴定和执法监督管理；负责区内生产及进口种子（苗）、农药、肥料、兽药、饲料和饲料添加剂等产品的登记工作。</w:t>
      </w:r>
    </w:p>
    <w:p>
      <w:pPr>
        <w:spacing w:line="576" w:lineRule="exact"/>
        <w:ind w:firstLine="640" w:firstLineChars="200"/>
        <w:rPr>
          <w:rFonts w:ascii="宋体" w:hAnsi="宋体" w:eastAsia="宋体" w:cs="宋体"/>
          <w:sz w:val="32"/>
          <w:szCs w:val="32"/>
        </w:rPr>
      </w:pPr>
      <w:r>
        <w:rPr>
          <w:rFonts w:hint="eastAsia" w:ascii="宋体" w:hAnsi="宋体" w:eastAsia="宋体" w:cs="宋体"/>
          <w:sz w:val="32"/>
          <w:szCs w:val="32"/>
        </w:rPr>
        <w:t>8、负责组织实施全区畜牧兽医行政执法工作以及兽医、兽药管理体系和队伍建设；负责兽医医政和兽药药政工作；负责组织、实施、监督对区内动植物的防疫和检疫工作，发布疫情并组织扑灭。负责全区的造林绿化、管理以及森林防火、病虫害综合防治、野生动物保护。</w:t>
      </w:r>
    </w:p>
    <w:p>
      <w:pPr>
        <w:spacing w:line="576" w:lineRule="exact"/>
        <w:ind w:firstLine="640" w:firstLineChars="200"/>
        <w:rPr>
          <w:rFonts w:ascii="宋体" w:hAnsi="宋体" w:eastAsia="宋体" w:cs="宋体"/>
          <w:sz w:val="32"/>
          <w:szCs w:val="32"/>
        </w:rPr>
      </w:pPr>
      <w:r>
        <w:rPr>
          <w:rFonts w:hint="eastAsia" w:ascii="宋体" w:hAnsi="宋体" w:eastAsia="宋体" w:cs="宋体"/>
          <w:sz w:val="32"/>
          <w:szCs w:val="32"/>
        </w:rPr>
        <w:t>9、拟订并实施全区农业机械化发展规划，指导农机化服务体系建设；组织实施对农机化生产的安全监理和农机产品的质量监督；负责组织机械化进行农业生产，提高农机化普及和应用水平。</w:t>
      </w:r>
    </w:p>
    <w:p>
      <w:pPr>
        <w:spacing w:line="576" w:lineRule="exact"/>
        <w:ind w:firstLine="640" w:firstLineChars="200"/>
        <w:rPr>
          <w:rFonts w:ascii="宋体" w:hAnsi="宋体" w:eastAsia="宋体" w:cs="宋体"/>
          <w:sz w:val="32"/>
          <w:szCs w:val="32"/>
        </w:rPr>
      </w:pPr>
      <w:r>
        <w:rPr>
          <w:rFonts w:hint="eastAsia" w:ascii="宋体" w:hAnsi="宋体" w:eastAsia="宋体" w:cs="宋体"/>
          <w:sz w:val="32"/>
          <w:szCs w:val="32"/>
        </w:rPr>
        <w:t>10、贯彻落实各级部门对农业综合开发、扶贫开发的各项方针和政策；拟订全区农业综合开发、扶贫开发的中长期发展规划和年度计划，指导全区农业综合开发和扶贫开发工作。</w:t>
      </w:r>
    </w:p>
    <w:p>
      <w:pPr>
        <w:spacing w:line="576"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 xml:space="preserve">11、制定全区农业利用外资项目规划；组织农业对外的经济、技术交流与合作；承担农业援助项目的监督、管理工作。 </w:t>
      </w:r>
    </w:p>
    <w:p>
      <w:pPr>
        <w:spacing w:line="576" w:lineRule="exact"/>
        <w:ind w:firstLine="643" w:firstLineChars="200"/>
        <w:rPr>
          <w:rFonts w:hint="eastAsia" w:ascii="宋体" w:hAnsi="宋体" w:eastAsia="宋体" w:cs="宋体"/>
          <w:b/>
          <w:bCs/>
          <w:sz w:val="32"/>
          <w:szCs w:val="32"/>
          <w:lang w:eastAsia="zh-CN"/>
        </w:rPr>
      </w:pPr>
      <w:r>
        <w:rPr>
          <w:rFonts w:hint="eastAsia" w:ascii="宋体" w:hAnsi="宋体" w:eastAsia="宋体" w:cs="宋体"/>
          <w:b/>
          <w:bCs/>
          <w:sz w:val="32"/>
          <w:szCs w:val="32"/>
          <w:lang w:eastAsia="zh-CN"/>
        </w:rPr>
        <w:t>（二）机构设置情况</w:t>
      </w:r>
    </w:p>
    <w:p>
      <w:pPr>
        <w:spacing w:line="576" w:lineRule="exact"/>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eastAsia="zh-CN"/>
        </w:rPr>
        <w:t>区农林局内设</w:t>
      </w:r>
      <w:r>
        <w:rPr>
          <w:rFonts w:hint="eastAsia" w:ascii="宋体" w:hAnsi="宋体" w:eastAsia="宋体" w:cs="宋体"/>
          <w:sz w:val="32"/>
          <w:szCs w:val="32"/>
          <w:lang w:val="en-US" w:eastAsia="zh-CN"/>
        </w:rPr>
        <w:t>4个科室，分别为：办公室、农业科、林业科、畜牧科.</w:t>
      </w:r>
    </w:p>
    <w:p>
      <w:pPr>
        <w:spacing w:line="576" w:lineRule="exact"/>
        <w:ind w:firstLine="640" w:firstLineChars="200"/>
        <w:rPr>
          <w:rFonts w:hint="eastAsia" w:ascii="宋体" w:hAnsi="宋体" w:eastAsia="宋体" w:cs="宋体"/>
          <w:sz w:val="32"/>
          <w:szCs w:val="32"/>
        </w:rPr>
      </w:pPr>
    </w:p>
    <w:p>
      <w:pPr>
        <w:pStyle w:val="4"/>
        <w:shd w:val="clear" w:color="auto" w:fill="FFFFFF"/>
        <w:spacing w:before="0" w:beforeAutospacing="0" w:after="0" w:afterAutospacing="0" w:line="560" w:lineRule="exact"/>
        <w:ind w:firstLine="640" w:firstLineChars="200"/>
        <w:rPr>
          <w:rStyle w:val="8"/>
          <w:rFonts w:hint="eastAsia" w:ascii="黑体" w:hAnsi="黑体" w:eastAsia="黑体" w:cs="黑体"/>
          <w:b w:val="0"/>
          <w:bCs w:val="0"/>
          <w:color w:val="000000"/>
          <w:sz w:val="32"/>
          <w:szCs w:val="32"/>
        </w:rPr>
      </w:pPr>
      <w:r>
        <w:rPr>
          <w:rStyle w:val="8"/>
          <w:rFonts w:hint="eastAsia" w:ascii="黑体" w:hAnsi="黑体" w:eastAsia="黑体" w:cs="黑体"/>
          <w:b w:val="0"/>
          <w:bCs w:val="0"/>
          <w:color w:val="000000"/>
          <w:sz w:val="32"/>
          <w:szCs w:val="32"/>
        </w:rPr>
        <w:t>二、部门决算单位构成</w:t>
      </w:r>
    </w:p>
    <w:p>
      <w:pPr>
        <w:spacing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从决算单位构成看，农林局的部门决算包括农林局本级（机关）决算和所属事业单位决算。</w:t>
      </w:r>
    </w:p>
    <w:p>
      <w:pPr>
        <w:spacing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纳入本部门</w:t>
      </w:r>
      <w:r>
        <w:rPr>
          <w:rFonts w:ascii="仿宋_GB2312" w:hAnsi="华文仿宋" w:eastAsia="仿宋_GB2312" w:cs="华文仿宋"/>
          <w:sz w:val="32"/>
          <w:szCs w:val="32"/>
        </w:rPr>
        <w:t>2017</w:t>
      </w:r>
      <w:r>
        <w:rPr>
          <w:rFonts w:hint="eastAsia" w:ascii="仿宋_GB2312" w:hAnsi="华文仿宋" w:eastAsia="仿宋_GB2312" w:cs="华文仿宋"/>
          <w:sz w:val="32"/>
          <w:szCs w:val="32"/>
        </w:rPr>
        <w:t>年部门决算编制范围的二级决算单位共有11个，包括：</w:t>
      </w:r>
    </w:p>
    <w:p>
      <w:pPr>
        <w:spacing w:line="560" w:lineRule="exact"/>
        <w:ind w:firstLine="640" w:firstLineChars="200"/>
        <w:rPr>
          <w:rFonts w:ascii="仿宋_GB2312" w:hAnsi="华文仿宋" w:eastAsia="仿宋_GB2312" w:cs="华文仿宋"/>
          <w:sz w:val="32"/>
          <w:szCs w:val="32"/>
        </w:rPr>
      </w:pPr>
    </w:p>
    <w:tbl>
      <w:tblPr>
        <w:tblStyle w:val="5"/>
        <w:tblW w:w="8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6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tcPr>
          <w:p>
            <w:pPr>
              <w:spacing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序号</w:t>
            </w:r>
          </w:p>
        </w:tc>
        <w:tc>
          <w:tcPr>
            <w:tcW w:w="6886" w:type="dxa"/>
          </w:tcPr>
          <w:p>
            <w:pPr>
              <w:spacing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tcPr>
          <w:p>
            <w:pPr>
              <w:spacing w:line="560" w:lineRule="exact"/>
              <w:jc w:val="center"/>
              <w:rPr>
                <w:rFonts w:ascii="仿宋_GB2312" w:hAnsi="华文仿宋" w:eastAsia="仿宋_GB2312" w:cs="华文仿宋"/>
                <w:sz w:val="32"/>
                <w:szCs w:val="32"/>
              </w:rPr>
            </w:pPr>
            <w:r>
              <w:rPr>
                <w:rFonts w:ascii="仿宋_GB2312" w:hAnsi="华文仿宋" w:eastAsia="仿宋_GB2312" w:cs="华文仿宋"/>
                <w:sz w:val="32"/>
                <w:szCs w:val="32"/>
              </w:rPr>
              <w:t>1</w:t>
            </w:r>
          </w:p>
        </w:tc>
        <w:tc>
          <w:tcPr>
            <w:tcW w:w="6886" w:type="dxa"/>
          </w:tcPr>
          <w:p>
            <w:pPr>
              <w:spacing w:line="560" w:lineRule="exact"/>
              <w:rPr>
                <w:rFonts w:ascii="仿宋_GB2312" w:hAnsi="华文仿宋" w:eastAsia="仿宋_GB2312" w:cs="华文仿宋"/>
                <w:sz w:val="32"/>
                <w:szCs w:val="32"/>
              </w:rPr>
            </w:pPr>
            <w:r>
              <w:rPr>
                <w:rFonts w:hint="eastAsia" w:ascii="仿宋_GB2312" w:hAnsi="华文仿宋" w:eastAsia="仿宋_GB2312" w:cs="华文仿宋"/>
                <w:sz w:val="32"/>
                <w:szCs w:val="32"/>
              </w:rPr>
              <w:t>西安市阎良区农林局本级（机关）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tcPr>
          <w:p>
            <w:pPr>
              <w:spacing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2</w:t>
            </w:r>
          </w:p>
        </w:tc>
        <w:tc>
          <w:tcPr>
            <w:tcW w:w="6886" w:type="dxa"/>
          </w:tcPr>
          <w:p>
            <w:pPr>
              <w:spacing w:line="560" w:lineRule="exact"/>
              <w:rPr>
                <w:rFonts w:ascii="仿宋_GB2312" w:hAnsi="华文仿宋" w:eastAsia="仿宋_GB2312" w:cs="华文仿宋"/>
                <w:sz w:val="32"/>
                <w:szCs w:val="32"/>
              </w:rPr>
            </w:pPr>
            <w:r>
              <w:rPr>
                <w:rFonts w:hint="eastAsia" w:ascii="仿宋_GB2312" w:hAnsi="华文仿宋" w:eastAsia="仿宋_GB2312" w:cs="华文仿宋"/>
                <w:sz w:val="32"/>
                <w:szCs w:val="32"/>
              </w:rPr>
              <w:t>西安市阎良区农业综合开发办公室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tcPr>
          <w:p>
            <w:pPr>
              <w:spacing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3</w:t>
            </w:r>
          </w:p>
        </w:tc>
        <w:tc>
          <w:tcPr>
            <w:tcW w:w="6886" w:type="dxa"/>
          </w:tcPr>
          <w:p>
            <w:pPr>
              <w:spacing w:line="560" w:lineRule="exact"/>
              <w:rPr>
                <w:rFonts w:ascii="仿宋_GB2312" w:hAnsi="华文仿宋" w:eastAsia="仿宋_GB2312" w:cs="华文仿宋"/>
                <w:sz w:val="32"/>
                <w:szCs w:val="32"/>
              </w:rPr>
            </w:pPr>
            <w:r>
              <w:rPr>
                <w:rFonts w:hint="eastAsia" w:ascii="仿宋_GB2312" w:hAnsi="华文仿宋" w:eastAsia="仿宋_GB2312" w:cs="华文仿宋"/>
                <w:sz w:val="32"/>
                <w:szCs w:val="32"/>
              </w:rPr>
              <w:t>西安市阎良区农村经营管理站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tcPr>
          <w:p>
            <w:pPr>
              <w:spacing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4</w:t>
            </w:r>
          </w:p>
        </w:tc>
        <w:tc>
          <w:tcPr>
            <w:tcW w:w="6886" w:type="dxa"/>
          </w:tcPr>
          <w:p>
            <w:pPr>
              <w:spacing w:line="560" w:lineRule="exact"/>
              <w:rPr>
                <w:rFonts w:ascii="仿宋_GB2312" w:hAnsi="华文仿宋" w:eastAsia="仿宋_GB2312" w:cs="华文仿宋"/>
                <w:sz w:val="32"/>
                <w:szCs w:val="32"/>
              </w:rPr>
            </w:pPr>
            <w:r>
              <w:rPr>
                <w:rFonts w:hint="eastAsia" w:ascii="仿宋_GB2312" w:hAnsi="华文仿宋" w:eastAsia="仿宋_GB2312" w:cs="华文仿宋"/>
                <w:sz w:val="32"/>
                <w:szCs w:val="32"/>
              </w:rPr>
              <w:t>西安市阎良区农业技术推广中心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tcPr>
          <w:p>
            <w:pPr>
              <w:spacing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5</w:t>
            </w:r>
          </w:p>
        </w:tc>
        <w:tc>
          <w:tcPr>
            <w:tcW w:w="6886" w:type="dxa"/>
          </w:tcPr>
          <w:p>
            <w:pPr>
              <w:spacing w:line="560" w:lineRule="exact"/>
              <w:rPr>
                <w:rFonts w:ascii="仿宋_GB2312" w:hAnsi="华文仿宋" w:eastAsia="仿宋_GB2312" w:cs="华文仿宋"/>
                <w:sz w:val="32"/>
                <w:szCs w:val="32"/>
              </w:rPr>
            </w:pPr>
            <w:r>
              <w:rPr>
                <w:rFonts w:hint="eastAsia" w:ascii="仿宋_GB2312" w:hAnsi="华文仿宋" w:eastAsia="仿宋_GB2312" w:cs="华文仿宋"/>
                <w:sz w:val="32"/>
                <w:szCs w:val="32"/>
              </w:rPr>
              <w:t>西安市阎良区畜牧技术推广中心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tcPr>
          <w:p>
            <w:pPr>
              <w:spacing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6</w:t>
            </w:r>
          </w:p>
        </w:tc>
        <w:tc>
          <w:tcPr>
            <w:tcW w:w="6886" w:type="dxa"/>
          </w:tcPr>
          <w:p>
            <w:pPr>
              <w:spacing w:line="560" w:lineRule="exact"/>
              <w:rPr>
                <w:rFonts w:ascii="仿宋_GB2312" w:hAnsi="华文仿宋" w:eastAsia="仿宋_GB2312" w:cs="华文仿宋"/>
                <w:sz w:val="32"/>
                <w:szCs w:val="32"/>
              </w:rPr>
            </w:pPr>
            <w:r>
              <w:rPr>
                <w:rFonts w:hint="eastAsia" w:ascii="仿宋_GB2312" w:hAnsi="华文仿宋" w:eastAsia="仿宋_GB2312" w:cs="华文仿宋"/>
                <w:sz w:val="32"/>
                <w:szCs w:val="32"/>
              </w:rPr>
              <w:t>西安市阎良区动物疾病预防控制中心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tcPr>
          <w:p>
            <w:pPr>
              <w:spacing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7</w:t>
            </w:r>
          </w:p>
        </w:tc>
        <w:tc>
          <w:tcPr>
            <w:tcW w:w="6886" w:type="dxa"/>
          </w:tcPr>
          <w:p>
            <w:pPr>
              <w:spacing w:line="560" w:lineRule="exact"/>
              <w:rPr>
                <w:rFonts w:ascii="仿宋_GB2312" w:hAnsi="华文仿宋" w:eastAsia="仿宋_GB2312" w:cs="华文仿宋"/>
                <w:sz w:val="32"/>
                <w:szCs w:val="32"/>
              </w:rPr>
            </w:pPr>
            <w:r>
              <w:rPr>
                <w:rFonts w:hint="eastAsia" w:ascii="仿宋_GB2312" w:hAnsi="华文仿宋" w:eastAsia="仿宋_GB2312" w:cs="华文仿宋"/>
                <w:sz w:val="32"/>
                <w:szCs w:val="32"/>
              </w:rPr>
              <w:t>西安市阎良区农产品质量安全检验检测中心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tcPr>
          <w:p>
            <w:pPr>
              <w:spacing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8</w:t>
            </w:r>
          </w:p>
        </w:tc>
        <w:tc>
          <w:tcPr>
            <w:tcW w:w="6886" w:type="dxa"/>
          </w:tcPr>
          <w:p>
            <w:pPr>
              <w:spacing w:line="560" w:lineRule="exact"/>
              <w:rPr>
                <w:rFonts w:ascii="仿宋_GB2312" w:hAnsi="华文仿宋" w:eastAsia="仿宋_GB2312" w:cs="华文仿宋"/>
                <w:sz w:val="32"/>
                <w:szCs w:val="32"/>
              </w:rPr>
            </w:pPr>
            <w:r>
              <w:rPr>
                <w:rFonts w:hint="eastAsia" w:ascii="仿宋_GB2312" w:hAnsi="华文仿宋" w:eastAsia="仿宋_GB2312" w:cs="华文仿宋"/>
                <w:sz w:val="32"/>
                <w:szCs w:val="32"/>
              </w:rPr>
              <w:t>西安市阎良区林业科技中心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tcPr>
          <w:p>
            <w:pPr>
              <w:spacing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9</w:t>
            </w:r>
          </w:p>
        </w:tc>
        <w:tc>
          <w:tcPr>
            <w:tcW w:w="6886" w:type="dxa"/>
          </w:tcPr>
          <w:p>
            <w:pPr>
              <w:spacing w:line="560" w:lineRule="exact"/>
              <w:rPr>
                <w:rFonts w:ascii="仿宋_GB2312" w:hAnsi="华文仿宋" w:eastAsia="仿宋_GB2312" w:cs="华文仿宋"/>
                <w:sz w:val="32"/>
                <w:szCs w:val="32"/>
              </w:rPr>
            </w:pPr>
            <w:r>
              <w:rPr>
                <w:rFonts w:hint="eastAsia" w:ascii="仿宋_GB2312" w:hAnsi="华文仿宋" w:eastAsia="仿宋_GB2312" w:cs="华文仿宋"/>
                <w:sz w:val="32"/>
                <w:szCs w:val="32"/>
              </w:rPr>
              <w:t>西安市阎良区动物卫生监督所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tcPr>
          <w:p>
            <w:pPr>
              <w:spacing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10</w:t>
            </w:r>
          </w:p>
        </w:tc>
        <w:tc>
          <w:tcPr>
            <w:tcW w:w="6886" w:type="dxa"/>
          </w:tcPr>
          <w:p>
            <w:pPr>
              <w:spacing w:line="560" w:lineRule="exact"/>
              <w:rPr>
                <w:rFonts w:ascii="仿宋_GB2312" w:hAnsi="华文仿宋" w:eastAsia="仿宋_GB2312" w:cs="华文仿宋"/>
                <w:sz w:val="32"/>
                <w:szCs w:val="32"/>
              </w:rPr>
            </w:pPr>
            <w:r>
              <w:rPr>
                <w:rFonts w:hint="eastAsia" w:ascii="仿宋_GB2312" w:hAnsi="华文仿宋" w:eastAsia="仿宋_GB2312" w:cs="华文仿宋"/>
                <w:sz w:val="32"/>
                <w:szCs w:val="32"/>
              </w:rPr>
              <w:t>西安市阎良区农机管理站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tcPr>
          <w:p>
            <w:pPr>
              <w:spacing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11</w:t>
            </w:r>
          </w:p>
        </w:tc>
        <w:tc>
          <w:tcPr>
            <w:tcW w:w="6886" w:type="dxa"/>
          </w:tcPr>
          <w:p>
            <w:pPr>
              <w:spacing w:line="560" w:lineRule="exact"/>
              <w:rPr>
                <w:rFonts w:ascii="仿宋_GB2312" w:hAnsi="华文仿宋" w:eastAsia="仿宋_GB2312" w:cs="华文仿宋"/>
                <w:sz w:val="32"/>
                <w:szCs w:val="32"/>
              </w:rPr>
            </w:pPr>
            <w:r>
              <w:rPr>
                <w:rFonts w:hint="eastAsia" w:ascii="仿宋_GB2312" w:hAnsi="华文仿宋" w:eastAsia="仿宋_GB2312" w:cs="华文仿宋"/>
                <w:sz w:val="32"/>
                <w:szCs w:val="32"/>
              </w:rPr>
              <w:t>西安市阎良区种子管理站</w:t>
            </w:r>
          </w:p>
        </w:tc>
      </w:tr>
    </w:tbl>
    <w:p>
      <w:pPr>
        <w:pStyle w:val="4"/>
        <w:shd w:val="clear" w:color="auto" w:fill="FFFFFF"/>
        <w:spacing w:before="0" w:beforeAutospacing="0" w:after="0" w:afterAutospacing="0" w:line="560" w:lineRule="exact"/>
        <w:ind w:firstLine="640" w:firstLineChars="200"/>
        <w:rPr>
          <w:rStyle w:val="8"/>
          <w:rFonts w:ascii="黑体" w:hAnsi="黑体" w:eastAsia="黑体" w:cs="黑体"/>
          <w:b w:val="0"/>
          <w:color w:val="000000"/>
          <w:sz w:val="32"/>
          <w:szCs w:val="32"/>
        </w:rPr>
      </w:pPr>
      <w:r>
        <w:rPr>
          <w:rStyle w:val="8"/>
          <w:rFonts w:hint="eastAsia" w:ascii="黑体" w:eastAsia="黑体" w:cs="黑体"/>
          <w:b w:val="0"/>
          <w:color w:val="000000"/>
          <w:sz w:val="32"/>
          <w:szCs w:val="32"/>
        </w:rPr>
        <w:t>三、部门人员情况说明</w:t>
      </w:r>
    </w:p>
    <w:p>
      <w:pPr>
        <w:spacing w:line="560" w:lineRule="exact"/>
        <w:ind w:firstLine="640" w:firstLineChars="200"/>
        <w:rPr>
          <w:sz w:val="32"/>
          <w:szCs w:val="32"/>
        </w:rPr>
      </w:pPr>
      <w:bookmarkStart w:id="1" w:name="_GoBack"/>
      <w:bookmarkEnd w:id="1"/>
      <w:r>
        <w:rPr>
          <w:rFonts w:hint="eastAsia" w:ascii="仿宋_GB2312" w:hAnsi="华文仿宋" w:eastAsia="仿宋_GB2312" w:cs="华文仿宋"/>
          <w:sz w:val="32"/>
          <w:szCs w:val="32"/>
        </w:rPr>
        <w:t>截止</w:t>
      </w:r>
      <w:r>
        <w:rPr>
          <w:rFonts w:ascii="仿宋_GB2312" w:hAnsi="华文仿宋" w:eastAsia="仿宋_GB2312" w:cs="华文仿宋"/>
          <w:sz w:val="32"/>
          <w:szCs w:val="32"/>
        </w:rPr>
        <w:t>2017</w:t>
      </w:r>
      <w:r>
        <w:rPr>
          <w:rFonts w:hint="eastAsia" w:ascii="仿宋_GB2312" w:hAnsi="华文仿宋" w:eastAsia="仿宋_GB2312" w:cs="华文仿宋"/>
          <w:sz w:val="32"/>
          <w:szCs w:val="32"/>
        </w:rPr>
        <w:t>年底，本部门人员编制 137 人，其中行政编11制人、事业编制 126 人；实有人员 156 人，其中行政 11人、事业 145人。</w:t>
      </w:r>
      <w:r>
        <w:rPr>
          <w:rFonts w:hint="eastAsia" w:ascii="仿宋_GB2312" w:hAnsi="华文仿宋" w:eastAsia="仿宋_GB2312" w:cs="华文仿宋"/>
          <w:color w:val="000000" w:themeColor="text1"/>
          <w:sz w:val="32"/>
          <w:szCs w:val="32"/>
          <w14:textFill>
            <w14:solidFill>
              <w14:schemeClr w14:val="tx1"/>
            </w14:solidFill>
          </w14:textFill>
        </w:rPr>
        <w:t>单位管理的离退休人员 0人。</w:t>
      </w:r>
    </w:p>
    <w:p>
      <w:r>
        <w:drawing>
          <wp:inline distT="0" distB="0" distL="0" distR="0">
            <wp:extent cx="5172075" cy="2913380"/>
            <wp:effectExtent l="4445" t="4445" r="5080" b="1587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Pr>
        <w:pStyle w:val="4"/>
        <w:shd w:val="clear" w:color="auto" w:fill="FFFFFF"/>
        <w:spacing w:before="0" w:beforeAutospacing="0" w:after="0" w:afterAutospacing="0" w:line="560" w:lineRule="exact"/>
        <w:ind w:firstLine="640" w:firstLineChars="200"/>
        <w:rPr>
          <w:rStyle w:val="8"/>
          <w:rFonts w:ascii="黑体" w:eastAsia="黑体" w:cs="黑体"/>
          <w:b w:val="0"/>
          <w:color w:val="000000"/>
          <w:sz w:val="32"/>
          <w:szCs w:val="32"/>
        </w:rPr>
      </w:pPr>
      <w:r>
        <w:rPr>
          <w:rStyle w:val="8"/>
          <w:rFonts w:hint="eastAsia" w:ascii="黑体" w:eastAsia="黑体" w:cs="黑体"/>
          <w:b w:val="0"/>
          <w:color w:val="000000"/>
          <w:sz w:val="32"/>
          <w:szCs w:val="32"/>
        </w:rPr>
        <w:t>四、</w:t>
      </w:r>
      <w:r>
        <w:rPr>
          <w:rStyle w:val="8"/>
          <w:rFonts w:ascii="黑体" w:eastAsia="黑体" w:cs="黑体"/>
          <w:b w:val="0"/>
          <w:color w:val="000000"/>
          <w:sz w:val="32"/>
          <w:szCs w:val="32"/>
        </w:rPr>
        <w:t>2017</w:t>
      </w:r>
      <w:r>
        <w:rPr>
          <w:rStyle w:val="8"/>
          <w:rFonts w:hint="eastAsia" w:ascii="黑体" w:eastAsia="黑体" w:cs="黑体"/>
          <w:b w:val="0"/>
          <w:color w:val="000000"/>
          <w:sz w:val="32"/>
          <w:szCs w:val="32"/>
        </w:rPr>
        <w:t>年度部门工作完成情况</w:t>
      </w:r>
    </w:p>
    <w:p>
      <w:pPr>
        <w:spacing w:line="520" w:lineRule="exact"/>
        <w:ind w:firstLine="640" w:firstLineChars="200"/>
        <w:rPr>
          <w:rFonts w:ascii="黑体" w:hAnsi="黑体" w:eastAsia="黑体"/>
          <w:sz w:val="32"/>
          <w:szCs w:val="32"/>
        </w:rPr>
      </w:pPr>
      <w:r>
        <w:rPr>
          <w:rFonts w:hint="eastAsia" w:eastAsia="仿宋_GB2312"/>
          <w:sz w:val="32"/>
          <w:szCs w:val="32"/>
        </w:rPr>
        <w:t>2017</w:t>
      </w:r>
      <w:r>
        <w:rPr>
          <w:rFonts w:eastAsia="仿宋_GB2312"/>
          <w:sz w:val="32"/>
          <w:szCs w:val="32"/>
        </w:rPr>
        <w:t>年，我局</w:t>
      </w:r>
      <w:r>
        <w:rPr>
          <w:rFonts w:hint="eastAsia" w:eastAsia="仿宋_GB2312"/>
          <w:sz w:val="32"/>
          <w:szCs w:val="32"/>
        </w:rPr>
        <w:t>认真贯彻落实</w:t>
      </w:r>
      <w:r>
        <w:rPr>
          <w:rFonts w:eastAsia="仿宋_GB2312"/>
          <w:sz w:val="32"/>
          <w:szCs w:val="32"/>
        </w:rPr>
        <w:t>中央一号文件及省市区农村农业工作会议精神，紧扣“追赶超越”定位和“五个扎实”要求，按照</w:t>
      </w:r>
      <w:r>
        <w:rPr>
          <w:rFonts w:hint="eastAsia" w:eastAsia="仿宋_GB2312"/>
          <w:sz w:val="32"/>
          <w:szCs w:val="32"/>
        </w:rPr>
        <w:t>区委区政府</w:t>
      </w:r>
      <w:r>
        <w:rPr>
          <w:rFonts w:eastAsia="仿宋_GB2312"/>
          <w:sz w:val="32"/>
          <w:szCs w:val="32"/>
        </w:rPr>
        <w:t>“一轴两带三区”的总体</w:t>
      </w:r>
      <w:r>
        <w:rPr>
          <w:rFonts w:hint="eastAsia" w:eastAsia="仿宋_GB2312"/>
          <w:sz w:val="32"/>
          <w:szCs w:val="32"/>
        </w:rPr>
        <w:t>发展</w:t>
      </w:r>
      <w:r>
        <w:rPr>
          <w:rFonts w:eastAsia="仿宋_GB2312"/>
          <w:sz w:val="32"/>
          <w:szCs w:val="32"/>
        </w:rPr>
        <w:t>布局，</w:t>
      </w:r>
      <w:r>
        <w:rPr>
          <w:rFonts w:hint="eastAsia" w:eastAsia="仿宋_GB2312"/>
          <w:sz w:val="32"/>
          <w:szCs w:val="32"/>
        </w:rPr>
        <w:t>奋发有为，扎实工作，</w:t>
      </w:r>
      <w:r>
        <w:rPr>
          <w:rFonts w:eastAsia="仿宋_GB2312"/>
          <w:sz w:val="32"/>
          <w:szCs w:val="32"/>
        </w:rPr>
        <w:t>积极推进农业供给侧结构性改革，加速转变农业发展方式，全面完成了全年各项目标任务。</w:t>
      </w:r>
    </w:p>
    <w:p>
      <w:pPr>
        <w:spacing w:line="520" w:lineRule="exact"/>
        <w:ind w:firstLine="640" w:firstLineChars="200"/>
        <w:rPr>
          <w:rFonts w:ascii="黑体" w:hAnsi="黑体" w:eastAsia="黑体"/>
          <w:sz w:val="32"/>
          <w:szCs w:val="32"/>
        </w:rPr>
      </w:pPr>
      <w:r>
        <w:rPr>
          <w:rFonts w:hint="eastAsia" w:ascii="黑体" w:hAnsi="黑体" w:eastAsia="黑体"/>
          <w:sz w:val="32"/>
          <w:szCs w:val="32"/>
        </w:rPr>
        <w:t>(</w:t>
      </w:r>
      <w:r>
        <w:rPr>
          <w:rFonts w:ascii="黑体" w:hAnsi="黑体" w:eastAsia="黑体"/>
          <w:sz w:val="32"/>
          <w:szCs w:val="32"/>
        </w:rPr>
        <w:t>一</w:t>
      </w:r>
      <w:r>
        <w:rPr>
          <w:rFonts w:hint="eastAsia" w:ascii="黑体" w:hAnsi="黑体" w:eastAsia="黑体"/>
          <w:sz w:val="32"/>
          <w:szCs w:val="32"/>
        </w:rPr>
        <w:t>)</w:t>
      </w:r>
      <w:r>
        <w:rPr>
          <w:rFonts w:ascii="黑体" w:hAnsi="黑体" w:eastAsia="黑体"/>
          <w:sz w:val="32"/>
          <w:szCs w:val="32"/>
        </w:rPr>
        <w:t>、</w:t>
      </w:r>
      <w:r>
        <w:rPr>
          <w:rFonts w:hint="eastAsia" w:ascii="黑体" w:hAnsi="黑体" w:eastAsia="黑体"/>
          <w:sz w:val="32"/>
          <w:szCs w:val="32"/>
        </w:rPr>
        <w:t>攻坚克难，全面完成市考区考主要指标</w:t>
      </w:r>
    </w:p>
    <w:p>
      <w:pPr>
        <w:spacing w:line="520" w:lineRule="exact"/>
        <w:ind w:firstLine="640" w:firstLineChars="200"/>
        <w:rPr>
          <w:rFonts w:ascii="楷体_GB2312" w:eastAsia="楷体_GB2312"/>
          <w:sz w:val="32"/>
          <w:szCs w:val="32"/>
        </w:rPr>
      </w:pPr>
      <w:r>
        <w:rPr>
          <w:rFonts w:hint="eastAsia" w:ascii="楷体_GB2312" w:eastAsia="楷体_GB2312"/>
          <w:sz w:val="32"/>
          <w:szCs w:val="32"/>
        </w:rPr>
        <w:t>1:市考指标</w:t>
      </w:r>
    </w:p>
    <w:p>
      <w:pPr>
        <w:spacing w:line="520" w:lineRule="exact"/>
        <w:ind w:firstLine="640" w:firstLineChars="200"/>
        <w:rPr>
          <w:rFonts w:eastAsia="仿宋_GB2312"/>
          <w:sz w:val="32"/>
          <w:szCs w:val="32"/>
        </w:rPr>
      </w:pPr>
      <w:r>
        <w:rPr>
          <w:rFonts w:hint="eastAsia" w:eastAsia="仿宋_GB2312"/>
          <w:sz w:val="32"/>
          <w:szCs w:val="32"/>
        </w:rPr>
        <w:t>(1).</w:t>
      </w:r>
      <w:r>
        <w:rPr>
          <w:rFonts w:eastAsia="仿宋_GB2312"/>
          <w:sz w:val="32"/>
          <w:szCs w:val="32"/>
        </w:rPr>
        <w:t>农村居民人均可支配收入：目标任务为增长8.75%，</w:t>
      </w:r>
      <w:r>
        <w:rPr>
          <w:rFonts w:hint="eastAsia" w:eastAsia="仿宋_GB2312"/>
          <w:sz w:val="32"/>
          <w:szCs w:val="32"/>
        </w:rPr>
        <w:t>预计全年完成22126元，同比增长9.2 %，完成目标任务的100.4%。</w:t>
      </w:r>
    </w:p>
    <w:p>
      <w:pPr>
        <w:spacing w:line="520" w:lineRule="exact"/>
        <w:ind w:firstLine="640" w:firstLineChars="200"/>
        <w:rPr>
          <w:rFonts w:eastAsia="仿宋_GB2312"/>
          <w:sz w:val="32"/>
          <w:szCs w:val="32"/>
        </w:rPr>
      </w:pPr>
      <w:r>
        <w:rPr>
          <w:rFonts w:hint="eastAsia" w:eastAsia="仿宋_GB2312"/>
          <w:sz w:val="32"/>
          <w:szCs w:val="32"/>
        </w:rPr>
        <w:t>(2).脱贫攻坚：目标任务为群众满意度90%，实际产业扶贫</w:t>
      </w:r>
      <w:r>
        <w:rPr>
          <w:rFonts w:eastAsia="仿宋_GB2312"/>
          <w:sz w:val="32"/>
          <w:szCs w:val="32"/>
        </w:rPr>
        <w:t>工作全面展开，帮扶项目、举措务实有效、推进有力</w:t>
      </w:r>
      <w:r>
        <w:rPr>
          <w:rFonts w:hint="eastAsia" w:eastAsia="仿宋_GB2312"/>
          <w:sz w:val="32"/>
          <w:szCs w:val="32"/>
        </w:rPr>
        <w:t>，</w:t>
      </w:r>
      <w:r>
        <w:rPr>
          <w:rFonts w:eastAsia="仿宋_GB2312"/>
          <w:sz w:val="32"/>
          <w:szCs w:val="32"/>
        </w:rPr>
        <w:t>群众满意度达到90%以上</w:t>
      </w:r>
      <w:r>
        <w:rPr>
          <w:rFonts w:hint="eastAsia" w:eastAsia="仿宋_GB2312"/>
          <w:sz w:val="32"/>
          <w:szCs w:val="32"/>
        </w:rPr>
        <w:t>，</w:t>
      </w:r>
      <w:r>
        <w:rPr>
          <w:rFonts w:eastAsia="仿宋_GB2312"/>
          <w:sz w:val="32"/>
          <w:szCs w:val="32"/>
        </w:rPr>
        <w:t>完成全年目标任务的100%</w:t>
      </w:r>
      <w:r>
        <w:rPr>
          <w:rFonts w:hint="eastAsia" w:eastAsia="仿宋_GB2312"/>
          <w:sz w:val="32"/>
          <w:szCs w:val="32"/>
        </w:rPr>
        <w:t>。</w:t>
      </w:r>
    </w:p>
    <w:p>
      <w:pPr>
        <w:spacing w:line="520" w:lineRule="exact"/>
        <w:ind w:firstLine="640" w:firstLineChars="200"/>
        <w:rPr>
          <w:rFonts w:eastAsia="仿宋_GB2312"/>
          <w:sz w:val="32"/>
          <w:szCs w:val="32"/>
        </w:rPr>
      </w:pPr>
      <w:r>
        <w:rPr>
          <w:rFonts w:hint="eastAsia" w:eastAsia="仿宋_GB2312"/>
          <w:sz w:val="32"/>
          <w:szCs w:val="32"/>
        </w:rPr>
        <w:t>(3).</w:t>
      </w:r>
      <w:r>
        <w:rPr>
          <w:rFonts w:eastAsia="仿宋_GB2312"/>
          <w:sz w:val="32"/>
          <w:szCs w:val="32"/>
        </w:rPr>
        <w:t>农业增加值：目标任务为增长4.5%，预计全年完成</w:t>
      </w:r>
      <w:r>
        <w:rPr>
          <w:rFonts w:hint="eastAsia" w:eastAsia="仿宋_GB2312"/>
          <w:sz w:val="32"/>
          <w:szCs w:val="32"/>
        </w:rPr>
        <w:t>26.05 亿元，同比增长4.5%，完成全年目标任务的100%</w:t>
      </w:r>
      <w:r>
        <w:rPr>
          <w:rFonts w:eastAsia="仿宋_GB2312"/>
          <w:sz w:val="32"/>
          <w:szCs w:val="32"/>
        </w:rPr>
        <w:t>。</w:t>
      </w:r>
    </w:p>
    <w:p>
      <w:pPr>
        <w:spacing w:line="520" w:lineRule="exact"/>
        <w:ind w:firstLine="640" w:firstLineChars="200"/>
        <w:rPr>
          <w:rFonts w:eastAsia="仿宋_GB2312"/>
          <w:sz w:val="32"/>
          <w:szCs w:val="32"/>
        </w:rPr>
      </w:pPr>
      <w:r>
        <w:rPr>
          <w:rFonts w:hint="eastAsia" w:eastAsia="仿宋_GB2312"/>
          <w:sz w:val="32"/>
          <w:szCs w:val="32"/>
        </w:rPr>
        <w:t>(4).</w:t>
      </w:r>
      <w:r>
        <w:rPr>
          <w:rFonts w:eastAsia="仿宋_GB2312"/>
          <w:sz w:val="32"/>
          <w:szCs w:val="32"/>
        </w:rPr>
        <w:t>粮食总产量：目标任务为7.3万吨，实际完成</w:t>
      </w:r>
      <w:r>
        <w:rPr>
          <w:rFonts w:hint="eastAsia" w:eastAsia="仿宋_GB2312"/>
          <w:sz w:val="32"/>
          <w:szCs w:val="32"/>
        </w:rPr>
        <w:t>11.29万吨，完成了全年任务的154.66%。</w:t>
      </w:r>
    </w:p>
    <w:p>
      <w:pPr>
        <w:spacing w:line="520" w:lineRule="exact"/>
        <w:ind w:firstLine="640" w:firstLineChars="200"/>
        <w:rPr>
          <w:rFonts w:eastAsia="仿宋_GB2312"/>
          <w:sz w:val="32"/>
          <w:szCs w:val="32"/>
        </w:rPr>
      </w:pPr>
      <w:r>
        <w:rPr>
          <w:rFonts w:hint="eastAsia" w:eastAsia="仿宋_GB2312"/>
          <w:sz w:val="32"/>
          <w:szCs w:val="32"/>
        </w:rPr>
        <w:t>(5).森林资源保护：目标任务为做好森林资源保护发展工作，确保资源保护发展项目不扣分，实际我区全年林业有害生物防治率达100％，实施产地检疫率100％，林木采伐限额控制到零，无乱砍滥伐事件发生，全年无野生禽类疫情发生，全年有害生物成灾率为零。</w:t>
      </w:r>
    </w:p>
    <w:p>
      <w:pPr>
        <w:spacing w:line="520" w:lineRule="exact"/>
        <w:ind w:firstLine="640" w:firstLineChars="200"/>
        <w:rPr>
          <w:rFonts w:ascii="楷体_GB2312" w:eastAsia="楷体_GB2312"/>
          <w:sz w:val="32"/>
          <w:szCs w:val="32"/>
        </w:rPr>
      </w:pPr>
      <w:r>
        <w:rPr>
          <w:rFonts w:hint="eastAsia" w:ascii="楷体_GB2312" w:eastAsia="楷体_GB2312"/>
          <w:sz w:val="32"/>
          <w:szCs w:val="32"/>
        </w:rPr>
        <w:t>2:区考指标</w:t>
      </w:r>
    </w:p>
    <w:p>
      <w:pPr>
        <w:spacing w:line="520" w:lineRule="exact"/>
        <w:ind w:firstLine="640" w:firstLineChars="200"/>
        <w:rPr>
          <w:rFonts w:eastAsia="仿宋_GB2312"/>
          <w:sz w:val="32"/>
          <w:szCs w:val="32"/>
        </w:rPr>
      </w:pPr>
      <w:r>
        <w:rPr>
          <w:rFonts w:hint="eastAsia" w:eastAsia="仿宋_GB2312"/>
          <w:sz w:val="32"/>
          <w:szCs w:val="32"/>
        </w:rPr>
        <w:t>(1)</w:t>
      </w:r>
      <w:r>
        <w:rPr>
          <w:rFonts w:eastAsia="仿宋_GB2312"/>
          <w:sz w:val="32"/>
          <w:szCs w:val="32"/>
        </w:rPr>
        <w:t>.农业总产值：目标任务为增长3%，</w:t>
      </w:r>
      <w:r>
        <w:rPr>
          <w:rFonts w:hint="eastAsia" w:eastAsia="仿宋_GB2312"/>
          <w:sz w:val="32"/>
          <w:szCs w:val="32"/>
        </w:rPr>
        <w:t>预计全年完成39.9亿元，同比增长4.5%，完成全年目标任务的102%</w:t>
      </w:r>
      <w:r>
        <w:rPr>
          <w:rFonts w:eastAsia="仿宋_GB2312"/>
          <w:sz w:val="32"/>
          <w:szCs w:val="32"/>
        </w:rPr>
        <w:t>。</w:t>
      </w:r>
    </w:p>
    <w:p>
      <w:pPr>
        <w:spacing w:line="52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 xml:space="preserve"> 多种经营产值：目标任务为增长</w:t>
      </w:r>
      <w:r>
        <w:rPr>
          <w:rFonts w:hint="eastAsia" w:eastAsia="仿宋_GB2312"/>
          <w:sz w:val="32"/>
          <w:szCs w:val="32"/>
        </w:rPr>
        <w:t>2</w:t>
      </w:r>
      <w:r>
        <w:rPr>
          <w:rFonts w:eastAsia="仿宋_GB2312"/>
          <w:sz w:val="32"/>
          <w:szCs w:val="32"/>
        </w:rPr>
        <w:t>%，</w:t>
      </w:r>
      <w:r>
        <w:rPr>
          <w:rFonts w:hint="eastAsia" w:eastAsia="仿宋_GB2312"/>
          <w:sz w:val="32"/>
          <w:szCs w:val="32"/>
        </w:rPr>
        <w:t>预计全年完成 37.5 亿元，同比增长3%，完成全年目标任务的101%。</w:t>
      </w:r>
    </w:p>
    <w:p>
      <w:pPr>
        <w:spacing w:line="520" w:lineRule="exact"/>
        <w:ind w:firstLine="640" w:firstLineChars="200"/>
        <w:rPr>
          <w:rFonts w:eastAsia="仿宋_GB2312"/>
          <w:sz w:val="32"/>
          <w:szCs w:val="32"/>
        </w:rPr>
      </w:pPr>
      <w:r>
        <w:rPr>
          <w:rFonts w:hint="eastAsia" w:eastAsia="仿宋_GB2312"/>
          <w:sz w:val="32"/>
          <w:szCs w:val="32"/>
        </w:rPr>
        <w:t>(3).</w:t>
      </w:r>
      <w:r>
        <w:rPr>
          <w:rFonts w:eastAsia="仿宋_GB2312"/>
          <w:sz w:val="32"/>
          <w:szCs w:val="32"/>
        </w:rPr>
        <w:t xml:space="preserve"> 蔬菜产量：目标任务为35万吨，截止</w:t>
      </w:r>
      <w:r>
        <w:rPr>
          <w:rFonts w:hint="eastAsia" w:eastAsia="仿宋_GB2312"/>
          <w:sz w:val="32"/>
          <w:szCs w:val="32"/>
        </w:rPr>
        <w:t>三季度末</w:t>
      </w:r>
      <w:r>
        <w:rPr>
          <w:rFonts w:eastAsia="仿宋_GB2312"/>
          <w:sz w:val="32"/>
          <w:szCs w:val="32"/>
        </w:rPr>
        <w:t>蔬菜产量</w:t>
      </w:r>
      <w:r>
        <w:rPr>
          <w:rFonts w:hint="eastAsia" w:eastAsia="仿宋_GB2312"/>
          <w:sz w:val="32"/>
          <w:szCs w:val="32"/>
        </w:rPr>
        <w:t>为</w:t>
      </w:r>
      <w:r>
        <w:rPr>
          <w:rFonts w:eastAsia="仿宋_GB2312"/>
          <w:sz w:val="32"/>
          <w:szCs w:val="32"/>
        </w:rPr>
        <w:t>61.74万吨</w:t>
      </w:r>
      <w:r>
        <w:rPr>
          <w:rFonts w:hint="eastAsia" w:eastAsia="仿宋_GB2312"/>
          <w:sz w:val="32"/>
          <w:szCs w:val="32"/>
        </w:rPr>
        <w:t>，预计全年</w:t>
      </w:r>
      <w:r>
        <w:rPr>
          <w:rFonts w:eastAsia="仿宋_GB2312"/>
          <w:sz w:val="32"/>
          <w:szCs w:val="32"/>
        </w:rPr>
        <w:t>蔬菜产量将</w:t>
      </w:r>
      <w:r>
        <w:rPr>
          <w:rFonts w:hint="eastAsia" w:eastAsia="仿宋_GB2312"/>
          <w:sz w:val="32"/>
          <w:szCs w:val="32"/>
        </w:rPr>
        <w:t>达到80万吨，</w:t>
      </w:r>
      <w:r>
        <w:rPr>
          <w:rFonts w:eastAsia="仿宋_GB2312"/>
          <w:sz w:val="32"/>
          <w:szCs w:val="32"/>
        </w:rPr>
        <w:t>完成了全年目标任务的</w:t>
      </w:r>
      <w:r>
        <w:rPr>
          <w:rFonts w:hint="eastAsia" w:eastAsia="仿宋_GB2312"/>
          <w:sz w:val="32"/>
          <w:szCs w:val="32"/>
        </w:rPr>
        <w:t>228.57</w:t>
      </w:r>
      <w:r>
        <w:rPr>
          <w:rFonts w:eastAsia="仿宋_GB2312"/>
          <w:sz w:val="32"/>
          <w:szCs w:val="32"/>
        </w:rPr>
        <w:t>%。</w:t>
      </w:r>
    </w:p>
    <w:p>
      <w:pPr>
        <w:spacing w:line="520" w:lineRule="exact"/>
        <w:ind w:firstLine="640" w:firstLineChars="200"/>
        <w:rPr>
          <w:rFonts w:eastAsia="仿宋_GB2312"/>
          <w:sz w:val="32"/>
          <w:szCs w:val="32"/>
        </w:rPr>
      </w:pPr>
      <w:r>
        <w:rPr>
          <w:rFonts w:hint="eastAsia" w:eastAsia="仿宋_GB2312"/>
          <w:sz w:val="32"/>
          <w:szCs w:val="32"/>
        </w:rPr>
        <w:t>(4)．绿化造林：目标任务为绿化造林1000亩，实际完成</w:t>
      </w:r>
      <w:r>
        <w:rPr>
          <w:rFonts w:eastAsia="仿宋_GB2312"/>
          <w:sz w:val="32"/>
          <w:szCs w:val="32"/>
        </w:rPr>
        <w:t>3350亩</w:t>
      </w:r>
      <w:r>
        <w:rPr>
          <w:rFonts w:hint="eastAsia" w:eastAsia="仿宋_GB2312"/>
          <w:sz w:val="32"/>
          <w:szCs w:val="32"/>
        </w:rPr>
        <w:t>，</w:t>
      </w:r>
      <w:r>
        <w:rPr>
          <w:rFonts w:eastAsia="仿宋_GB2312"/>
          <w:sz w:val="32"/>
          <w:szCs w:val="32"/>
        </w:rPr>
        <w:t>完成全年目标任务的</w:t>
      </w:r>
      <w:r>
        <w:rPr>
          <w:rFonts w:hint="eastAsia" w:eastAsia="仿宋_GB2312"/>
          <w:sz w:val="32"/>
          <w:szCs w:val="32"/>
        </w:rPr>
        <w:t>335%。</w:t>
      </w:r>
    </w:p>
    <w:p>
      <w:pPr>
        <w:spacing w:line="520" w:lineRule="exact"/>
        <w:ind w:firstLine="640" w:firstLineChars="200"/>
        <w:rPr>
          <w:rFonts w:eastAsia="仿宋_GB2312"/>
          <w:sz w:val="32"/>
          <w:szCs w:val="32"/>
        </w:rPr>
      </w:pPr>
      <w:r>
        <w:rPr>
          <w:rFonts w:hint="eastAsia" w:eastAsia="仿宋_GB2312"/>
          <w:sz w:val="32"/>
          <w:szCs w:val="32"/>
        </w:rPr>
        <w:t>(5)</w:t>
      </w:r>
      <w:r>
        <w:rPr>
          <w:rFonts w:eastAsia="仿宋_GB2312"/>
          <w:sz w:val="32"/>
          <w:szCs w:val="32"/>
        </w:rPr>
        <w:t>. 惠民实事：我局承担的惠民实事项目为2017年阎良区农机具购置补贴项目，完成投资300万元。</w:t>
      </w:r>
      <w:r>
        <w:rPr>
          <w:rFonts w:hint="eastAsia" w:eastAsia="仿宋_GB2312"/>
          <w:sz w:val="32"/>
          <w:szCs w:val="32"/>
        </w:rPr>
        <w:t>实际发放</w:t>
      </w:r>
      <w:r>
        <w:rPr>
          <w:rFonts w:eastAsia="仿宋_GB2312"/>
          <w:sz w:val="32"/>
          <w:szCs w:val="32"/>
        </w:rPr>
        <w:t>补贴金额</w:t>
      </w:r>
      <w:r>
        <w:rPr>
          <w:rFonts w:hint="eastAsia" w:eastAsia="仿宋_GB2312"/>
          <w:sz w:val="32"/>
          <w:szCs w:val="32"/>
        </w:rPr>
        <w:t>367</w:t>
      </w:r>
      <w:r>
        <w:rPr>
          <w:rFonts w:eastAsia="仿宋_GB2312"/>
          <w:sz w:val="32"/>
          <w:szCs w:val="32"/>
        </w:rPr>
        <w:t>万元</w:t>
      </w:r>
      <w:r>
        <w:rPr>
          <w:rFonts w:hint="eastAsia" w:eastAsia="仿宋_GB2312"/>
          <w:sz w:val="32"/>
          <w:szCs w:val="32"/>
        </w:rPr>
        <w:t>，</w:t>
      </w:r>
      <w:r>
        <w:rPr>
          <w:rFonts w:eastAsia="仿宋_GB2312"/>
          <w:sz w:val="32"/>
          <w:szCs w:val="32"/>
        </w:rPr>
        <w:t>补贴各类农机具</w:t>
      </w:r>
      <w:r>
        <w:rPr>
          <w:rFonts w:hint="eastAsia" w:eastAsia="仿宋_GB2312"/>
          <w:sz w:val="32"/>
          <w:szCs w:val="32"/>
        </w:rPr>
        <w:t>305</w:t>
      </w:r>
      <w:r>
        <w:rPr>
          <w:rFonts w:eastAsia="仿宋_GB2312"/>
          <w:sz w:val="32"/>
          <w:szCs w:val="32"/>
        </w:rPr>
        <w:t>台，收益农户</w:t>
      </w:r>
      <w:r>
        <w:rPr>
          <w:rFonts w:hint="eastAsia" w:eastAsia="仿宋_GB2312"/>
          <w:sz w:val="32"/>
          <w:szCs w:val="32"/>
        </w:rPr>
        <w:t>223</w:t>
      </w:r>
      <w:r>
        <w:rPr>
          <w:rFonts w:eastAsia="仿宋_GB2312"/>
          <w:sz w:val="32"/>
          <w:szCs w:val="32"/>
        </w:rPr>
        <w:t>户，完成了全年目标任务的</w:t>
      </w:r>
      <w:r>
        <w:rPr>
          <w:rFonts w:hint="eastAsia" w:eastAsia="仿宋_GB2312"/>
          <w:sz w:val="32"/>
          <w:szCs w:val="32"/>
        </w:rPr>
        <w:t>122%</w:t>
      </w:r>
      <w:r>
        <w:rPr>
          <w:rFonts w:eastAsia="仿宋_GB2312"/>
          <w:sz w:val="32"/>
          <w:szCs w:val="32"/>
        </w:rPr>
        <w:t>。</w:t>
      </w:r>
    </w:p>
    <w:p>
      <w:pPr>
        <w:spacing w:line="520" w:lineRule="exact"/>
        <w:ind w:firstLine="640" w:firstLineChars="200"/>
        <w:rPr>
          <w:rFonts w:eastAsia="仿宋_GB2312"/>
          <w:sz w:val="32"/>
          <w:szCs w:val="32"/>
        </w:rPr>
      </w:pPr>
      <w:r>
        <w:rPr>
          <w:rFonts w:hint="eastAsia" w:eastAsia="仿宋_GB2312"/>
          <w:sz w:val="32"/>
          <w:szCs w:val="32"/>
        </w:rPr>
        <w:t>(6)．</w:t>
      </w:r>
      <w:r>
        <w:rPr>
          <w:rFonts w:eastAsia="仿宋_GB2312"/>
          <w:sz w:val="32"/>
          <w:szCs w:val="32"/>
        </w:rPr>
        <w:t>争取上级资金：目标任务为争取6450万元，其中中省资金2830万元，市级资金3620万元</w:t>
      </w:r>
      <w:r>
        <w:rPr>
          <w:rFonts w:hint="eastAsia" w:eastAsia="仿宋_GB2312"/>
          <w:sz w:val="32"/>
          <w:szCs w:val="32"/>
        </w:rPr>
        <w:t>，</w:t>
      </w:r>
      <w:r>
        <w:rPr>
          <w:rFonts w:eastAsia="仿宋_GB2312"/>
          <w:sz w:val="32"/>
          <w:szCs w:val="32"/>
        </w:rPr>
        <w:t>实际完成</w:t>
      </w:r>
      <w:r>
        <w:rPr>
          <w:rFonts w:hint="eastAsia" w:eastAsia="仿宋_GB2312"/>
          <w:sz w:val="32"/>
          <w:szCs w:val="32"/>
        </w:rPr>
        <w:t>6648.078</w:t>
      </w:r>
      <w:r>
        <w:rPr>
          <w:rFonts w:eastAsia="仿宋_GB2312"/>
          <w:sz w:val="32"/>
          <w:szCs w:val="32"/>
        </w:rPr>
        <w:t>万元，</w:t>
      </w:r>
      <w:r>
        <w:rPr>
          <w:rFonts w:hint="eastAsia" w:eastAsia="仿宋_GB2312"/>
          <w:sz w:val="32"/>
          <w:szCs w:val="32"/>
        </w:rPr>
        <w:t>完成</w:t>
      </w:r>
      <w:r>
        <w:rPr>
          <w:rFonts w:eastAsia="仿宋_GB2312"/>
          <w:sz w:val="32"/>
          <w:szCs w:val="32"/>
        </w:rPr>
        <w:t>全年目标任务的</w:t>
      </w:r>
      <w:r>
        <w:rPr>
          <w:rFonts w:hint="eastAsia" w:eastAsia="仿宋_GB2312"/>
          <w:sz w:val="32"/>
          <w:szCs w:val="32"/>
        </w:rPr>
        <w:t>103</w:t>
      </w:r>
      <w:r>
        <w:rPr>
          <w:rFonts w:eastAsia="仿宋_GB2312"/>
          <w:sz w:val="32"/>
          <w:szCs w:val="32"/>
        </w:rPr>
        <w:t>%。</w:t>
      </w:r>
    </w:p>
    <w:p>
      <w:pPr>
        <w:spacing w:line="520" w:lineRule="exact"/>
        <w:ind w:firstLine="640" w:firstLineChars="200"/>
        <w:rPr>
          <w:rFonts w:eastAsia="仿宋_GB2312"/>
          <w:sz w:val="32"/>
          <w:szCs w:val="32"/>
        </w:rPr>
      </w:pPr>
      <w:r>
        <w:rPr>
          <w:rFonts w:hint="eastAsia" w:eastAsia="仿宋_GB2312"/>
          <w:sz w:val="32"/>
          <w:szCs w:val="32"/>
        </w:rPr>
        <w:t>(7).</w:t>
      </w:r>
      <w:r>
        <w:rPr>
          <w:rFonts w:eastAsia="仿宋_GB2312"/>
          <w:sz w:val="32"/>
          <w:szCs w:val="32"/>
        </w:rPr>
        <w:t xml:space="preserve"> 化解村级债务：目标任务为</w:t>
      </w:r>
      <w:r>
        <w:rPr>
          <w:rFonts w:hint="eastAsia" w:eastAsia="仿宋_GB2312"/>
          <w:sz w:val="32"/>
          <w:szCs w:val="32"/>
        </w:rPr>
        <w:t>6</w:t>
      </w:r>
      <w:r>
        <w:rPr>
          <w:rFonts w:eastAsia="仿宋_GB2312"/>
          <w:sz w:val="32"/>
          <w:szCs w:val="32"/>
        </w:rPr>
        <w:t>0万元，</w:t>
      </w:r>
      <w:r>
        <w:rPr>
          <w:rFonts w:hint="eastAsia" w:eastAsia="仿宋_GB2312"/>
          <w:sz w:val="32"/>
          <w:szCs w:val="32"/>
        </w:rPr>
        <w:t>预计</w:t>
      </w:r>
      <w:r>
        <w:rPr>
          <w:rFonts w:eastAsia="仿宋_GB2312"/>
          <w:sz w:val="32"/>
          <w:szCs w:val="32"/>
        </w:rPr>
        <w:t>全年化解村级债务</w:t>
      </w:r>
      <w:r>
        <w:rPr>
          <w:rFonts w:hint="eastAsia" w:eastAsia="仿宋_GB2312"/>
          <w:sz w:val="32"/>
          <w:szCs w:val="32"/>
        </w:rPr>
        <w:t>100.08</w:t>
      </w:r>
      <w:r>
        <w:rPr>
          <w:rFonts w:eastAsia="仿宋_GB2312"/>
          <w:sz w:val="32"/>
          <w:szCs w:val="32"/>
        </w:rPr>
        <w:t>万元，完成全年目标任务的1</w:t>
      </w:r>
      <w:r>
        <w:rPr>
          <w:rFonts w:hint="eastAsia" w:eastAsia="仿宋_GB2312"/>
          <w:sz w:val="32"/>
          <w:szCs w:val="32"/>
        </w:rPr>
        <w:t>67</w:t>
      </w:r>
      <w:r>
        <w:rPr>
          <w:rFonts w:eastAsia="仿宋_GB2312"/>
          <w:sz w:val="32"/>
          <w:szCs w:val="32"/>
        </w:rPr>
        <w:t>%。</w:t>
      </w:r>
    </w:p>
    <w:p>
      <w:pPr>
        <w:spacing w:line="520" w:lineRule="exact"/>
        <w:ind w:firstLine="640" w:firstLineChars="200"/>
        <w:rPr>
          <w:rFonts w:eastAsia="仿宋_GB2312"/>
          <w:sz w:val="32"/>
          <w:szCs w:val="32"/>
        </w:rPr>
      </w:pPr>
      <w:r>
        <w:rPr>
          <w:rFonts w:hint="eastAsia" w:eastAsia="仿宋_GB2312"/>
          <w:sz w:val="32"/>
          <w:szCs w:val="32"/>
        </w:rPr>
        <w:t>(8)．</w:t>
      </w:r>
      <w:r>
        <w:rPr>
          <w:rFonts w:eastAsia="仿宋_GB2312"/>
          <w:sz w:val="32"/>
          <w:szCs w:val="32"/>
        </w:rPr>
        <w:t>招商引资：目标任务为实际引进内资1.2亿元，实际利用外资150万美元；包装策划招商项目3个；签约项目5个，合同额达到3亿元，自行组织招商活动5次</w:t>
      </w:r>
      <w:r>
        <w:rPr>
          <w:rFonts w:hint="eastAsia" w:eastAsia="仿宋_GB2312"/>
          <w:sz w:val="32"/>
          <w:szCs w:val="32"/>
        </w:rPr>
        <w:t>。截至目前，实际引进内资1.2亿元，实际利用外资150万美元，包装策划招商项目3个，签约项目5个，合同额共计3亿元，均占计划任务的100%，履约额3.027亿元，占计划任务的100.9%；自行组织招商活动12次，占计划任务的240%。</w:t>
      </w:r>
    </w:p>
    <w:p>
      <w:pPr>
        <w:spacing w:line="520" w:lineRule="exact"/>
        <w:ind w:firstLine="640" w:firstLineChars="200"/>
        <w:rPr>
          <w:rFonts w:ascii="黑体" w:hAnsi="黑体" w:eastAsia="黑体"/>
          <w:sz w:val="32"/>
          <w:szCs w:val="32"/>
        </w:rPr>
      </w:pPr>
      <w:r>
        <w:rPr>
          <w:rFonts w:hint="eastAsia" w:ascii="黑体" w:hAnsi="黑体" w:eastAsia="黑体"/>
          <w:sz w:val="32"/>
          <w:szCs w:val="32"/>
        </w:rPr>
        <w:t>(</w:t>
      </w:r>
      <w:r>
        <w:rPr>
          <w:rFonts w:ascii="黑体" w:hAnsi="黑体" w:eastAsia="黑体"/>
          <w:sz w:val="32"/>
          <w:szCs w:val="32"/>
        </w:rPr>
        <w:t>二</w:t>
      </w:r>
      <w:r>
        <w:rPr>
          <w:rFonts w:hint="eastAsia" w:ascii="黑体" w:hAnsi="黑体" w:eastAsia="黑体"/>
          <w:sz w:val="32"/>
          <w:szCs w:val="32"/>
        </w:rPr>
        <w:t>)打造亮点，顺利推进</w:t>
      </w:r>
      <w:r>
        <w:rPr>
          <w:rFonts w:ascii="黑体" w:hAnsi="黑体" w:eastAsia="黑体"/>
          <w:sz w:val="32"/>
          <w:szCs w:val="32"/>
        </w:rPr>
        <w:t>重点项目</w:t>
      </w:r>
      <w:r>
        <w:rPr>
          <w:rFonts w:hint="eastAsia" w:ascii="黑体" w:hAnsi="黑体" w:eastAsia="黑体"/>
          <w:sz w:val="32"/>
          <w:szCs w:val="32"/>
        </w:rPr>
        <w:t>建设</w:t>
      </w:r>
    </w:p>
    <w:p>
      <w:pPr>
        <w:spacing w:line="520" w:lineRule="exact"/>
        <w:ind w:firstLine="640" w:firstLineChars="200"/>
        <w:rPr>
          <w:rFonts w:eastAsia="仿宋_GB2312"/>
          <w:sz w:val="32"/>
          <w:szCs w:val="32"/>
        </w:rPr>
      </w:pPr>
      <w:r>
        <w:rPr>
          <w:rFonts w:hint="eastAsia" w:eastAsia="仿宋_GB2312"/>
          <w:sz w:val="32"/>
          <w:szCs w:val="32"/>
        </w:rPr>
        <w:t>2017</w:t>
      </w:r>
      <w:r>
        <w:rPr>
          <w:rFonts w:eastAsia="仿宋_GB2312"/>
          <w:sz w:val="32"/>
          <w:szCs w:val="32"/>
        </w:rPr>
        <w:t>年，我局共承担市区重点项目共2个</w:t>
      </w:r>
      <w:r>
        <w:rPr>
          <w:rFonts w:hint="eastAsia" w:eastAsia="仿宋_GB2312"/>
          <w:sz w:val="32"/>
          <w:szCs w:val="32"/>
        </w:rPr>
        <w:t>，</w:t>
      </w:r>
      <w:r>
        <w:rPr>
          <w:rFonts w:eastAsia="仿宋_GB2312"/>
          <w:sz w:val="32"/>
          <w:szCs w:val="32"/>
        </w:rPr>
        <w:t>其中</w:t>
      </w:r>
      <w:r>
        <w:rPr>
          <w:rFonts w:hint="eastAsia" w:eastAsia="仿宋_GB2312"/>
          <w:sz w:val="32"/>
          <w:szCs w:val="32"/>
        </w:rPr>
        <w:t>：</w:t>
      </w:r>
    </w:p>
    <w:p>
      <w:pPr>
        <w:spacing w:line="520" w:lineRule="exact"/>
        <w:ind w:firstLine="643" w:firstLineChars="200"/>
        <w:rPr>
          <w:rFonts w:eastAsia="仿宋_GB2312"/>
          <w:sz w:val="32"/>
          <w:szCs w:val="32"/>
        </w:rPr>
      </w:pPr>
      <w:r>
        <w:rPr>
          <w:rFonts w:hint="eastAsia" w:eastAsia="仿宋_GB2312"/>
          <w:b/>
          <w:sz w:val="32"/>
          <w:szCs w:val="32"/>
        </w:rPr>
        <w:t>一是阎良区设施瓜菜基地建设项目（市级）</w:t>
      </w:r>
      <w:r>
        <w:rPr>
          <w:rFonts w:hint="eastAsia" w:eastAsia="仿宋_GB2312"/>
          <w:sz w:val="32"/>
          <w:szCs w:val="32"/>
        </w:rPr>
        <w:t>，属于市级重点项目，计划投资5080万元</w:t>
      </w:r>
      <w:r>
        <w:rPr>
          <w:rFonts w:hint="eastAsia" w:ascii="楷体_GB2312" w:eastAsia="楷体_GB2312"/>
          <w:sz w:val="30"/>
          <w:szCs w:val="30"/>
        </w:rPr>
        <w:t>（</w:t>
      </w:r>
      <w:r>
        <w:rPr>
          <w:rFonts w:hint="eastAsia" w:ascii="楷体_GB2312" w:eastAsia="楷体_GB2312"/>
          <w:b/>
          <w:sz w:val="30"/>
          <w:szCs w:val="30"/>
        </w:rPr>
        <w:t>主要任务</w:t>
      </w:r>
      <w:r>
        <w:rPr>
          <w:rFonts w:hint="eastAsia" w:ascii="楷体_GB2312" w:eastAsia="楷体_GB2312"/>
          <w:sz w:val="30"/>
          <w:szCs w:val="30"/>
        </w:rPr>
        <w:t>：新建钢架大棚5400亩，并创建西安市飞宇现代农业园区)</w:t>
      </w:r>
      <w:r>
        <w:rPr>
          <w:rFonts w:hint="eastAsia" w:eastAsia="仿宋_GB2312"/>
          <w:sz w:val="32"/>
          <w:szCs w:val="32"/>
        </w:rPr>
        <w:t>。该项目于2017年4月底竣工，并全面完成投资建设任务，共投资5080万元，占计划任务的100%，</w:t>
      </w:r>
      <w:r>
        <w:rPr>
          <w:rFonts w:hint="eastAsia" w:ascii="楷体_GB2312" w:eastAsia="楷体_GB2312"/>
          <w:sz w:val="30"/>
          <w:szCs w:val="30"/>
        </w:rPr>
        <w:t>（</w:t>
      </w:r>
      <w:r>
        <w:rPr>
          <w:rFonts w:hint="eastAsia" w:ascii="楷体_GB2312" w:eastAsia="楷体_GB2312"/>
          <w:b/>
          <w:sz w:val="30"/>
          <w:szCs w:val="30"/>
        </w:rPr>
        <w:t>实际完成</w:t>
      </w:r>
      <w:r>
        <w:rPr>
          <w:rFonts w:hint="eastAsia" w:ascii="楷体_GB2312" w:eastAsia="楷体_GB2312"/>
          <w:sz w:val="30"/>
          <w:szCs w:val="30"/>
        </w:rPr>
        <w:t>：在关山、武屯、振兴、新兴四个镇街共建设钢架大棚5400亩，并完成了西安市飞宇现代农业园区创建工作，建成21米大跨度设施大棚3栋、春秋大棚150亩）</w:t>
      </w:r>
      <w:r>
        <w:rPr>
          <w:rFonts w:hint="eastAsia" w:eastAsia="仿宋_GB2312"/>
          <w:sz w:val="32"/>
          <w:szCs w:val="32"/>
        </w:rPr>
        <w:t>。</w:t>
      </w:r>
    </w:p>
    <w:p>
      <w:pPr>
        <w:spacing w:line="520" w:lineRule="exact"/>
        <w:ind w:firstLine="643" w:firstLineChars="200"/>
        <w:rPr>
          <w:rFonts w:eastAsia="仿宋_GB2312"/>
          <w:sz w:val="32"/>
          <w:szCs w:val="32"/>
        </w:rPr>
      </w:pPr>
      <w:r>
        <w:rPr>
          <w:rFonts w:hint="eastAsia" w:eastAsia="仿宋_GB2312"/>
          <w:b/>
          <w:sz w:val="32"/>
          <w:szCs w:val="32"/>
        </w:rPr>
        <w:t>二是阎良区现代农业园区提质增效项目</w:t>
      </w:r>
      <w:r>
        <w:rPr>
          <w:rFonts w:hint="eastAsia" w:eastAsia="仿宋_GB2312"/>
          <w:sz w:val="32"/>
          <w:szCs w:val="32"/>
        </w:rPr>
        <w:t>，属于区级重点项目，计划投资860万元</w:t>
      </w:r>
      <w:r>
        <w:rPr>
          <w:rFonts w:hint="eastAsia" w:ascii="楷体_GB2312" w:eastAsia="楷体_GB2312"/>
          <w:sz w:val="30"/>
          <w:szCs w:val="30"/>
        </w:rPr>
        <w:t>（</w:t>
      </w:r>
      <w:r>
        <w:rPr>
          <w:rFonts w:hint="eastAsia" w:ascii="楷体_GB2312" w:eastAsia="楷体_GB2312"/>
          <w:b/>
          <w:sz w:val="30"/>
          <w:szCs w:val="30"/>
        </w:rPr>
        <w:t>主要任务</w:t>
      </w:r>
      <w:r>
        <w:rPr>
          <w:rFonts w:hint="eastAsia" w:ascii="楷体_GB2312" w:eastAsia="楷体_GB2312"/>
          <w:sz w:val="30"/>
          <w:szCs w:val="30"/>
        </w:rPr>
        <w:t>：完成大荆山园区和永宏园区提质增效建设）</w:t>
      </w:r>
      <w:r>
        <w:rPr>
          <w:rFonts w:hint="eastAsia" w:eastAsia="仿宋_GB2312"/>
          <w:sz w:val="32"/>
          <w:szCs w:val="32"/>
        </w:rPr>
        <w:t>。该项目于2017年11月底竣工，并全面超额完成了投资建设任务，共投资1072万元，占计划任务的124.7%，</w:t>
      </w:r>
      <w:r>
        <w:rPr>
          <w:rFonts w:hint="eastAsia" w:ascii="楷体_GB2312" w:eastAsia="楷体_GB2312"/>
          <w:sz w:val="30"/>
          <w:szCs w:val="30"/>
        </w:rPr>
        <w:t>（</w:t>
      </w:r>
      <w:r>
        <w:rPr>
          <w:rFonts w:hint="eastAsia" w:ascii="楷体_GB2312" w:eastAsia="楷体_GB2312"/>
          <w:b/>
          <w:sz w:val="30"/>
          <w:szCs w:val="30"/>
        </w:rPr>
        <w:t>实际完成</w:t>
      </w:r>
      <w:r>
        <w:rPr>
          <w:rFonts w:hint="eastAsia" w:ascii="楷体_GB2312" w:eastAsia="楷体_GB2312"/>
          <w:sz w:val="30"/>
          <w:szCs w:val="30"/>
        </w:rPr>
        <w:t>:</w:t>
      </w:r>
      <w:r>
        <w:rPr>
          <w:rFonts w:hint="eastAsia" w:ascii="楷体_GB2312" w:eastAsia="楷体_GB2312"/>
          <w:b/>
          <w:sz w:val="30"/>
          <w:szCs w:val="30"/>
        </w:rPr>
        <w:t>大荆山园区</w:t>
      </w:r>
      <w:r>
        <w:rPr>
          <w:rFonts w:hint="eastAsia" w:ascii="楷体_GB2312" w:eastAsia="楷体_GB2312"/>
          <w:sz w:val="30"/>
          <w:szCs w:val="30"/>
        </w:rPr>
        <w:t>提升完成投资590万元，建成智能连栋温室2200平方米、葡萄避雨连栋钢架棚8000平方米、葡萄休闲长廊4000平方米，园区绿化4000平方米；</w:t>
      </w:r>
      <w:r>
        <w:rPr>
          <w:rFonts w:hint="eastAsia" w:ascii="楷体_GB2312" w:eastAsia="楷体_GB2312"/>
          <w:b/>
          <w:sz w:val="30"/>
          <w:szCs w:val="30"/>
        </w:rPr>
        <w:t>永宏园区</w:t>
      </w:r>
      <w:r>
        <w:rPr>
          <w:rFonts w:hint="eastAsia" w:ascii="楷体_GB2312" w:eastAsia="楷体_GB2312"/>
          <w:sz w:val="30"/>
          <w:szCs w:val="30"/>
        </w:rPr>
        <w:t>提升完成投资482万元，建成日光温室4栋、铺设园艺除草布600亩、完善水肥一体化设施80亩、施用有机肥600亩，建成樱桃组培室一栋并购买了相关的仪器设备。）</w:t>
      </w:r>
    </w:p>
    <w:p>
      <w:pPr>
        <w:spacing w:line="520" w:lineRule="exact"/>
        <w:ind w:firstLine="645"/>
        <w:rPr>
          <w:rFonts w:eastAsia="黑体"/>
          <w:sz w:val="32"/>
          <w:szCs w:val="32"/>
        </w:rPr>
      </w:pPr>
      <w:r>
        <w:rPr>
          <w:rFonts w:hint="eastAsia" w:eastAsia="黑体"/>
          <w:sz w:val="32"/>
          <w:szCs w:val="32"/>
        </w:rPr>
        <w:t>(</w:t>
      </w:r>
      <w:r>
        <w:rPr>
          <w:rFonts w:eastAsia="黑体"/>
          <w:sz w:val="32"/>
          <w:szCs w:val="32"/>
        </w:rPr>
        <w:t>三</w:t>
      </w:r>
      <w:r>
        <w:rPr>
          <w:rFonts w:hint="eastAsia" w:eastAsia="黑体"/>
          <w:sz w:val="32"/>
          <w:szCs w:val="32"/>
        </w:rPr>
        <w:t>)</w:t>
      </w:r>
      <w:r>
        <w:rPr>
          <w:rFonts w:eastAsia="黑体"/>
          <w:sz w:val="32"/>
          <w:szCs w:val="32"/>
        </w:rPr>
        <w:t>、</w:t>
      </w:r>
      <w:r>
        <w:rPr>
          <w:rFonts w:hint="eastAsia" w:eastAsia="黑体"/>
          <w:sz w:val="32"/>
          <w:szCs w:val="32"/>
        </w:rPr>
        <w:t>综合施策，努力完成重点工作任务</w:t>
      </w:r>
    </w:p>
    <w:p>
      <w:pPr>
        <w:spacing w:line="520" w:lineRule="exact"/>
        <w:ind w:firstLine="643" w:firstLineChars="200"/>
        <w:rPr>
          <w:rFonts w:eastAsia="仿宋_GB2312"/>
          <w:sz w:val="32"/>
          <w:szCs w:val="32"/>
        </w:rPr>
      </w:pPr>
      <w:r>
        <w:rPr>
          <w:rFonts w:hint="eastAsia" w:ascii="楷体_GB2312" w:hAnsi="宋体" w:eastAsia="楷体_GB2312"/>
          <w:b/>
          <w:sz w:val="32"/>
          <w:szCs w:val="32"/>
        </w:rPr>
        <w:t>1:</w:t>
      </w:r>
      <w:r>
        <w:rPr>
          <w:rFonts w:ascii="楷体_GB2312" w:hAnsi="宋体" w:eastAsia="楷体_GB2312"/>
          <w:b/>
          <w:sz w:val="32"/>
          <w:szCs w:val="32"/>
        </w:rPr>
        <w:t>园区引领提质增效</w:t>
      </w:r>
      <w:r>
        <w:rPr>
          <w:rFonts w:hint="eastAsia" w:ascii="楷体_GB2312" w:hAnsi="宋体" w:eastAsia="楷体_GB2312"/>
          <w:b/>
          <w:sz w:val="32"/>
          <w:szCs w:val="32"/>
        </w:rPr>
        <w:t>。</w:t>
      </w:r>
      <w:r>
        <w:rPr>
          <w:rFonts w:eastAsia="仿宋_GB2312"/>
          <w:sz w:val="32"/>
          <w:szCs w:val="32"/>
        </w:rPr>
        <w:t>深入实施园区带动战略，持续增强省市级现代农业园区带动能力。目前</w:t>
      </w:r>
      <w:r>
        <w:rPr>
          <w:rFonts w:hint="eastAsia" w:eastAsia="仿宋_GB2312"/>
          <w:sz w:val="32"/>
          <w:szCs w:val="32"/>
        </w:rPr>
        <w:t>，在关山镇、武屯镇、新兴街办、振兴街办4个镇街的任张、东孙、老王、联党、慕郑等16个村建成设施农业生产示范基地16个，改造提升现有农业园区生产设施共6200亩。创建市级现代农业园区3个</w:t>
      </w:r>
      <w:r>
        <w:rPr>
          <w:rFonts w:hint="eastAsia" w:ascii="楷体_GB2312" w:eastAsia="楷体_GB2312"/>
          <w:sz w:val="30"/>
          <w:szCs w:val="30"/>
        </w:rPr>
        <w:t>（牧歌、飞宇、新瑞）</w:t>
      </w:r>
      <w:r>
        <w:rPr>
          <w:rFonts w:hint="eastAsia" w:eastAsia="仿宋_GB2312"/>
          <w:sz w:val="32"/>
          <w:szCs w:val="32"/>
        </w:rPr>
        <w:t>，</w:t>
      </w:r>
      <w:r>
        <w:rPr>
          <w:rFonts w:hint="eastAsia" w:ascii="仿宋_GB2312" w:eastAsia="仿宋_GB2312"/>
          <w:color w:val="000000"/>
          <w:sz w:val="32"/>
          <w:szCs w:val="32"/>
        </w:rPr>
        <w:t>市级提质增效园区2个</w:t>
      </w:r>
      <w:r>
        <w:rPr>
          <w:rFonts w:hint="eastAsia" w:ascii="楷体_GB2312" w:eastAsia="楷体_GB2312"/>
          <w:color w:val="000000"/>
          <w:sz w:val="30"/>
          <w:szCs w:val="30"/>
        </w:rPr>
        <w:t>（永宏樱桃、和牧农业）</w:t>
      </w:r>
      <w:r>
        <w:rPr>
          <w:rFonts w:hint="eastAsia" w:eastAsia="仿宋_GB2312"/>
          <w:sz w:val="32"/>
          <w:szCs w:val="32"/>
        </w:rPr>
        <w:t>，创建区级园区8个。</w:t>
      </w:r>
      <w:r>
        <w:rPr>
          <w:rFonts w:eastAsia="仿宋_GB2312"/>
          <w:sz w:val="32"/>
          <w:szCs w:val="32"/>
        </w:rPr>
        <w:t>带动全区现代农业发展水平进一步提升。</w:t>
      </w:r>
    </w:p>
    <w:p>
      <w:pPr>
        <w:spacing w:line="520" w:lineRule="exact"/>
        <w:ind w:firstLine="643" w:firstLineChars="200"/>
        <w:rPr>
          <w:rFonts w:eastAsia="仿宋_GB2312"/>
          <w:sz w:val="32"/>
          <w:szCs w:val="32"/>
        </w:rPr>
      </w:pPr>
      <w:r>
        <w:rPr>
          <w:rFonts w:hint="eastAsia" w:ascii="楷体_GB2312" w:hAnsi="宋体" w:eastAsia="楷体_GB2312"/>
          <w:b/>
          <w:sz w:val="32"/>
          <w:szCs w:val="32"/>
        </w:rPr>
        <w:t>2:多措并举优化生态。</w:t>
      </w:r>
      <w:r>
        <w:rPr>
          <w:rFonts w:hint="eastAsia" w:eastAsia="仿宋_GB2312"/>
          <w:sz w:val="32"/>
          <w:szCs w:val="32"/>
        </w:rPr>
        <w:t>我区按照全市“四治一增”和“加快‘五路’两侧绿化”的工作部署及市委王书记的“十个一”具体要求，以“五路” 两侧绿化工程、绿色家园建设工程、林业产业富民工程等林业项目为抓手，优化区域生态空间，深入推进全区植树增绿工作，共完成绿化增绿3350亩，占目标任务的168%；“五路”两侧绿化共完成639亩，完成投资1230万元。</w:t>
      </w:r>
      <w:r>
        <w:rPr>
          <w:rFonts w:hint="eastAsia" w:ascii="楷体_GB2312" w:eastAsia="楷体_GB2312"/>
          <w:sz w:val="30"/>
          <w:szCs w:val="30"/>
        </w:rPr>
        <w:t>（其中：新延铁路两侧绿化林宽20米，总面积630亩，栽植五角枫、红叶李等乔木4.73万株，栽植紫薇、珍珠梅0.67万株，投资约1100万元；石川河通景公路，绿化面积8.6亩，投资130万元）</w:t>
      </w:r>
      <w:r>
        <w:rPr>
          <w:rFonts w:hint="eastAsia" w:eastAsia="仿宋_GB2312"/>
          <w:sz w:val="32"/>
          <w:szCs w:val="32"/>
        </w:rPr>
        <w:t>；完成义务植树40万株，占目标任务的100％；积极推进关中环线苗木花卉产业发展，新增苗木花卉面积1800亩，推动全区苗木花卉产业规模达到3万亩。同时，扎实开展森林资源保护工作，加强了对各个野生动物养殖场的检查和野外检测，及时防控养殖场野生动物疾病；广泛宣传《植物新品种保护条例》等林业种苗和林产品生产经营管理法律法规，积极做好新栽树木浇水、病虫防治等管护工作，有力确保了全区森林资源安全。</w:t>
      </w:r>
    </w:p>
    <w:p>
      <w:pPr>
        <w:spacing w:line="520" w:lineRule="exact"/>
        <w:ind w:firstLine="643" w:firstLineChars="200"/>
        <w:rPr>
          <w:rFonts w:eastAsia="仿宋_GB2312"/>
          <w:sz w:val="32"/>
          <w:szCs w:val="32"/>
          <w:u w:val="single"/>
        </w:rPr>
      </w:pPr>
      <w:r>
        <w:rPr>
          <w:rFonts w:hint="eastAsia" w:ascii="楷体_GB2312" w:hAnsi="宋体" w:eastAsia="楷体_GB2312"/>
          <w:b/>
          <w:sz w:val="32"/>
          <w:szCs w:val="32"/>
        </w:rPr>
        <w:t>3:农村改革稳步推进。</w:t>
      </w:r>
      <w:r>
        <w:rPr>
          <w:rFonts w:hint="eastAsia" w:eastAsia="仿宋_GB2312"/>
          <w:sz w:val="32"/>
          <w:szCs w:val="32"/>
        </w:rPr>
        <w:t>积极推进农村集体产权制度改革，我区先后出台了《西安市阎良区稳步推进农村集体产权制度改革实施方案》及《关于推进阎良区农村土地所有权承包权经营权分置并行的实施方案》等20余个配套文件，关山镇付马村、长山村、武屯镇老寨村、三合村、新兴街道井家村等5个市级试点村已全面完成农村集体产权制度改革试点工作，均成立了股份经济合作社，并颁发股份经济合作社证书；全区农村土地承包经营权登记颁证工作已全面完成，确权颁证成果已顺利通过市级验收，数据库信息已实现全市并网，并通过农业部数据审核验收；农村产权流转交易体系建设工作有序推进，区级农村产权流转交易服务中心初步建成，其机构设置、人员配备及办公选址等工作已基本到位。</w:t>
      </w:r>
      <w:r>
        <w:rPr>
          <w:rFonts w:eastAsia="仿宋_GB2312"/>
          <w:color w:val="000000"/>
          <w:spacing w:val="-4"/>
          <w:sz w:val="32"/>
          <w:szCs w:val="32"/>
        </w:rPr>
        <w:t>同时，大力培育新型农业经营主体，</w:t>
      </w:r>
      <w:r>
        <w:rPr>
          <w:rFonts w:hint="eastAsia" w:eastAsia="仿宋_GB2312"/>
          <w:color w:val="000000"/>
          <w:spacing w:val="-4"/>
          <w:sz w:val="32"/>
          <w:szCs w:val="32"/>
        </w:rPr>
        <w:t>全</w:t>
      </w:r>
      <w:r>
        <w:rPr>
          <w:rFonts w:eastAsia="仿宋_GB2312"/>
          <w:color w:val="000000"/>
          <w:spacing w:val="-4"/>
          <w:sz w:val="32"/>
          <w:szCs w:val="32"/>
        </w:rPr>
        <w:t>年共</w:t>
      </w:r>
      <w:r>
        <w:rPr>
          <w:rFonts w:hint="eastAsia" w:eastAsia="仿宋_GB2312"/>
          <w:sz w:val="32"/>
          <w:szCs w:val="32"/>
        </w:rPr>
        <w:t>规范化指导农民专业合作社30家，认定家庭农场14家；组织申报市级以上示范合作社8家，示范家庭农场12家，其中进入公示环节的市级以上示范社6家，示范家庭农场3家。</w:t>
      </w:r>
    </w:p>
    <w:p>
      <w:pPr>
        <w:spacing w:line="520" w:lineRule="exact"/>
        <w:ind w:firstLine="643" w:firstLineChars="200"/>
        <w:rPr>
          <w:rFonts w:ascii="仿宋_GB2312" w:eastAsia="仿宋_GB2312"/>
          <w:sz w:val="32"/>
          <w:szCs w:val="32"/>
        </w:rPr>
      </w:pPr>
      <w:r>
        <w:rPr>
          <w:rFonts w:hint="eastAsia" w:eastAsia="楷体_GB2312"/>
          <w:b/>
          <w:sz w:val="32"/>
          <w:szCs w:val="32"/>
        </w:rPr>
        <w:t>4:产业帮扶</w:t>
      </w:r>
      <w:r>
        <w:rPr>
          <w:rFonts w:eastAsia="楷体_GB2312"/>
          <w:b/>
          <w:sz w:val="32"/>
          <w:szCs w:val="32"/>
        </w:rPr>
        <w:t>全面展开。</w:t>
      </w:r>
      <w:r>
        <w:rPr>
          <w:rFonts w:hint="eastAsia" w:eastAsia="仿宋_GB2312"/>
          <w:sz w:val="32"/>
          <w:szCs w:val="32"/>
        </w:rPr>
        <w:t>根据产业帮扶需求，我局定期召开产业帮扶工作专题会，制定产业脱贫实施方案，目前全区共有产业帮扶贫困户</w:t>
      </w:r>
      <w:r>
        <w:rPr>
          <w:rFonts w:eastAsia="仿宋_GB2312"/>
          <w:sz w:val="32"/>
          <w:szCs w:val="32"/>
        </w:rPr>
        <w:t>362</w:t>
      </w:r>
      <w:r>
        <w:rPr>
          <w:rFonts w:hint="eastAsia" w:eastAsia="仿宋_GB2312"/>
          <w:sz w:val="32"/>
          <w:szCs w:val="32"/>
        </w:rPr>
        <w:t>户，其中自主发展型</w:t>
      </w:r>
      <w:r>
        <w:rPr>
          <w:rFonts w:eastAsia="仿宋_GB2312"/>
          <w:sz w:val="32"/>
          <w:szCs w:val="32"/>
        </w:rPr>
        <w:t>112</w:t>
      </w:r>
      <w:r>
        <w:rPr>
          <w:rFonts w:hint="eastAsia" w:eastAsia="仿宋_GB2312"/>
          <w:sz w:val="32"/>
          <w:szCs w:val="32"/>
        </w:rPr>
        <w:t>户、带动发展型和调剂发展型共</w:t>
      </w:r>
      <w:r>
        <w:rPr>
          <w:rFonts w:eastAsia="仿宋_GB2312"/>
          <w:sz w:val="32"/>
          <w:szCs w:val="32"/>
        </w:rPr>
        <w:t>250</w:t>
      </w:r>
      <w:r>
        <w:rPr>
          <w:rFonts w:hint="eastAsia" w:eastAsia="仿宋_GB2312"/>
          <w:sz w:val="32"/>
          <w:szCs w:val="32"/>
        </w:rPr>
        <w:t>户。针对这362户需要产业帮扶的贫困户，我们采取了三项帮扶措施：</w:t>
      </w:r>
      <w:r>
        <w:rPr>
          <w:rFonts w:hint="eastAsia" w:ascii="仿宋_GB2312" w:hAnsi="宋体" w:eastAsia="仿宋_GB2312"/>
          <w:b/>
          <w:sz w:val="32"/>
          <w:szCs w:val="32"/>
        </w:rPr>
        <w:t>一是组织开展技术培训，</w:t>
      </w:r>
      <w:r>
        <w:rPr>
          <w:rFonts w:hint="eastAsia" w:eastAsia="仿宋_GB2312"/>
          <w:sz w:val="32"/>
          <w:szCs w:val="32"/>
        </w:rPr>
        <w:t>我们组织技术人员深入田间地头与贫困户家中，开展农业技术培训，截</w:t>
      </w:r>
      <w:r>
        <w:rPr>
          <w:rFonts w:hint="eastAsia" w:eastAsia="仿宋_GB2312"/>
          <w:sz w:val="32"/>
          <w:szCs w:val="32"/>
          <w:lang w:val="en-US" w:eastAsia="zh-CN"/>
        </w:rPr>
        <w:t>至</w:t>
      </w:r>
      <w:r>
        <w:rPr>
          <w:rFonts w:hint="eastAsia" w:eastAsia="仿宋_GB2312"/>
          <w:sz w:val="32"/>
          <w:szCs w:val="32"/>
        </w:rPr>
        <w:t>目前，走访贫困户</w:t>
      </w:r>
      <w:r>
        <w:rPr>
          <w:rFonts w:eastAsia="仿宋_GB2312"/>
          <w:sz w:val="32"/>
          <w:szCs w:val="32"/>
        </w:rPr>
        <w:t>783</w:t>
      </w:r>
      <w:r>
        <w:rPr>
          <w:rFonts w:hint="eastAsia" w:eastAsia="仿宋_GB2312"/>
          <w:sz w:val="32"/>
          <w:szCs w:val="32"/>
        </w:rPr>
        <w:t>户，开展现场培训</w:t>
      </w:r>
      <w:r>
        <w:rPr>
          <w:rFonts w:eastAsia="仿宋_GB2312"/>
          <w:sz w:val="32"/>
          <w:szCs w:val="32"/>
        </w:rPr>
        <w:t>260</w:t>
      </w:r>
      <w:r>
        <w:rPr>
          <w:rFonts w:hint="eastAsia" w:eastAsia="仿宋_GB2312"/>
          <w:sz w:val="32"/>
          <w:szCs w:val="32"/>
        </w:rPr>
        <w:t>场次，田间地头培训</w:t>
      </w:r>
      <w:r>
        <w:rPr>
          <w:rFonts w:eastAsia="仿宋_GB2312"/>
          <w:sz w:val="32"/>
          <w:szCs w:val="32"/>
        </w:rPr>
        <w:t>272</w:t>
      </w:r>
      <w:r>
        <w:rPr>
          <w:rFonts w:hint="eastAsia" w:eastAsia="仿宋_GB2312"/>
          <w:sz w:val="32"/>
          <w:szCs w:val="32"/>
        </w:rPr>
        <w:t>场次，培训人数</w:t>
      </w:r>
      <w:r>
        <w:rPr>
          <w:rFonts w:eastAsia="仿宋_GB2312"/>
          <w:sz w:val="32"/>
          <w:szCs w:val="32"/>
        </w:rPr>
        <w:t>2632</w:t>
      </w:r>
      <w:r>
        <w:rPr>
          <w:rFonts w:hint="eastAsia" w:eastAsia="仿宋_GB2312"/>
          <w:sz w:val="32"/>
          <w:szCs w:val="32"/>
        </w:rPr>
        <w:t>人次</w:t>
      </w:r>
      <w:r>
        <w:rPr>
          <w:rFonts w:hint="eastAsia" w:ascii="楷体_GB2312" w:eastAsia="楷体_GB2312"/>
          <w:sz w:val="30"/>
          <w:szCs w:val="30"/>
        </w:rPr>
        <w:t>（其中贫困户829人次）</w:t>
      </w:r>
      <w:r>
        <w:rPr>
          <w:rFonts w:hint="eastAsia" w:eastAsia="仿宋_GB2312"/>
          <w:sz w:val="32"/>
          <w:szCs w:val="32"/>
        </w:rPr>
        <w:t>，发放资料</w:t>
      </w:r>
      <w:r>
        <w:rPr>
          <w:rFonts w:eastAsia="仿宋_GB2312"/>
          <w:sz w:val="32"/>
          <w:szCs w:val="32"/>
        </w:rPr>
        <w:t>2540</w:t>
      </w:r>
      <w:r>
        <w:rPr>
          <w:rFonts w:hint="eastAsia" w:eastAsia="仿宋_GB2312"/>
          <w:sz w:val="32"/>
          <w:szCs w:val="32"/>
        </w:rPr>
        <w:t>份，现场技术咨询政策宣传</w:t>
      </w:r>
      <w:r>
        <w:rPr>
          <w:rFonts w:eastAsia="仿宋_GB2312"/>
          <w:sz w:val="32"/>
          <w:szCs w:val="32"/>
        </w:rPr>
        <w:t>2356</w:t>
      </w:r>
      <w:r>
        <w:rPr>
          <w:rFonts w:hint="eastAsia" w:eastAsia="仿宋_GB2312"/>
          <w:sz w:val="32"/>
          <w:szCs w:val="32"/>
        </w:rPr>
        <w:t>人次。</w:t>
      </w:r>
      <w:r>
        <w:rPr>
          <w:rFonts w:hint="eastAsia" w:ascii="仿宋_GB2312" w:eastAsia="仿宋_GB2312"/>
          <w:b/>
          <w:sz w:val="32"/>
          <w:szCs w:val="32"/>
        </w:rPr>
        <w:t>二是积极采购产业发展物资，</w:t>
      </w:r>
      <w:r>
        <w:rPr>
          <w:rFonts w:hint="eastAsia" w:eastAsia="仿宋_GB2312"/>
          <w:sz w:val="32"/>
          <w:szCs w:val="32"/>
        </w:rPr>
        <w:t>全面落实畜牧产业发展所需的畜禽，截至目前共发放畜禽</w:t>
      </w:r>
      <w:r>
        <w:rPr>
          <w:rFonts w:eastAsia="仿宋_GB2312"/>
          <w:sz w:val="32"/>
          <w:szCs w:val="32"/>
        </w:rPr>
        <w:t>1651</w:t>
      </w:r>
      <w:r>
        <w:rPr>
          <w:rFonts w:hint="eastAsia" w:eastAsia="仿宋_GB2312"/>
          <w:sz w:val="32"/>
          <w:szCs w:val="32"/>
        </w:rPr>
        <w:t>只（头、羽）；落实林果业发展所需苗木</w:t>
      </w:r>
      <w:r>
        <w:rPr>
          <w:rFonts w:eastAsia="仿宋_GB2312"/>
          <w:sz w:val="32"/>
          <w:szCs w:val="32"/>
        </w:rPr>
        <w:t>1570</w:t>
      </w:r>
      <w:r>
        <w:rPr>
          <w:rFonts w:hint="eastAsia" w:eastAsia="仿宋_GB2312"/>
          <w:sz w:val="32"/>
          <w:szCs w:val="32"/>
        </w:rPr>
        <w:t>株；落实种植业发展所需钢架</w:t>
      </w:r>
      <w:r>
        <w:rPr>
          <w:rFonts w:eastAsia="仿宋_GB2312"/>
          <w:sz w:val="32"/>
          <w:szCs w:val="32"/>
        </w:rPr>
        <w:t>140.8</w:t>
      </w:r>
      <w:r>
        <w:rPr>
          <w:rFonts w:hint="eastAsia" w:eastAsia="仿宋_GB2312"/>
          <w:sz w:val="32"/>
          <w:szCs w:val="32"/>
        </w:rPr>
        <w:t>亩。</w:t>
      </w:r>
      <w:r>
        <w:rPr>
          <w:rFonts w:hint="eastAsia" w:ascii="仿宋_GB2312" w:hAnsi="仿宋" w:eastAsia="仿宋_GB2312"/>
          <w:b/>
          <w:sz w:val="32"/>
          <w:szCs w:val="32"/>
        </w:rPr>
        <w:t>三是</w:t>
      </w:r>
      <w:r>
        <w:rPr>
          <w:rFonts w:hint="eastAsia" w:ascii="仿宋_GB2312" w:eastAsia="仿宋_GB2312"/>
          <w:b/>
          <w:sz w:val="32"/>
          <w:szCs w:val="32"/>
        </w:rPr>
        <w:t>打造产业脱贫示范点。</w:t>
      </w:r>
      <w:r>
        <w:rPr>
          <w:rFonts w:hint="eastAsia" w:eastAsia="仿宋_GB2312"/>
          <w:sz w:val="32"/>
          <w:szCs w:val="32"/>
        </w:rPr>
        <w:t>全年累计建成产业脱贫示范点</w:t>
      </w:r>
      <w:r>
        <w:rPr>
          <w:rFonts w:eastAsia="仿宋_GB2312"/>
          <w:sz w:val="32"/>
          <w:szCs w:val="32"/>
        </w:rPr>
        <w:t>10</w:t>
      </w:r>
      <w:r>
        <w:rPr>
          <w:rFonts w:hint="eastAsia" w:eastAsia="仿宋_GB2312"/>
          <w:sz w:val="32"/>
          <w:szCs w:val="32"/>
        </w:rPr>
        <w:t>个</w:t>
      </w:r>
      <w:r>
        <w:rPr>
          <w:rFonts w:hint="eastAsia" w:ascii="楷体_GB2312" w:eastAsia="楷体_GB2312"/>
          <w:sz w:val="30"/>
          <w:szCs w:val="30"/>
        </w:rPr>
        <w:t>（其中种植业4个、果业2个、畜牧业2个、电商1个、龙头企业1个）</w:t>
      </w:r>
      <w:r>
        <w:rPr>
          <w:rFonts w:hint="eastAsia" w:eastAsia="仿宋_GB2312"/>
          <w:sz w:val="32"/>
          <w:szCs w:val="32"/>
        </w:rPr>
        <w:t>。共签订带动发展协议</w:t>
      </w:r>
      <w:r>
        <w:rPr>
          <w:rFonts w:eastAsia="仿宋_GB2312"/>
          <w:sz w:val="32"/>
          <w:szCs w:val="32"/>
        </w:rPr>
        <w:t>68</w:t>
      </w:r>
      <w:r>
        <w:rPr>
          <w:rFonts w:hint="eastAsia" w:eastAsia="仿宋_GB2312"/>
          <w:sz w:val="32"/>
          <w:szCs w:val="32"/>
        </w:rPr>
        <w:t>份，带动贫困户</w:t>
      </w:r>
      <w:r>
        <w:rPr>
          <w:rFonts w:eastAsia="仿宋_GB2312"/>
          <w:sz w:val="32"/>
          <w:szCs w:val="32"/>
        </w:rPr>
        <w:t>68</w:t>
      </w:r>
      <w:r>
        <w:rPr>
          <w:rFonts w:hint="eastAsia" w:eastAsia="仿宋_GB2312"/>
          <w:sz w:val="32"/>
          <w:szCs w:val="32"/>
        </w:rPr>
        <w:t>户，向</w:t>
      </w:r>
      <w:r>
        <w:rPr>
          <w:rFonts w:eastAsia="仿宋_GB2312"/>
          <w:sz w:val="32"/>
          <w:szCs w:val="32"/>
        </w:rPr>
        <w:t>29</w:t>
      </w:r>
      <w:r>
        <w:rPr>
          <w:rFonts w:hint="eastAsia" w:eastAsia="仿宋_GB2312"/>
          <w:sz w:val="32"/>
          <w:szCs w:val="32"/>
        </w:rPr>
        <w:t>户贫困户发放土地租赁金</w:t>
      </w:r>
      <w:r>
        <w:rPr>
          <w:rFonts w:eastAsia="仿宋_GB2312"/>
          <w:sz w:val="32"/>
          <w:szCs w:val="32"/>
        </w:rPr>
        <w:t>10</w:t>
      </w:r>
      <w:r>
        <w:rPr>
          <w:rFonts w:hint="eastAsia" w:eastAsia="仿宋_GB2312"/>
          <w:sz w:val="32"/>
          <w:szCs w:val="32"/>
        </w:rPr>
        <w:t>万余元；航城、亚宏和鑫谷玉米等3家企业以每公斤高于市场价</w:t>
      </w:r>
      <w:r>
        <w:rPr>
          <w:rFonts w:eastAsia="仿宋_GB2312"/>
          <w:sz w:val="32"/>
          <w:szCs w:val="32"/>
        </w:rPr>
        <w:t>0.1</w:t>
      </w:r>
      <w:r>
        <w:rPr>
          <w:rFonts w:hint="eastAsia" w:eastAsia="仿宋_GB2312"/>
          <w:sz w:val="32"/>
          <w:szCs w:val="32"/>
        </w:rPr>
        <w:t>元的标准对贫困户自产的小麦、玉米进行收购，并为贫困户设立收购绿色通道，目前已经收购贫困户小麦</w:t>
      </w:r>
      <w:r>
        <w:rPr>
          <w:rFonts w:eastAsia="仿宋_GB2312"/>
          <w:sz w:val="32"/>
          <w:szCs w:val="32"/>
        </w:rPr>
        <w:t>7500</w:t>
      </w:r>
      <w:r>
        <w:rPr>
          <w:rFonts w:hint="eastAsia" w:eastAsia="仿宋_GB2312"/>
          <w:sz w:val="32"/>
          <w:szCs w:val="32"/>
        </w:rPr>
        <w:t>多公斤。通过这一系列措施有效推动我区产业脱贫各项工作任务顺利开展，脱贫攻坚精准识别率、精准退出率、精准帮扶率达到100%，群众满意度达90%以上。</w:t>
      </w:r>
    </w:p>
    <w:p>
      <w:pPr>
        <w:spacing w:line="520" w:lineRule="exact"/>
        <w:ind w:firstLine="643" w:firstLineChars="200"/>
        <w:rPr>
          <w:rFonts w:eastAsia="仿宋_GB2312"/>
          <w:sz w:val="32"/>
          <w:szCs w:val="32"/>
        </w:rPr>
      </w:pPr>
      <w:r>
        <w:rPr>
          <w:rFonts w:hint="eastAsia" w:ascii="楷体_GB2312" w:hAnsi="宋体" w:eastAsia="楷体_GB2312"/>
          <w:b/>
          <w:sz w:val="32"/>
          <w:szCs w:val="32"/>
        </w:rPr>
        <w:t>5:多样推介群众受益。</w:t>
      </w:r>
      <w:r>
        <w:rPr>
          <w:rFonts w:hint="eastAsia" w:eastAsia="仿宋_GB2312"/>
          <w:sz w:val="32"/>
          <w:szCs w:val="32"/>
        </w:rPr>
        <w:t>先后成功举办了阎良甜瓜节、葡萄采摘节、冬枣品鉴会、相枣文化旅游节、优质农产品宣传推介等活动14次，组织2个推介组赴省外4市开展大型瓜菜推介活4次，对接产销，助推发展；大力发展休闲农业，组织开展“走进航空城，品味甜瓜香”，“阎良甜瓜，我不夸，你来夸”,“你拍我点赞”等休闲体验活动20余场，唱响品牌、促进增收。通过多样宣传推介，上市农产品产销两旺。全区休闲农业共接待游客超过125万人次，经营收入1.22亿元，关山镇北冯村被认定为第七批全国“一村一品”示范村。</w:t>
      </w:r>
    </w:p>
    <w:p>
      <w:pPr>
        <w:spacing w:line="520" w:lineRule="exact"/>
        <w:ind w:firstLine="640" w:firstLineChars="200"/>
        <w:rPr>
          <w:rFonts w:ascii="黑体" w:hAnsi="黑体" w:eastAsia="黑体"/>
          <w:sz w:val="32"/>
          <w:szCs w:val="32"/>
        </w:rPr>
      </w:pPr>
      <w:r>
        <w:rPr>
          <w:rFonts w:hint="eastAsia" w:ascii="黑体" w:hAnsi="黑体" w:eastAsia="黑体"/>
          <w:sz w:val="32"/>
          <w:szCs w:val="32"/>
        </w:rPr>
        <w:t>(四)开拓创新，助推“三农”工作迈上新台阶</w:t>
      </w:r>
    </w:p>
    <w:p>
      <w:pPr>
        <w:spacing w:line="520" w:lineRule="exact"/>
        <w:ind w:firstLine="643" w:firstLineChars="200"/>
        <w:rPr>
          <w:rFonts w:eastAsia="仿宋_GB2312"/>
          <w:sz w:val="32"/>
          <w:szCs w:val="32"/>
        </w:rPr>
      </w:pPr>
      <w:r>
        <w:rPr>
          <w:rFonts w:hint="eastAsia" w:eastAsia="楷体_GB2312"/>
          <w:b/>
          <w:sz w:val="32"/>
          <w:szCs w:val="32"/>
        </w:rPr>
        <w:t>1:</w:t>
      </w:r>
      <w:r>
        <w:rPr>
          <w:rFonts w:eastAsia="楷体_GB2312"/>
          <w:b/>
          <w:sz w:val="32"/>
          <w:szCs w:val="32"/>
        </w:rPr>
        <w:t>狠抓源头强化监管</w:t>
      </w:r>
      <w:r>
        <w:rPr>
          <w:rFonts w:eastAsia="仿宋_GB2312"/>
          <w:sz w:val="32"/>
          <w:szCs w:val="32"/>
        </w:rPr>
        <w:t>。</w:t>
      </w:r>
      <w:r>
        <w:rPr>
          <w:rFonts w:hint="eastAsia" w:eastAsia="仿宋_GB2312"/>
          <w:sz w:val="32"/>
          <w:szCs w:val="32"/>
        </w:rPr>
        <w:t>积极开展基地源头检测，制定出台《关于进一步加强农产品质量安全工作的通知》等文件，召开了全区农产品质量安全工作会议，</w:t>
      </w:r>
      <w:r>
        <w:rPr>
          <w:rFonts w:eastAsia="仿宋_GB2312"/>
          <w:sz w:val="32"/>
          <w:szCs w:val="32"/>
        </w:rPr>
        <w:t>细化工作、夯实责任，狠抓源头，持续打造阎良农产品质量安全品牌。今年我局共组织</w:t>
      </w:r>
      <w:r>
        <w:rPr>
          <w:rFonts w:eastAsia="仿宋_GB2312"/>
          <w:color w:val="000000"/>
          <w:sz w:val="32"/>
          <w:szCs w:val="32"/>
        </w:rPr>
        <w:t>开展各类</w:t>
      </w:r>
      <w:r>
        <w:rPr>
          <w:rFonts w:hint="eastAsia" w:eastAsia="仿宋_GB2312"/>
          <w:sz w:val="32"/>
          <w:szCs w:val="32"/>
        </w:rPr>
        <w:t>专项检查</w:t>
      </w:r>
      <w:r>
        <w:rPr>
          <w:rFonts w:eastAsia="仿宋_GB2312"/>
          <w:sz w:val="32"/>
          <w:szCs w:val="32"/>
        </w:rPr>
        <w:t>、农资打假等活动</w:t>
      </w:r>
      <w:r>
        <w:rPr>
          <w:rFonts w:hint="eastAsia" w:eastAsia="仿宋_GB2312"/>
          <w:sz w:val="32"/>
          <w:szCs w:val="32"/>
        </w:rPr>
        <w:t>110次；</w:t>
      </w:r>
      <w:r>
        <w:rPr>
          <w:rFonts w:eastAsia="仿宋_GB2312"/>
          <w:sz w:val="32"/>
          <w:szCs w:val="32"/>
        </w:rPr>
        <w:t>共完成抽检果蔬样品13125个，检测合格率为100%。严格开展春季、秋季动物疫病防控工作，产地检疫、屠宰检疫工作，全区无动物疫情发生，生猪“瘦肉精”检测样品505头，合格率100%</w:t>
      </w:r>
      <w:r>
        <w:rPr>
          <w:rFonts w:hint="eastAsia" w:eastAsia="仿宋_GB2312"/>
          <w:sz w:val="32"/>
          <w:szCs w:val="32"/>
        </w:rPr>
        <w:t>；确定申报无公害产品及基地企业5家</w:t>
      </w:r>
      <w:r>
        <w:rPr>
          <w:rFonts w:hint="eastAsia" w:ascii="楷体_GB2312" w:eastAsia="楷体_GB2312"/>
          <w:sz w:val="30"/>
          <w:szCs w:val="30"/>
        </w:rPr>
        <w:t>（西安市阎良区让民果蔬专业合作社、西安市阎良区雨晗家庭农场、西安市阎良区英武甜瓜种植专业合作社、西安市阎良区王栓养殖场、西安市阎良区隆源养殖场）</w:t>
      </w:r>
      <w:r>
        <w:rPr>
          <w:rFonts w:hint="eastAsia" w:eastAsia="仿宋_GB2312"/>
          <w:sz w:val="32"/>
          <w:szCs w:val="32"/>
        </w:rPr>
        <w:t>，申报绿色食品认证企业1家</w:t>
      </w:r>
      <w:r>
        <w:rPr>
          <w:rFonts w:hint="eastAsia" w:ascii="楷体_GB2312" w:eastAsia="楷体_GB2312"/>
          <w:sz w:val="30"/>
          <w:szCs w:val="30"/>
        </w:rPr>
        <w:t>（西安市阎良区新瑞冬枣专业合作社）</w:t>
      </w:r>
      <w:r>
        <w:rPr>
          <w:rFonts w:hint="eastAsia" w:eastAsia="仿宋_GB2312"/>
          <w:sz w:val="32"/>
          <w:szCs w:val="32"/>
        </w:rPr>
        <w:t>，建成标准化示范基地2个。</w:t>
      </w:r>
      <w:r>
        <w:rPr>
          <w:rFonts w:eastAsia="仿宋_GB2312"/>
          <w:sz w:val="32"/>
          <w:szCs w:val="32"/>
        </w:rPr>
        <w:t>同时</w:t>
      </w:r>
      <w:r>
        <w:rPr>
          <w:rFonts w:hint="eastAsia" w:eastAsia="仿宋_GB2312"/>
          <w:sz w:val="32"/>
          <w:szCs w:val="32"/>
        </w:rPr>
        <w:t>，</w:t>
      </w:r>
      <w:r>
        <w:rPr>
          <w:rFonts w:eastAsia="仿宋_GB2312"/>
          <w:sz w:val="32"/>
          <w:szCs w:val="32"/>
        </w:rPr>
        <w:t>积极组织</w:t>
      </w:r>
      <w:r>
        <w:rPr>
          <w:rFonts w:hint="eastAsia" w:eastAsia="仿宋_GB2312"/>
          <w:sz w:val="32"/>
          <w:szCs w:val="32"/>
        </w:rPr>
        <w:t>5个合作社和5家大型收购点</w:t>
      </w:r>
      <w:r>
        <w:rPr>
          <w:rFonts w:eastAsia="仿宋_GB2312"/>
          <w:sz w:val="32"/>
          <w:szCs w:val="32"/>
        </w:rPr>
        <w:t>开展</w:t>
      </w:r>
      <w:r>
        <w:rPr>
          <w:rFonts w:hint="eastAsia" w:eastAsia="仿宋_GB2312"/>
          <w:sz w:val="32"/>
          <w:szCs w:val="32"/>
        </w:rPr>
        <w:t>食用农产品合格证试点工作，截至目前，全区共开具食用农产品合格证3000余份。</w:t>
      </w:r>
      <w:r>
        <w:rPr>
          <w:rFonts w:eastAsia="仿宋_GB2312"/>
          <w:sz w:val="32"/>
          <w:szCs w:val="32"/>
        </w:rPr>
        <w:t>我区被国家农业部命名为</w:t>
      </w:r>
      <w:r>
        <w:rPr>
          <w:rFonts w:hint="eastAsia" w:eastAsia="仿宋_GB2312"/>
          <w:sz w:val="32"/>
          <w:szCs w:val="32"/>
        </w:rPr>
        <w:t>首批国家农产品质量安全县（市）</w:t>
      </w:r>
      <w:r>
        <w:rPr>
          <w:rFonts w:eastAsia="仿宋_GB2312"/>
          <w:sz w:val="32"/>
          <w:szCs w:val="32"/>
        </w:rPr>
        <w:t>。</w:t>
      </w:r>
    </w:p>
    <w:p>
      <w:pPr>
        <w:spacing w:line="520" w:lineRule="exact"/>
        <w:ind w:firstLine="643" w:firstLineChars="200"/>
        <w:rPr>
          <w:rFonts w:eastAsia="仿宋_GB2312"/>
          <w:sz w:val="32"/>
          <w:szCs w:val="32"/>
        </w:rPr>
      </w:pPr>
      <w:r>
        <w:rPr>
          <w:rFonts w:hint="eastAsia" w:eastAsia="楷体_GB2312"/>
          <w:b/>
          <w:sz w:val="32"/>
          <w:szCs w:val="32"/>
        </w:rPr>
        <w:t>2:</w:t>
      </w:r>
      <w:r>
        <w:rPr>
          <w:rFonts w:eastAsia="楷体_GB2312"/>
          <w:b/>
          <w:sz w:val="32"/>
          <w:szCs w:val="32"/>
        </w:rPr>
        <w:t>农业生产进展有序。</w:t>
      </w:r>
      <w:r>
        <w:rPr>
          <w:rFonts w:eastAsia="仿宋_GB2312"/>
          <w:sz w:val="32"/>
          <w:szCs w:val="32"/>
        </w:rPr>
        <w:t>深入开展高产创建工作，我</w:t>
      </w:r>
      <w:r>
        <w:rPr>
          <w:rFonts w:hint="eastAsia" w:eastAsia="仿宋_GB2312"/>
          <w:sz w:val="32"/>
          <w:szCs w:val="32"/>
        </w:rPr>
        <w:t>区</w:t>
      </w:r>
      <w:r>
        <w:rPr>
          <w:rFonts w:hint="eastAsia" w:ascii="仿宋_GB2312" w:hAnsi="宋体" w:eastAsia="仿宋_GB2312"/>
          <w:sz w:val="32"/>
          <w:szCs w:val="32"/>
        </w:rPr>
        <w:t>新建小麦、玉米千亩示范</w:t>
      </w:r>
      <w:r>
        <w:rPr>
          <w:rFonts w:hint="eastAsia" w:eastAsia="仿宋_GB2312"/>
          <w:sz w:val="32"/>
          <w:szCs w:val="32"/>
        </w:rPr>
        <w:t>片8个、百亩攻关田8个</w:t>
      </w:r>
      <w:r>
        <w:rPr>
          <w:rFonts w:eastAsia="仿宋_GB2312"/>
          <w:sz w:val="32"/>
          <w:szCs w:val="32"/>
        </w:rPr>
        <w:t>，平均亩产增加显著，我区</w:t>
      </w:r>
      <w:r>
        <w:rPr>
          <w:rFonts w:hint="eastAsia" w:eastAsia="仿宋_GB2312"/>
          <w:sz w:val="32"/>
          <w:szCs w:val="32"/>
        </w:rPr>
        <w:t>关山镇南房村</w:t>
      </w:r>
      <w:r>
        <w:rPr>
          <w:rFonts w:eastAsia="仿宋_GB2312"/>
          <w:sz w:val="32"/>
          <w:szCs w:val="32"/>
        </w:rPr>
        <w:t>玉米</w:t>
      </w:r>
      <w:r>
        <w:rPr>
          <w:rFonts w:hint="eastAsia" w:eastAsia="仿宋_GB2312"/>
          <w:sz w:val="32"/>
          <w:szCs w:val="32"/>
        </w:rPr>
        <w:t>百亩攻关田在全市玉</w:t>
      </w:r>
      <w:r>
        <w:rPr>
          <w:rFonts w:hint="eastAsia" w:ascii="仿宋_GB2312" w:hAnsi="宋体" w:eastAsia="仿宋_GB2312"/>
          <w:sz w:val="32"/>
          <w:szCs w:val="32"/>
        </w:rPr>
        <w:t>米观摩评比中获得先进示范点称号，</w:t>
      </w:r>
      <w:r>
        <w:rPr>
          <w:rFonts w:eastAsia="仿宋_GB2312"/>
          <w:spacing w:val="-4"/>
          <w:sz w:val="32"/>
          <w:szCs w:val="32"/>
        </w:rPr>
        <w:t>推动粮食总产达</w:t>
      </w:r>
      <w:r>
        <w:rPr>
          <w:rFonts w:hint="eastAsia" w:eastAsia="仿宋_GB2312"/>
          <w:sz w:val="32"/>
          <w:szCs w:val="32"/>
        </w:rPr>
        <w:t>11.29</w:t>
      </w:r>
      <w:r>
        <w:rPr>
          <w:rFonts w:eastAsia="仿宋_GB2312"/>
          <w:sz w:val="32"/>
          <w:szCs w:val="32"/>
        </w:rPr>
        <w:t>万吨</w:t>
      </w:r>
      <w:r>
        <w:rPr>
          <w:rFonts w:hint="eastAsia" w:eastAsia="仿宋_GB2312"/>
          <w:sz w:val="32"/>
          <w:szCs w:val="32"/>
        </w:rPr>
        <w:t>，</w:t>
      </w:r>
      <w:r>
        <w:rPr>
          <w:rFonts w:eastAsia="仿宋_GB2312"/>
          <w:sz w:val="32"/>
          <w:szCs w:val="32"/>
        </w:rPr>
        <w:t>完成全年目标任务的15</w:t>
      </w:r>
      <w:r>
        <w:rPr>
          <w:rFonts w:hint="eastAsia" w:eastAsia="仿宋_GB2312"/>
          <w:sz w:val="32"/>
          <w:szCs w:val="32"/>
        </w:rPr>
        <w:t>4.66</w:t>
      </w:r>
      <w:r>
        <w:rPr>
          <w:rFonts w:eastAsia="仿宋_GB2312"/>
          <w:sz w:val="32"/>
          <w:szCs w:val="32"/>
        </w:rPr>
        <w:t>%。</w:t>
      </w:r>
      <w:r>
        <w:rPr>
          <w:rFonts w:hint="eastAsia" w:eastAsia="仿宋_GB2312"/>
          <w:sz w:val="32"/>
          <w:szCs w:val="32"/>
        </w:rPr>
        <w:t>同时，积极指导群众做好大田管理，扎实开展“三夏”、“三秋”各项工作，积极推广玉米硬茬播种、玉米灭茬旋耕覆盖播种等机械化秸秆综合利用技术。</w:t>
      </w:r>
    </w:p>
    <w:p>
      <w:pPr>
        <w:spacing w:line="520" w:lineRule="exact"/>
        <w:ind w:firstLine="643" w:firstLineChars="200"/>
        <w:rPr>
          <w:rFonts w:eastAsia="仿宋_GB2312"/>
          <w:sz w:val="32"/>
          <w:szCs w:val="32"/>
        </w:rPr>
      </w:pPr>
      <w:r>
        <w:rPr>
          <w:rFonts w:hint="eastAsia" w:eastAsia="楷体_GB2312"/>
          <w:b/>
          <w:sz w:val="32"/>
          <w:szCs w:val="32"/>
        </w:rPr>
        <w:t>3:</w:t>
      </w:r>
      <w:r>
        <w:rPr>
          <w:rFonts w:eastAsia="楷体_GB2312"/>
          <w:b/>
          <w:sz w:val="32"/>
          <w:szCs w:val="32"/>
        </w:rPr>
        <w:t>畜牧产业健康发展。</w:t>
      </w:r>
      <w:r>
        <w:rPr>
          <w:rFonts w:eastAsia="仿宋_GB2312"/>
          <w:color w:val="000000"/>
          <w:sz w:val="32"/>
          <w:szCs w:val="32"/>
        </w:rPr>
        <w:t>依托标准化规模养殖场创建工作，持续加大畜牧新技术、新装备的引进推广和应用力度，强化技术指导。积极开展</w:t>
      </w:r>
      <w:r>
        <w:rPr>
          <w:rFonts w:hint="eastAsia" w:eastAsia="仿宋_GB2312"/>
          <w:color w:val="000000"/>
          <w:sz w:val="32"/>
          <w:szCs w:val="32"/>
        </w:rPr>
        <w:t>建仁、新马</w:t>
      </w:r>
      <w:r>
        <w:rPr>
          <w:rFonts w:eastAsia="仿宋_GB2312"/>
          <w:color w:val="000000"/>
          <w:sz w:val="32"/>
          <w:szCs w:val="32"/>
        </w:rPr>
        <w:t>等</w:t>
      </w:r>
      <w:r>
        <w:rPr>
          <w:rFonts w:hint="eastAsia" w:eastAsia="仿宋_GB2312"/>
          <w:color w:val="000000"/>
          <w:sz w:val="32"/>
          <w:szCs w:val="32"/>
        </w:rPr>
        <w:t>2</w:t>
      </w:r>
      <w:r>
        <w:rPr>
          <w:rFonts w:eastAsia="仿宋_GB2312"/>
          <w:color w:val="000000"/>
          <w:sz w:val="32"/>
          <w:szCs w:val="32"/>
        </w:rPr>
        <w:t>个养殖场的市级以上示范场创建工作；</w:t>
      </w:r>
      <w:r>
        <w:rPr>
          <w:rFonts w:eastAsia="仿宋_GB2312"/>
          <w:sz w:val="32"/>
          <w:szCs w:val="32"/>
        </w:rPr>
        <w:t>加强与环保、镇街的联系，督促养殖场积极进行污染治理；确定</w:t>
      </w:r>
      <w:r>
        <w:rPr>
          <w:rFonts w:hint="eastAsia" w:eastAsia="仿宋_GB2312"/>
          <w:sz w:val="32"/>
          <w:szCs w:val="32"/>
        </w:rPr>
        <w:t>子扬</w:t>
      </w:r>
      <w:r>
        <w:rPr>
          <w:rFonts w:eastAsia="仿宋_GB2312"/>
          <w:sz w:val="32"/>
          <w:szCs w:val="32"/>
        </w:rPr>
        <w:t>、绿草地和浩东等</w:t>
      </w:r>
      <w:r>
        <w:rPr>
          <w:rFonts w:hint="eastAsia" w:eastAsia="仿宋_GB2312"/>
          <w:sz w:val="32"/>
          <w:szCs w:val="32"/>
        </w:rPr>
        <w:t>5</w:t>
      </w:r>
      <w:r>
        <w:rPr>
          <w:rFonts w:eastAsia="仿宋_GB2312"/>
          <w:sz w:val="32"/>
          <w:szCs w:val="32"/>
        </w:rPr>
        <w:t>家规模养殖场为市级</w:t>
      </w:r>
      <w:r>
        <w:rPr>
          <w:rFonts w:hint="eastAsia" w:eastAsia="仿宋_GB2312"/>
          <w:sz w:val="32"/>
          <w:szCs w:val="32"/>
        </w:rPr>
        <w:t>畜禽</w:t>
      </w:r>
      <w:r>
        <w:rPr>
          <w:rFonts w:eastAsia="仿宋_GB2312"/>
          <w:sz w:val="32"/>
          <w:szCs w:val="32"/>
        </w:rPr>
        <w:t>废弃物资源化利用示范工程项目实施单位。</w:t>
      </w:r>
      <w:r>
        <w:rPr>
          <w:rFonts w:hint="eastAsia" w:eastAsia="仿宋_GB2312"/>
          <w:sz w:val="32"/>
          <w:szCs w:val="32"/>
        </w:rPr>
        <w:t>2017</w:t>
      </w:r>
      <w:r>
        <w:rPr>
          <w:rFonts w:eastAsia="仿宋_GB2312"/>
          <w:sz w:val="32"/>
          <w:szCs w:val="32"/>
        </w:rPr>
        <w:t>年</w:t>
      </w:r>
      <w:r>
        <w:rPr>
          <w:rFonts w:hint="eastAsia" w:eastAsia="仿宋_GB2312"/>
          <w:sz w:val="32"/>
          <w:szCs w:val="32"/>
        </w:rPr>
        <w:t>底</w:t>
      </w:r>
      <w:r>
        <w:rPr>
          <w:rFonts w:eastAsia="仿宋_GB2312"/>
          <w:sz w:val="32"/>
          <w:szCs w:val="32"/>
        </w:rPr>
        <w:t>，</w:t>
      </w:r>
      <w:r>
        <w:rPr>
          <w:rFonts w:eastAsia="仿宋_GB2312"/>
          <w:sz w:val="32"/>
        </w:rPr>
        <w:t>全区奶牛存栏</w:t>
      </w:r>
      <w:r>
        <w:rPr>
          <w:rFonts w:hint="eastAsia" w:eastAsia="仿宋_GB2312"/>
          <w:sz w:val="32"/>
        </w:rPr>
        <w:t>1.9</w:t>
      </w:r>
      <w:r>
        <w:rPr>
          <w:rFonts w:eastAsia="仿宋_GB2312"/>
          <w:sz w:val="32"/>
        </w:rPr>
        <w:t>万头，生猪存栏</w:t>
      </w:r>
      <w:r>
        <w:rPr>
          <w:rFonts w:hint="eastAsia" w:eastAsia="仿宋_GB2312"/>
          <w:sz w:val="32"/>
        </w:rPr>
        <w:t>4.3</w:t>
      </w:r>
      <w:r>
        <w:rPr>
          <w:rFonts w:eastAsia="仿宋_GB2312"/>
          <w:sz w:val="32"/>
        </w:rPr>
        <w:t>万头,奶山羊存栏</w:t>
      </w:r>
      <w:r>
        <w:rPr>
          <w:rFonts w:hint="eastAsia" w:eastAsia="仿宋_GB2312"/>
          <w:sz w:val="32"/>
        </w:rPr>
        <w:t>4.8</w:t>
      </w:r>
      <w:r>
        <w:rPr>
          <w:rFonts w:eastAsia="仿宋_GB2312"/>
          <w:sz w:val="32"/>
        </w:rPr>
        <w:t>万只，家禽存栏62万羽；肉、蛋、奶产量分别达到</w:t>
      </w:r>
      <w:r>
        <w:rPr>
          <w:rFonts w:hint="eastAsia" w:eastAsia="仿宋_GB2312"/>
          <w:sz w:val="32"/>
        </w:rPr>
        <w:t>6800</w:t>
      </w:r>
      <w:r>
        <w:rPr>
          <w:rFonts w:eastAsia="仿宋_GB2312"/>
          <w:sz w:val="32"/>
        </w:rPr>
        <w:t>吨、</w:t>
      </w:r>
      <w:r>
        <w:rPr>
          <w:rFonts w:hint="eastAsia" w:eastAsia="仿宋_GB2312"/>
          <w:sz w:val="32"/>
        </w:rPr>
        <w:t>6900</w:t>
      </w:r>
      <w:r>
        <w:rPr>
          <w:rFonts w:eastAsia="仿宋_GB2312"/>
          <w:sz w:val="32"/>
        </w:rPr>
        <w:t>吨、102000吨，分别完成全年任务的</w:t>
      </w:r>
      <w:r>
        <w:rPr>
          <w:rFonts w:hint="eastAsia" w:eastAsia="仿宋_GB2312"/>
          <w:sz w:val="32"/>
        </w:rPr>
        <w:t>227</w:t>
      </w:r>
      <w:r>
        <w:rPr>
          <w:rFonts w:eastAsia="仿宋_GB2312"/>
          <w:sz w:val="32"/>
        </w:rPr>
        <w:t>%、</w:t>
      </w:r>
      <w:r>
        <w:rPr>
          <w:rFonts w:hint="eastAsia" w:eastAsia="仿宋_GB2312"/>
          <w:sz w:val="32"/>
        </w:rPr>
        <w:t>345</w:t>
      </w:r>
      <w:r>
        <w:rPr>
          <w:rFonts w:eastAsia="仿宋_GB2312"/>
          <w:sz w:val="32"/>
        </w:rPr>
        <w:t>%、</w:t>
      </w:r>
      <w:r>
        <w:rPr>
          <w:rFonts w:hint="eastAsia" w:eastAsia="仿宋_GB2312"/>
          <w:sz w:val="32"/>
        </w:rPr>
        <w:t>136</w:t>
      </w:r>
      <w:r>
        <w:rPr>
          <w:rFonts w:eastAsia="仿宋_GB2312"/>
          <w:sz w:val="32"/>
        </w:rPr>
        <w:t>%。</w:t>
      </w:r>
    </w:p>
    <w:p>
      <w:pPr>
        <w:spacing w:line="520" w:lineRule="exact"/>
        <w:ind w:firstLine="643" w:firstLineChars="200"/>
        <w:rPr>
          <w:rFonts w:eastAsia="仿宋_GB2312"/>
          <w:sz w:val="32"/>
          <w:szCs w:val="32"/>
          <w:lang w:val="zh-CN"/>
        </w:rPr>
      </w:pPr>
      <w:r>
        <w:rPr>
          <w:rFonts w:hint="eastAsia" w:eastAsia="楷体_GB2312"/>
          <w:b/>
          <w:sz w:val="32"/>
          <w:szCs w:val="32"/>
        </w:rPr>
        <w:t>4:</w:t>
      </w:r>
      <w:r>
        <w:rPr>
          <w:rFonts w:eastAsia="楷体_GB2312"/>
          <w:b/>
          <w:sz w:val="32"/>
          <w:szCs w:val="32"/>
        </w:rPr>
        <w:t>涉农电商加速壮大。</w:t>
      </w:r>
      <w:r>
        <w:rPr>
          <w:rFonts w:hint="eastAsia" w:eastAsia="仿宋_GB2312"/>
          <w:color w:val="000000"/>
          <w:sz w:val="32"/>
          <w:szCs w:val="32"/>
          <w:lang w:val="zh-CN"/>
        </w:rPr>
        <w:t>大力实施“互联网+”战略，积极推进农产品电子商务发展，指导村级农业信息站、合作社开展农产品电商业务，持续提升阎良甜瓜等优势农产品品牌知名度和市场占有率。目前，全区共有200余人专业从事电子商务，注册电子商务企业60余家，有8家农业产业化龙头企业已开通网站，5家农业企业利用电子商务平台营销进行产品销售，30余家专业合作社开始触网，重点开展了以甜瓜、相枣、冬枣等优质农产品为主的电子商务。据统计，2017年在淘宝、京东、天猫等网络平台上经营阎良甜瓜的网店达400余家以上，预计全区</w:t>
      </w:r>
      <w:r>
        <w:rPr>
          <w:rFonts w:hint="eastAsia" w:eastAsia="仿宋_GB2312"/>
          <w:sz w:val="32"/>
          <w:szCs w:val="32"/>
          <w:lang w:val="zh-CN"/>
        </w:rPr>
        <w:t>特色农产品销售额度超过5000万元。</w:t>
      </w:r>
    </w:p>
    <w:p>
      <w:pPr>
        <w:spacing w:line="520" w:lineRule="exact"/>
        <w:ind w:firstLine="643" w:firstLineChars="200"/>
        <w:rPr>
          <w:rFonts w:eastAsia="楷体_GB2312"/>
          <w:b/>
          <w:sz w:val="32"/>
          <w:szCs w:val="32"/>
        </w:rPr>
      </w:pPr>
      <w:r>
        <w:rPr>
          <w:rFonts w:hint="eastAsia" w:ascii="楷体_GB2312" w:hAnsi="宋体" w:eastAsia="楷体_GB2312"/>
          <w:b/>
          <w:sz w:val="32"/>
          <w:szCs w:val="32"/>
        </w:rPr>
        <w:t>5:治污减霾成效显著。</w:t>
      </w:r>
      <w:r>
        <w:rPr>
          <w:rFonts w:hint="eastAsia" w:ascii="仿宋_GB2312" w:hAnsi="宋体" w:eastAsia="仿宋_GB2312"/>
          <w:sz w:val="32"/>
          <w:szCs w:val="32"/>
        </w:rPr>
        <w:t>积极实施秸秆粉碎还田、玉米秸秆青贮工作，大力推广秸秆饲料化、基料化技术和粪污资源化利用技术。全年，我区秸秆粉碎还</w:t>
      </w:r>
      <w:r>
        <w:rPr>
          <w:rFonts w:hint="eastAsia" w:eastAsia="仿宋_GB2312"/>
          <w:sz w:val="32"/>
          <w:szCs w:val="32"/>
        </w:rPr>
        <w:t>田10</w:t>
      </w:r>
      <w:r>
        <w:rPr>
          <w:rFonts w:eastAsia="仿宋_GB2312"/>
          <w:sz w:val="32"/>
          <w:szCs w:val="32"/>
        </w:rPr>
        <w:t>.524</w:t>
      </w:r>
      <w:r>
        <w:rPr>
          <w:rFonts w:hint="eastAsia" w:eastAsia="仿宋_GB2312"/>
          <w:sz w:val="32"/>
          <w:szCs w:val="32"/>
        </w:rPr>
        <w:t>1万亩</w:t>
      </w:r>
      <w:r>
        <w:rPr>
          <w:rFonts w:hint="eastAsia" w:ascii="仿宋_GB2312" w:hAnsi="宋体" w:eastAsia="仿宋_GB2312"/>
          <w:sz w:val="32"/>
          <w:szCs w:val="32"/>
        </w:rPr>
        <w:t>，玉米秸</w:t>
      </w:r>
      <w:r>
        <w:rPr>
          <w:rFonts w:hint="eastAsia" w:eastAsia="仿宋_GB2312"/>
          <w:sz w:val="32"/>
          <w:szCs w:val="32"/>
        </w:rPr>
        <w:t>秆青贮及饲料化利用2.6万亩，建成青贮窖10座，共计2万立方米，完成</w:t>
      </w:r>
      <w:r>
        <w:rPr>
          <w:rFonts w:hint="eastAsia" w:ascii="仿宋_GB2312" w:eastAsia="仿宋_GB2312"/>
          <w:sz w:val="32"/>
          <w:szCs w:val="32"/>
        </w:rPr>
        <w:t>全株玉米青贮</w:t>
      </w:r>
      <w:r>
        <w:rPr>
          <w:rFonts w:hint="eastAsia" w:eastAsia="仿宋_GB2312"/>
          <w:sz w:val="32"/>
          <w:szCs w:val="32"/>
        </w:rPr>
        <w:t>6.2万吨，全区秸秆综合利用率达到99.26%。同时，积极开展农村煤炭消减，发展零碳农业，大力推广煤改电、煤改气、光伏发电、沼气锅炉等散煤替代技术，全年建成沼气工程12处</w:t>
      </w:r>
      <w:r>
        <w:rPr>
          <w:rFonts w:hint="eastAsia" w:ascii="楷体_GB2312" w:eastAsia="楷体_GB2312"/>
          <w:sz w:val="30"/>
          <w:szCs w:val="30"/>
        </w:rPr>
        <w:t>（其中</w:t>
      </w:r>
      <w:r>
        <w:rPr>
          <w:rFonts w:hint="eastAsia" w:ascii="楷体_GB2312" w:hAnsi="仿宋" w:eastAsia="楷体_GB2312"/>
          <w:sz w:val="30"/>
          <w:szCs w:val="30"/>
        </w:rPr>
        <w:t>示范园5个，养殖场7个</w:t>
      </w:r>
      <w:r>
        <w:rPr>
          <w:rFonts w:hint="eastAsia" w:ascii="楷体_GB2312" w:eastAsia="楷体_GB2312"/>
          <w:sz w:val="30"/>
          <w:szCs w:val="30"/>
        </w:rPr>
        <w:t>）</w:t>
      </w:r>
      <w:r>
        <w:rPr>
          <w:rFonts w:hint="eastAsia" w:eastAsia="仿宋_GB2312"/>
          <w:sz w:val="32"/>
          <w:szCs w:val="32"/>
        </w:rPr>
        <w:t>，完成农村居民生活用煤削减煤改</w:t>
      </w:r>
      <w:r>
        <w:rPr>
          <w:rFonts w:eastAsia="仿宋_GB2312"/>
          <w:sz w:val="32"/>
          <w:szCs w:val="32"/>
        </w:rPr>
        <w:t>33592</w:t>
      </w:r>
      <w:r>
        <w:rPr>
          <w:rFonts w:hint="eastAsia" w:eastAsia="仿宋_GB2312"/>
          <w:sz w:val="32"/>
          <w:szCs w:val="32"/>
        </w:rPr>
        <w:t>户，其中煤改电30778户，煤改气2615户，共可削减煤67184吨，签约农户33592户，完成了全年目标任务。</w:t>
      </w:r>
    </w:p>
    <w:p>
      <w:pPr>
        <w:spacing w:line="520" w:lineRule="exact"/>
        <w:ind w:firstLine="643" w:firstLineChars="200"/>
        <w:rPr>
          <w:rFonts w:eastAsia="仿宋_GB2312"/>
          <w:color w:val="000000"/>
          <w:sz w:val="32"/>
          <w:szCs w:val="32"/>
          <w:lang w:val="zh-CN"/>
        </w:rPr>
      </w:pPr>
      <w:r>
        <w:rPr>
          <w:rFonts w:hint="eastAsia" w:eastAsia="楷体_GB2312"/>
          <w:b/>
          <w:sz w:val="32"/>
          <w:szCs w:val="32"/>
        </w:rPr>
        <w:t>6:</w:t>
      </w:r>
      <w:r>
        <w:rPr>
          <w:rFonts w:eastAsia="楷体_GB2312"/>
          <w:b/>
          <w:sz w:val="32"/>
          <w:szCs w:val="32"/>
        </w:rPr>
        <w:t>惠民政策贯彻有力。</w:t>
      </w:r>
      <w:r>
        <w:rPr>
          <w:rFonts w:eastAsia="仿宋_GB2312"/>
          <w:spacing w:val="-2"/>
          <w:sz w:val="32"/>
          <w:szCs w:val="32"/>
        </w:rPr>
        <w:t>完成国家、省市购机补贴</w:t>
      </w:r>
      <w:r>
        <w:rPr>
          <w:rFonts w:hint="eastAsia" w:eastAsia="仿宋_GB2312"/>
          <w:sz w:val="32"/>
          <w:szCs w:val="32"/>
        </w:rPr>
        <w:t>367</w:t>
      </w:r>
      <w:r>
        <w:rPr>
          <w:rFonts w:eastAsia="仿宋_GB2312"/>
          <w:sz w:val="32"/>
          <w:szCs w:val="32"/>
        </w:rPr>
        <w:t>万元</w:t>
      </w:r>
      <w:r>
        <w:rPr>
          <w:rFonts w:hint="eastAsia" w:eastAsia="仿宋_GB2312"/>
          <w:sz w:val="32"/>
          <w:szCs w:val="32"/>
        </w:rPr>
        <w:t>；</w:t>
      </w:r>
      <w:r>
        <w:rPr>
          <w:rFonts w:eastAsia="仿宋_GB2312"/>
          <w:sz w:val="32"/>
          <w:szCs w:val="32"/>
        </w:rPr>
        <w:t>完成职业农民培训</w:t>
      </w:r>
      <w:r>
        <w:rPr>
          <w:rFonts w:hint="eastAsia" w:eastAsia="仿宋_GB2312"/>
          <w:sz w:val="32"/>
          <w:szCs w:val="32"/>
        </w:rPr>
        <w:t>150人，考核合格139人；全年累计完成各类农业技术培训20495人次。</w:t>
      </w:r>
      <w:r>
        <w:rPr>
          <w:rFonts w:eastAsia="仿宋_GB2312"/>
          <w:color w:val="000000"/>
          <w:sz w:val="32"/>
          <w:szCs w:val="32"/>
          <w:lang w:val="zh-CN"/>
        </w:rPr>
        <w:t>积极引进示范推广</w:t>
      </w:r>
      <w:r>
        <w:rPr>
          <w:rFonts w:hint="eastAsia" w:ascii="仿宋_GB2312" w:hAnsi="宋体" w:eastAsia="仿宋_GB2312"/>
          <w:sz w:val="32"/>
          <w:szCs w:val="32"/>
        </w:rPr>
        <w:t>二氧化碳气肥使用、双根嫁接、温室大棚多层覆盖</w:t>
      </w:r>
      <w:r>
        <w:rPr>
          <w:rFonts w:hint="eastAsia" w:eastAsia="仿宋_GB2312"/>
          <w:color w:val="000000"/>
          <w:sz w:val="32"/>
          <w:szCs w:val="32"/>
          <w:lang w:val="zh-CN"/>
        </w:rPr>
        <w:t>和金红脆、西周蜜、普罗旺斯、粉贝贝</w:t>
      </w:r>
      <w:r>
        <w:rPr>
          <w:rFonts w:eastAsia="仿宋_GB2312"/>
          <w:color w:val="000000"/>
          <w:sz w:val="32"/>
          <w:szCs w:val="32"/>
          <w:lang w:val="zh-CN"/>
        </w:rPr>
        <w:t>等实用技术新品种</w:t>
      </w:r>
      <w:r>
        <w:rPr>
          <w:rFonts w:hint="eastAsia" w:eastAsia="仿宋_GB2312"/>
          <w:color w:val="000000"/>
          <w:sz w:val="32"/>
          <w:szCs w:val="32"/>
          <w:lang w:val="zh-CN"/>
        </w:rPr>
        <w:t>15</w:t>
      </w:r>
      <w:r>
        <w:rPr>
          <w:rFonts w:eastAsia="仿宋_GB2312"/>
          <w:color w:val="000000"/>
          <w:sz w:val="32"/>
          <w:szCs w:val="32"/>
          <w:lang w:val="zh-CN"/>
        </w:rPr>
        <w:t>个。</w:t>
      </w:r>
      <w:r>
        <w:rPr>
          <w:rFonts w:hint="eastAsia" w:eastAsia="仿宋_GB2312"/>
          <w:color w:val="000000"/>
          <w:sz w:val="32"/>
          <w:szCs w:val="32"/>
          <w:lang w:val="zh-CN"/>
        </w:rPr>
        <w:t>大力实施农业信息化工程，依托阎良政府网、西安市农林网、“信用陕西”发布政务信息200余条，通过短信服务平台发布灾害预警、生产指导等服务三农信息1万余条，各类信息发布数量和质量，在市区名列前茅。联合西北农林科技大学对120多名新型职业农民进行了专业培训。</w:t>
      </w:r>
    </w:p>
    <w:p>
      <w:pPr>
        <w:spacing w:line="520" w:lineRule="exact"/>
        <w:ind w:firstLine="640" w:firstLineChars="200"/>
        <w:rPr>
          <w:rFonts w:ascii="黑体" w:hAnsi="黑体" w:eastAsia="黑体"/>
          <w:sz w:val="32"/>
          <w:szCs w:val="32"/>
        </w:rPr>
      </w:pPr>
      <w:r>
        <w:rPr>
          <w:rFonts w:hint="eastAsia" w:ascii="黑体" w:hAnsi="黑体" w:eastAsia="黑体"/>
          <w:sz w:val="32"/>
          <w:szCs w:val="32"/>
        </w:rPr>
        <w:t>(五)以党建为统领，全面推动各项工作落实</w:t>
      </w:r>
    </w:p>
    <w:p>
      <w:pPr>
        <w:spacing w:line="520" w:lineRule="exact"/>
        <w:ind w:firstLine="643" w:firstLineChars="200"/>
        <w:rPr>
          <w:rFonts w:eastAsia="楷体_GB2312"/>
          <w:sz w:val="32"/>
          <w:szCs w:val="32"/>
        </w:rPr>
      </w:pPr>
      <w:r>
        <w:rPr>
          <w:rFonts w:hint="eastAsia" w:eastAsia="楷体_GB2312"/>
          <w:b/>
          <w:sz w:val="32"/>
          <w:szCs w:val="32"/>
        </w:rPr>
        <w:t>1:切实加强</w:t>
      </w:r>
      <w:r>
        <w:rPr>
          <w:rFonts w:eastAsia="楷体_GB2312"/>
          <w:b/>
          <w:sz w:val="32"/>
          <w:szCs w:val="32"/>
        </w:rPr>
        <w:t>领导班子</w:t>
      </w:r>
      <w:r>
        <w:rPr>
          <w:rFonts w:hint="eastAsia" w:eastAsia="楷体_GB2312"/>
          <w:b/>
          <w:sz w:val="32"/>
          <w:szCs w:val="32"/>
        </w:rPr>
        <w:t>、</w:t>
      </w:r>
      <w:r>
        <w:rPr>
          <w:rFonts w:eastAsia="楷体_GB2312"/>
          <w:b/>
          <w:sz w:val="32"/>
          <w:szCs w:val="32"/>
        </w:rPr>
        <w:t>干部队伍和人才建设</w:t>
      </w:r>
      <w:r>
        <w:rPr>
          <w:rFonts w:hint="eastAsia" w:eastAsia="楷体_GB2312"/>
          <w:b/>
          <w:sz w:val="32"/>
          <w:szCs w:val="32"/>
        </w:rPr>
        <w:t>。</w:t>
      </w:r>
      <w:r>
        <w:rPr>
          <w:rFonts w:hint="eastAsia" w:ascii="仿宋_GB2312" w:hAnsi="ˎ̥" w:eastAsia="仿宋_GB2312"/>
          <w:bCs/>
          <w:color w:val="000000"/>
          <w:sz w:val="32"/>
          <w:szCs w:val="32"/>
        </w:rPr>
        <w:t>强化班子自身建设，</w:t>
      </w:r>
      <w:r>
        <w:rPr>
          <w:rFonts w:hint="eastAsia" w:eastAsia="仿宋_GB2312"/>
          <w:sz w:val="32"/>
          <w:szCs w:val="32"/>
        </w:rPr>
        <w:t>坚持用党章党规规范班子成员的言行，用习近平总书记系列重要讲话精神特别是视察陕西时提出的“追赶超越”定位和“五个扎实”要求武装班子成员的头脑、指导实践、推动工作；坚持学思践悟、知行合一，争做忠诚、干净、担当的好干部。2017年开展中心组学习12次，干部集中学习40余次，召开专题民主生活会4次，专题研讨交流12次；扎实开展各类干部教育培训，完成《2017年干部教育培训计划》及干部调训、网络培训、干部选学培训任务，干部整体素质得到全面提升；严格落实民主生活会、组织生活会、“三会一课”和民主评议等制度，2017年党委班子成员以普通党员身份参加所在支部组织生活12次，领导带头作表率得到有效体现；从严管理监督干部，认真落实“三重一大”集体决策，严格执行谈心谈话、个人有关事项报告、请销假以及提醒、函询和诫勉等制度；加大人才培育培养力度，积极探索聚才用才有效途径，创新引进服务人才政策举措，</w:t>
      </w:r>
      <w:r>
        <w:rPr>
          <w:rFonts w:hint="eastAsia" w:ascii="仿宋_GB2312" w:eastAsia="仿宋_GB2312"/>
          <w:sz w:val="32"/>
          <w:szCs w:val="32"/>
        </w:rPr>
        <w:t>建立农林系统干部实绩档案</w:t>
      </w:r>
      <w:r>
        <w:rPr>
          <w:rFonts w:hint="eastAsia" w:eastAsia="仿宋_GB2312"/>
          <w:sz w:val="32"/>
          <w:szCs w:val="32"/>
        </w:rPr>
        <w:t>，促进各类人才创新创业。努力培养造就一支懂农业、爱农村、爱农民的“三农”工作队伍，打造追赶超越之“农林铁军”。</w:t>
      </w:r>
    </w:p>
    <w:p>
      <w:pPr>
        <w:spacing w:line="520" w:lineRule="exact"/>
        <w:ind w:firstLine="643" w:firstLineChars="200"/>
        <w:rPr>
          <w:rFonts w:eastAsia="仿宋_GB2312"/>
          <w:sz w:val="32"/>
          <w:szCs w:val="32"/>
        </w:rPr>
      </w:pPr>
      <w:r>
        <w:rPr>
          <w:rFonts w:hint="eastAsia" w:eastAsia="楷体_GB2312"/>
          <w:b/>
          <w:sz w:val="32"/>
          <w:szCs w:val="32"/>
        </w:rPr>
        <w:t>2:全面加强基层党组织建设</w:t>
      </w:r>
      <w:r>
        <w:rPr>
          <w:rFonts w:hint="eastAsia" w:eastAsia="仿宋_GB2312"/>
          <w:b/>
          <w:sz w:val="32"/>
          <w:szCs w:val="32"/>
        </w:rPr>
        <w:t>。</w:t>
      </w:r>
      <w:r>
        <w:rPr>
          <w:rFonts w:hint="eastAsia" w:eastAsia="仿宋_GB2312"/>
          <w:sz w:val="32"/>
          <w:szCs w:val="32"/>
        </w:rPr>
        <w:t>扎实推进“两学一做”学习教育常态化制度化，</w:t>
      </w:r>
      <w:r>
        <w:rPr>
          <w:rFonts w:eastAsia="仿宋_GB2312"/>
          <w:sz w:val="32"/>
          <w:szCs w:val="32"/>
        </w:rPr>
        <w:t>强化深学真悟，突出党委、支部和党员三级主体，采取支委会、党小组会、党员大会</w:t>
      </w:r>
      <w:r>
        <w:rPr>
          <w:rFonts w:hint="eastAsia" w:eastAsia="仿宋_GB2312"/>
          <w:sz w:val="32"/>
          <w:szCs w:val="32"/>
        </w:rPr>
        <w:t>“</w:t>
      </w:r>
      <w:r>
        <w:rPr>
          <w:rFonts w:eastAsia="仿宋_GB2312"/>
          <w:sz w:val="32"/>
          <w:szCs w:val="32"/>
        </w:rPr>
        <w:t>三级联动</w:t>
      </w:r>
      <w:r>
        <w:rPr>
          <w:rFonts w:hint="eastAsia" w:eastAsia="仿宋_GB2312"/>
          <w:sz w:val="32"/>
          <w:szCs w:val="32"/>
        </w:rPr>
        <w:t>”</w:t>
      </w:r>
      <w:r>
        <w:rPr>
          <w:rFonts w:eastAsia="仿宋_GB2312"/>
          <w:sz w:val="32"/>
          <w:szCs w:val="32"/>
        </w:rPr>
        <w:t>的形式，</w:t>
      </w:r>
      <w:r>
        <w:rPr>
          <w:rFonts w:hint="eastAsia" w:eastAsia="仿宋_GB2312"/>
          <w:sz w:val="32"/>
          <w:szCs w:val="32"/>
        </w:rPr>
        <w:t>持续深化</w:t>
      </w:r>
      <w:r>
        <w:rPr>
          <w:rFonts w:eastAsia="仿宋_GB2312"/>
          <w:sz w:val="32"/>
          <w:szCs w:val="32"/>
        </w:rPr>
        <w:t>学习教育</w:t>
      </w:r>
      <w:r>
        <w:rPr>
          <w:rFonts w:hint="eastAsia" w:eastAsia="仿宋_GB2312"/>
          <w:sz w:val="32"/>
          <w:szCs w:val="32"/>
        </w:rPr>
        <w:t>；认真组织学习宣讲十九大精神和乡村振兴发展战略，</w:t>
      </w:r>
      <w:r>
        <w:rPr>
          <w:rFonts w:hint="eastAsia" w:ascii="仿宋_GB2312" w:eastAsia="仿宋_GB2312"/>
          <w:sz w:val="32"/>
          <w:szCs w:val="32"/>
        </w:rPr>
        <w:t>学懂弄通做实</w:t>
      </w:r>
      <w:r>
        <w:rPr>
          <w:rFonts w:hint="eastAsia" w:eastAsia="仿宋_GB2312"/>
          <w:sz w:val="32"/>
          <w:szCs w:val="32"/>
        </w:rPr>
        <w:t>党的十九大精神。严格党内生活，坚持每月固定开展主题党日活动；扎实开展“在职党员进社区报到”活动，38名党员到社区认领岗位，党员志愿者网上注册率100%，累计组织开展各类服务活动30余场次；认真贯彻落实发展党员细则，坚持从基层一线干部中培养和发展党员，2017年新发展党员1名，按期转正1名；强化党员教育管理，</w:t>
      </w:r>
      <w:r>
        <w:rPr>
          <w:rFonts w:hint="eastAsia" w:ascii="仿宋_GB2312" w:eastAsia="仿宋_GB2312"/>
          <w:snapToGrid w:val="0"/>
          <w:color w:val="000000"/>
          <w:sz w:val="32"/>
          <w:szCs w:val="32"/>
        </w:rPr>
        <w:t>制作党员示范牌和外出告知牌，为每名党员提出岗位要求和标准，提醒党员严以律己，组织党员签订《个人承诺书》，对标岗位职责和个人问题整改进行承诺，制定“做合格党员工作计划”，对标任务进行践诺；</w:t>
      </w:r>
      <w:r>
        <w:rPr>
          <w:rFonts w:hint="eastAsia" w:eastAsia="仿宋_GB2312"/>
          <w:sz w:val="32"/>
          <w:szCs w:val="32"/>
        </w:rPr>
        <w:t>扎实开展基层党组织书记抓党建述职评议考核工作，推动全面从严治党向基层延伸；积极选派第一书记，扎实推进软弱涣散基层党组织整顿活动，并受到省市的充分肯定。</w:t>
      </w:r>
    </w:p>
    <w:p>
      <w:pPr>
        <w:spacing w:line="520" w:lineRule="exact"/>
        <w:ind w:firstLine="643" w:firstLineChars="200"/>
        <w:rPr>
          <w:rFonts w:eastAsia="仿宋_GB2312"/>
          <w:sz w:val="32"/>
          <w:szCs w:val="32"/>
        </w:rPr>
      </w:pPr>
      <w:r>
        <w:rPr>
          <w:rFonts w:hint="eastAsia" w:eastAsia="楷体_GB2312"/>
          <w:b/>
          <w:sz w:val="32"/>
          <w:szCs w:val="32"/>
        </w:rPr>
        <w:t>3:从严落实党风廉政建设责任。</w:t>
      </w:r>
      <w:r>
        <w:rPr>
          <w:rFonts w:hint="eastAsia" w:eastAsia="仿宋_GB2312"/>
          <w:sz w:val="32"/>
          <w:szCs w:val="32"/>
        </w:rPr>
        <w:t>深入学习习近平新时代中国特色社会主义思想，学习贯彻中央纪委、省纪委七次全会，市纪委十三届二次全会和区委十一次党代会精神，坚持全面从严治党，依规治党，严明党的纪律，落实党内法规；严格落实党风廉政建设“两个责任”，制定完善了党委班子主体责任清单和《2017年区农林局党风廉政建设和反腐败工作责任分工》，明确了工作要求、责任主体、责任内容、责任考核及责任追究，形成了一级抓一级，层层抓落实的工作局面；认真贯彻落实中央八项规定精神，驰而不息纠正“四风”，严格践行“四种形态”，制定了《阎良区农林局开展侵害群众利益的不正之风和反腐败问题自查自纠的工作方案》，对局系统进行了全面排查，有力防范了群众身边不正之风和腐败问题的发生。</w:t>
      </w:r>
      <w:r>
        <w:rPr>
          <w:rFonts w:hint="eastAsia" w:eastAsia="仿宋_GB2312"/>
          <w:sz w:val="32"/>
          <w:szCs w:val="32"/>
          <w:u w:val="single"/>
        </w:rPr>
        <w:t>多</w:t>
      </w:r>
      <w:r>
        <w:rPr>
          <w:rFonts w:hint="eastAsia" w:eastAsia="仿宋_GB2312"/>
          <w:sz w:val="32"/>
          <w:szCs w:val="32"/>
        </w:rPr>
        <w:t>次对基层单位工作纪律和纠正“四风”情况进行明查暗访，对有关责任人进行了约谈和诫勉谈话。</w:t>
      </w:r>
    </w:p>
    <w:p>
      <w:pPr>
        <w:spacing w:line="520" w:lineRule="exact"/>
        <w:ind w:firstLine="643" w:firstLineChars="200"/>
        <w:rPr>
          <w:rFonts w:eastAsia="仿宋_GB2312"/>
          <w:sz w:val="32"/>
          <w:szCs w:val="32"/>
        </w:rPr>
      </w:pPr>
      <w:r>
        <w:rPr>
          <w:rFonts w:hint="eastAsia" w:eastAsia="楷体_GB2312"/>
          <w:b/>
          <w:sz w:val="32"/>
          <w:szCs w:val="32"/>
        </w:rPr>
        <w:t>4:不断加强精神文明建设。</w:t>
      </w:r>
      <w:r>
        <w:rPr>
          <w:rFonts w:hint="eastAsia" w:eastAsia="仿宋_GB2312"/>
          <w:sz w:val="32"/>
          <w:szCs w:val="32"/>
        </w:rPr>
        <w:t>学习宣传典型先进事迹，扎实开展“</w:t>
      </w:r>
      <w:bookmarkStart w:id="0" w:name="OLE_LINK1"/>
      <w:r>
        <w:rPr>
          <w:rFonts w:hint="eastAsia" w:eastAsia="仿宋_GB2312"/>
          <w:sz w:val="32"/>
          <w:szCs w:val="32"/>
        </w:rPr>
        <w:t>我推荐、我评议身边好人</w:t>
      </w:r>
      <w:bookmarkEnd w:id="0"/>
      <w:r>
        <w:rPr>
          <w:rFonts w:hint="eastAsia" w:eastAsia="仿宋_GB2312"/>
          <w:sz w:val="32"/>
          <w:szCs w:val="32"/>
        </w:rPr>
        <w:t>”活动，全年累计向“中国好人榜”推荐好人600余条；组织开展“学雷锋”志愿服务活动8次；深化社会主义核心价值观宣传教育，成功举办阎良区第9期“道德讲堂”示范堂农林局专场活动；开展“讲文明、树新风”公益广告宣传活动，定期在单位醒目位置更新并悬挂精神文明宣传广告牌，先后更换更新户外宣传展板4次20余个；扎实开展“文明乡村，美丽家园”建设活动，围绕“文明乡村，美丽家园”产业帮扶，组织干部爱心捐款7167.6元；全面完成省级文明单位网络复审上报。</w:t>
      </w:r>
    </w:p>
    <w:p>
      <w:pPr>
        <w:spacing w:line="520" w:lineRule="exact"/>
        <w:ind w:firstLine="643" w:firstLineChars="200"/>
        <w:rPr>
          <w:rFonts w:eastAsia="仿宋_GB2312"/>
          <w:sz w:val="32"/>
          <w:szCs w:val="32"/>
        </w:rPr>
      </w:pPr>
      <w:r>
        <w:rPr>
          <w:rFonts w:hint="eastAsia" w:eastAsia="楷体_GB2312"/>
          <w:b/>
          <w:sz w:val="32"/>
          <w:szCs w:val="32"/>
        </w:rPr>
        <w:t>5:贯彻落实“三项机制”，激发工作动力和干部活力。</w:t>
      </w:r>
      <w:r>
        <w:rPr>
          <w:rFonts w:hint="eastAsia" w:eastAsia="仿宋_GB2312"/>
          <w:sz w:val="32"/>
          <w:szCs w:val="32"/>
        </w:rPr>
        <w:t>制定出台了《阎良区农林局贯彻省市区鼓励激励、容错纠错、能上能下“三项机制”的实施办法》，进一步激发了干部职工干事激情，积极开展先进单位、先进个人、先进党支部和优秀共产党员评选活动，对获得先进称号的个人及单位主要负责人，实行优先推荐评优，晋升职务、职称和职级。先后对2016年农业工作中表现突出的17个先进单位、科室和25名先进个人给予通报表彰，对系统11名干部工作岗位进行了调整，把干事有激情、有能力，工作认真负责的同志调整到主要岗位上，充分调动干部干事积极性，推动“三项机制”落地生根。</w:t>
      </w:r>
    </w:p>
    <w:p>
      <w:pPr>
        <w:spacing w:line="520" w:lineRule="exact"/>
        <w:ind w:firstLine="643" w:firstLineChars="200"/>
        <w:rPr>
          <w:rFonts w:eastAsia="仿宋_GB2312"/>
          <w:sz w:val="32"/>
          <w:szCs w:val="32"/>
        </w:rPr>
      </w:pPr>
      <w:r>
        <w:rPr>
          <w:rFonts w:hint="eastAsia" w:eastAsia="楷体_GB2312"/>
          <w:b/>
          <w:sz w:val="32"/>
          <w:szCs w:val="32"/>
        </w:rPr>
        <w:t>6:统筹协调，全面完成其他工作任务</w:t>
      </w:r>
      <w:r>
        <w:rPr>
          <w:rFonts w:eastAsia="楷体_GB2312"/>
          <w:b/>
          <w:sz w:val="32"/>
          <w:szCs w:val="32"/>
        </w:rPr>
        <w:t>。</w:t>
      </w:r>
      <w:r>
        <w:rPr>
          <w:rFonts w:eastAsia="仿宋_GB2312"/>
          <w:bCs/>
          <w:color w:val="000000"/>
          <w:spacing w:val="-8"/>
          <w:kern w:val="0"/>
          <w:sz w:val="32"/>
          <w:szCs w:val="32"/>
        </w:rPr>
        <w:t>扎实开展依法行政工作；严格按照</w:t>
      </w:r>
      <w:r>
        <w:rPr>
          <w:rFonts w:hint="eastAsia" w:eastAsia="仿宋_GB2312"/>
          <w:bCs/>
          <w:color w:val="000000"/>
          <w:spacing w:val="-8"/>
          <w:kern w:val="0"/>
          <w:sz w:val="32"/>
          <w:szCs w:val="32"/>
        </w:rPr>
        <w:t>权责清单</w:t>
      </w:r>
      <w:r>
        <w:rPr>
          <w:rFonts w:eastAsia="仿宋_GB2312"/>
          <w:bCs/>
          <w:color w:val="000000"/>
          <w:spacing w:val="-8"/>
          <w:kern w:val="0"/>
          <w:sz w:val="32"/>
          <w:szCs w:val="32"/>
        </w:rPr>
        <w:t>动态调整的工作要求，对照省市取消和下放的权项对</w:t>
      </w:r>
      <w:r>
        <w:rPr>
          <w:rFonts w:hint="eastAsia" w:eastAsia="仿宋_GB2312"/>
          <w:bCs/>
          <w:color w:val="000000"/>
          <w:spacing w:val="-8"/>
          <w:kern w:val="0"/>
          <w:sz w:val="32"/>
          <w:szCs w:val="32"/>
        </w:rPr>
        <w:t>我局</w:t>
      </w:r>
      <w:r>
        <w:rPr>
          <w:rFonts w:eastAsia="仿宋_GB2312"/>
          <w:bCs/>
          <w:color w:val="000000"/>
          <w:spacing w:val="-8"/>
          <w:kern w:val="0"/>
          <w:sz w:val="32"/>
          <w:szCs w:val="32"/>
        </w:rPr>
        <w:t>权责清单进行动态调整。对农村籍的矫正人员和刑释解教人员进行农业技术指导和培训。</w:t>
      </w:r>
      <w:r>
        <w:rPr>
          <w:rFonts w:eastAsia="仿宋_GB2312"/>
          <w:sz w:val="32"/>
          <w:szCs w:val="32"/>
        </w:rPr>
        <w:t>高度重视安全生产工作，强化督查，按时报送检查台账，</w:t>
      </w:r>
      <w:r>
        <w:rPr>
          <w:rFonts w:hint="eastAsia" w:eastAsia="仿宋_GB2312"/>
          <w:sz w:val="32"/>
          <w:szCs w:val="32"/>
        </w:rPr>
        <w:t>全年</w:t>
      </w:r>
      <w:r>
        <w:rPr>
          <w:rFonts w:eastAsia="仿宋_GB2312"/>
          <w:sz w:val="32"/>
          <w:szCs w:val="32"/>
        </w:rPr>
        <w:t>无安全</w:t>
      </w:r>
      <w:r>
        <w:rPr>
          <w:rFonts w:hint="eastAsia" w:eastAsia="仿宋_GB2312"/>
          <w:sz w:val="32"/>
          <w:szCs w:val="32"/>
        </w:rPr>
        <w:t>责任</w:t>
      </w:r>
      <w:r>
        <w:rPr>
          <w:rFonts w:eastAsia="仿宋_GB2312"/>
          <w:sz w:val="32"/>
          <w:szCs w:val="32"/>
        </w:rPr>
        <w:t>事故发生。</w:t>
      </w:r>
      <w:r>
        <w:rPr>
          <w:rFonts w:hint="eastAsia" w:eastAsia="仿宋_GB2312"/>
          <w:sz w:val="32"/>
          <w:szCs w:val="32"/>
        </w:rPr>
        <w:t>扎实开展“为民服务先锋岗创建”活动。努力当好服务“三农”的“店小二”，为办事群众提供“五星级”服务。全面落实“三亮三比三评”活动内容，进一步提高窗口单位服务质量和效率，培育了一批为民服务优秀窗口和先进个人，确保了“行政效能革命”和“最多跑一次”改革任务的落实。积极配合相关部门落实“路长制”、“河长制”等工作任务，确保将城市管理工作任务和最严格水资源管理制度落到实处。积极配合相关部门做好农业项目建设中的文物保护工作。</w:t>
      </w:r>
      <w:r>
        <w:rPr>
          <w:rFonts w:eastAsia="仿宋_GB2312"/>
          <w:bCs/>
          <w:color w:val="000000"/>
          <w:spacing w:val="-8"/>
          <w:kern w:val="0"/>
          <w:sz w:val="32"/>
          <w:szCs w:val="32"/>
        </w:rPr>
        <w:t>认真办理人大代表议案建议、政协委员提案</w:t>
      </w:r>
      <w:r>
        <w:rPr>
          <w:rFonts w:hint="eastAsia" w:eastAsia="仿宋_GB2312"/>
          <w:bCs/>
          <w:color w:val="000000"/>
          <w:spacing w:val="-8"/>
          <w:kern w:val="0"/>
          <w:sz w:val="32"/>
          <w:szCs w:val="32"/>
        </w:rPr>
        <w:t>，</w:t>
      </w:r>
      <w:r>
        <w:rPr>
          <w:rFonts w:eastAsia="仿宋_GB2312"/>
          <w:bCs/>
          <w:color w:val="000000"/>
          <w:spacing w:val="-8"/>
          <w:kern w:val="0"/>
          <w:sz w:val="32"/>
          <w:szCs w:val="32"/>
        </w:rPr>
        <w:t>办复率、满意率、见面率、回复率达到100%。</w:t>
      </w:r>
      <w:r>
        <w:rPr>
          <w:rFonts w:hint="eastAsia" w:eastAsia="仿宋_GB2312"/>
          <w:bCs/>
          <w:color w:val="000000"/>
          <w:spacing w:val="-8"/>
          <w:kern w:val="0"/>
          <w:sz w:val="32"/>
          <w:szCs w:val="32"/>
        </w:rPr>
        <w:t>高度重视维稳信访工作，</w:t>
      </w:r>
      <w:r>
        <w:rPr>
          <w:rFonts w:eastAsia="仿宋_GB2312"/>
          <w:bCs/>
          <w:color w:val="000000"/>
          <w:spacing w:val="-8"/>
          <w:kern w:val="0"/>
          <w:sz w:val="32"/>
          <w:szCs w:val="32"/>
        </w:rPr>
        <w:t>积极</w:t>
      </w:r>
      <w:r>
        <w:rPr>
          <w:rFonts w:eastAsia="仿宋_GB2312"/>
          <w:sz w:val="32"/>
          <w:szCs w:val="32"/>
        </w:rPr>
        <w:t>开展</w:t>
      </w:r>
      <w:r>
        <w:rPr>
          <w:rFonts w:hint="eastAsia" w:eastAsia="仿宋_GB2312"/>
          <w:sz w:val="32"/>
          <w:szCs w:val="32"/>
        </w:rPr>
        <w:t>“信访工作责任落实年”</w:t>
      </w:r>
      <w:r>
        <w:rPr>
          <w:rFonts w:eastAsia="仿宋_GB2312"/>
          <w:sz w:val="32"/>
          <w:szCs w:val="32"/>
        </w:rPr>
        <w:t>活动，信访工作责任全面夯实</w:t>
      </w:r>
      <w:r>
        <w:rPr>
          <w:rFonts w:hint="eastAsia" w:eastAsia="仿宋_GB2312"/>
          <w:sz w:val="32"/>
          <w:szCs w:val="32"/>
        </w:rPr>
        <w:t>，</w:t>
      </w:r>
      <w:r>
        <w:rPr>
          <w:rFonts w:eastAsia="仿宋_GB2312"/>
          <w:sz w:val="32"/>
          <w:szCs w:val="32"/>
        </w:rPr>
        <w:t>全力维护社会稳定，信访件登记率100%，实体性受理率100%，自办、转送、交办回复率100%。</w:t>
      </w:r>
    </w:p>
    <w:p>
      <w:pPr>
        <w:pStyle w:val="4"/>
        <w:shd w:val="clear" w:color="auto" w:fill="FFFFFF"/>
        <w:spacing w:before="0" w:beforeAutospacing="0" w:after="0" w:afterAutospacing="0" w:line="560" w:lineRule="exact"/>
        <w:ind w:firstLine="640" w:firstLineChars="200"/>
        <w:rPr>
          <w:rStyle w:val="8"/>
          <w:rFonts w:ascii="黑体" w:eastAsia="黑体" w:cs="黑体"/>
          <w:b w:val="0"/>
          <w:color w:val="000000"/>
          <w:sz w:val="32"/>
          <w:szCs w:val="32"/>
        </w:rPr>
      </w:pPr>
      <w:r>
        <w:rPr>
          <w:rStyle w:val="8"/>
          <w:rFonts w:hint="eastAsia" w:ascii="黑体" w:eastAsia="黑体" w:cs="黑体"/>
          <w:b w:val="0"/>
          <w:color w:val="000000"/>
          <w:sz w:val="32"/>
          <w:szCs w:val="32"/>
        </w:rPr>
        <w:t>五、部门决算收支情况说明</w:t>
      </w:r>
    </w:p>
    <w:p>
      <w:pPr>
        <w:spacing w:line="560" w:lineRule="exact"/>
        <w:ind w:firstLine="422" w:firstLineChars="200"/>
        <w:rPr>
          <w:rFonts w:ascii="楷体_GB2312" w:hAnsi="楷体_GB2312" w:eastAsia="楷体_GB2312" w:cs="楷体_GB2312"/>
          <w:b/>
          <w:bCs/>
          <w:sz w:val="32"/>
          <w:szCs w:val="32"/>
        </w:rPr>
      </w:pPr>
      <w:r>
        <w:rPr>
          <w:rFonts w:hint="eastAsia" w:ascii="楷体_GB2312" w:hAnsi="楷体_GB2312" w:eastAsia="楷体_GB2312" w:cs="楷体_GB2312"/>
          <w:b/>
          <w:bCs/>
          <w:szCs w:val="32"/>
        </w:rPr>
        <w:t>（</w:t>
      </w:r>
      <w:r>
        <w:rPr>
          <w:rFonts w:hint="eastAsia" w:ascii="楷体_GB2312" w:hAnsi="楷体_GB2312" w:eastAsia="楷体_GB2312" w:cs="楷体_GB2312"/>
          <w:b/>
          <w:bCs/>
          <w:sz w:val="32"/>
          <w:szCs w:val="32"/>
        </w:rPr>
        <w:t>一）</w:t>
      </w:r>
      <w:r>
        <w:rPr>
          <w:rFonts w:ascii="楷体_GB2312" w:hAnsi="楷体_GB2312" w:eastAsia="楷体_GB2312" w:cs="楷体_GB2312"/>
          <w:b/>
          <w:bCs/>
          <w:sz w:val="32"/>
          <w:szCs w:val="32"/>
        </w:rPr>
        <w:t>2017</w:t>
      </w:r>
      <w:r>
        <w:rPr>
          <w:rFonts w:hint="eastAsia" w:ascii="楷体_GB2312" w:hAnsi="楷体_GB2312" w:eastAsia="楷体_GB2312" w:cs="楷体_GB2312"/>
          <w:b/>
          <w:bCs/>
          <w:sz w:val="32"/>
          <w:szCs w:val="32"/>
        </w:rPr>
        <w:t>年度收入支出总体情况说明</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1.</w:t>
      </w:r>
      <w:r>
        <w:rPr>
          <w:rFonts w:hint="eastAsia" w:ascii="仿宋_GB2312" w:hAnsi="华文仿宋" w:eastAsia="仿宋_GB2312" w:cs="华文仿宋"/>
          <w:sz w:val="32"/>
          <w:szCs w:val="32"/>
        </w:rPr>
        <w:t>本年度收入支出总体情况</w:t>
      </w:r>
    </w:p>
    <w:p>
      <w:pPr>
        <w:pStyle w:val="4"/>
        <w:spacing w:line="520" w:lineRule="exact"/>
        <w:ind w:firstLine="640" w:firstLineChars="200"/>
        <w:rPr>
          <w:rFonts w:ascii="仿宋_GB2312" w:eastAsia="仿宋_GB2312"/>
          <w:sz w:val="32"/>
          <w:szCs w:val="32"/>
        </w:rPr>
      </w:pPr>
      <w:r>
        <w:rPr>
          <w:rFonts w:hint="eastAsia" w:ascii="仿宋_GB2312" w:eastAsia="仿宋_GB2312"/>
          <w:sz w:val="32"/>
          <w:szCs w:val="32"/>
        </w:rPr>
        <w:t>（1）2017年度本年收入合计10820.78万元，较上年增加 3695.21万元，主要原因一是人员费用(调资等）增加，二是项目收入增加.</w:t>
      </w:r>
    </w:p>
    <w:p>
      <w:pPr>
        <w:pStyle w:val="4"/>
        <w:spacing w:line="520" w:lineRule="exact"/>
        <w:ind w:firstLine="640" w:firstLineChars="200"/>
        <w:rPr>
          <w:rFonts w:ascii="仿宋_GB2312" w:eastAsia="仿宋_GB2312"/>
          <w:sz w:val="32"/>
          <w:szCs w:val="32"/>
        </w:rPr>
      </w:pPr>
      <w:r>
        <w:rPr>
          <w:rFonts w:hint="eastAsia" w:ascii="仿宋_GB2312" w:eastAsia="仿宋_GB2312"/>
          <w:sz w:val="32"/>
          <w:szCs w:val="32"/>
        </w:rPr>
        <w:t>（2）2017年度本年支出合计9414.27万元，比上年增加 447.07 万元，主要原因一是人员费用支出增加，二是项目支出增加.</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2.</w:t>
      </w:r>
      <w:r>
        <w:rPr>
          <w:rFonts w:hint="eastAsia" w:ascii="仿宋_GB2312" w:hAnsi="华文仿宋" w:eastAsia="仿宋_GB2312" w:cs="华文仿宋"/>
          <w:sz w:val="32"/>
          <w:szCs w:val="32"/>
        </w:rPr>
        <w:t>本年收入构成情况（并用图表进行辅助说明）</w:t>
      </w:r>
    </w:p>
    <w:p>
      <w:pPr>
        <w:pStyle w:val="4"/>
        <w:shd w:val="clear" w:color="auto" w:fill="FFFFFF"/>
        <w:spacing w:line="520" w:lineRule="exact"/>
        <w:ind w:firstLine="640" w:firstLineChars="200"/>
        <w:rPr>
          <w:rFonts w:ascii="仿宋_GB2312" w:eastAsia="仿宋_GB2312"/>
          <w:sz w:val="32"/>
          <w:szCs w:val="32"/>
        </w:rPr>
      </w:pPr>
      <w:r>
        <w:rPr>
          <w:rFonts w:hint="eastAsia" w:ascii="仿宋_GB2312" w:eastAsia="仿宋_GB2312"/>
          <w:sz w:val="32"/>
          <w:szCs w:val="32"/>
        </w:rPr>
        <w:t>2017年本年收入合计10820.78万元。其中:</w:t>
      </w:r>
    </w:p>
    <w:p>
      <w:pPr>
        <w:pStyle w:val="4"/>
        <w:shd w:val="clear" w:color="auto" w:fill="FFFFFF"/>
        <w:spacing w:line="520" w:lineRule="exact"/>
        <w:ind w:firstLine="640" w:firstLineChars="200"/>
        <w:rPr>
          <w:rFonts w:ascii="仿宋_GB2312" w:eastAsia="仿宋_GB2312"/>
          <w:color w:val="000000"/>
          <w:sz w:val="32"/>
          <w:szCs w:val="32"/>
        </w:rPr>
      </w:pPr>
      <w:r>
        <w:rPr>
          <w:rFonts w:hint="eastAsia" w:ascii="仿宋_GB2312" w:eastAsia="仿宋_GB2312"/>
          <w:sz w:val="32"/>
          <w:szCs w:val="32"/>
        </w:rPr>
        <w:t>财政拨款10820.78万元，占总收入的77.%，包括一般公共预算财政拨款10820.78万元、政府性基金预算财政拨款0万元。事业收入0万元;经营收入0万元;其他收入0万元</w:t>
      </w:r>
    </w:p>
    <w:p>
      <w:pPr>
        <w:pStyle w:val="4"/>
        <w:shd w:val="clear" w:color="auto" w:fill="FFFFFF"/>
        <w:spacing w:line="520" w:lineRule="exact"/>
        <w:ind w:firstLine="2570" w:firstLineChars="800"/>
        <w:rPr>
          <w:rFonts w:ascii="仿宋_GB2312" w:eastAsia="仿宋_GB2312"/>
          <w:b/>
          <w:bCs/>
          <w:color w:val="000000"/>
          <w:sz w:val="32"/>
          <w:szCs w:val="32"/>
        </w:rPr>
      </w:pPr>
      <w:r>
        <w:rPr>
          <w:rFonts w:hint="eastAsia" w:ascii="仿宋_GB2312" w:eastAsia="仿宋_GB2312"/>
          <w:b/>
          <w:bCs/>
          <w:color w:val="000000"/>
          <w:sz w:val="32"/>
          <w:szCs w:val="32"/>
        </w:rPr>
        <w:t>2017年收入构成图</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604"/>
        <w:gridCol w:w="2070"/>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pStyle w:val="4"/>
              <w:spacing w:before="0" w:beforeAutospacing="0" w:after="0" w:afterAutospacing="0" w:line="560" w:lineRule="exact"/>
              <w:rPr>
                <w:rFonts w:ascii="仿宋_GB2312" w:hAnsi="华文仿宋" w:eastAsia="仿宋_GB2312" w:cs="华文仿宋"/>
                <w:sz w:val="32"/>
                <w:szCs w:val="32"/>
              </w:rPr>
            </w:pPr>
            <w:r>
              <w:rPr>
                <w:rFonts w:hint="eastAsia" w:ascii="仿宋_GB2312" w:hAnsi="华文仿宋" w:eastAsia="仿宋_GB2312" w:cs="华文仿宋"/>
                <w:sz w:val="32"/>
                <w:szCs w:val="32"/>
              </w:rPr>
              <w:t>序号</w:t>
            </w:r>
          </w:p>
        </w:tc>
        <w:tc>
          <w:tcPr>
            <w:tcW w:w="2604" w:type="dxa"/>
          </w:tcPr>
          <w:p>
            <w:pPr>
              <w:pStyle w:val="4"/>
              <w:spacing w:before="0" w:beforeAutospacing="0" w:after="0" w:afterAutospacing="0" w:line="560" w:lineRule="exact"/>
              <w:rPr>
                <w:rFonts w:ascii="仿宋_GB2312" w:hAnsi="华文仿宋" w:eastAsia="仿宋_GB2312" w:cs="华文仿宋"/>
                <w:sz w:val="32"/>
                <w:szCs w:val="32"/>
              </w:rPr>
            </w:pPr>
            <w:r>
              <w:rPr>
                <w:rFonts w:hint="eastAsia" w:ascii="仿宋_GB2312" w:hAnsi="华文仿宋" w:eastAsia="仿宋_GB2312" w:cs="华文仿宋"/>
                <w:sz w:val="32"/>
                <w:szCs w:val="32"/>
              </w:rPr>
              <w:t>收入名称</w:t>
            </w:r>
          </w:p>
        </w:tc>
        <w:tc>
          <w:tcPr>
            <w:tcW w:w="2070" w:type="dxa"/>
          </w:tcPr>
          <w:p>
            <w:pPr>
              <w:pStyle w:val="4"/>
              <w:spacing w:before="0" w:beforeAutospacing="0" w:after="0" w:afterAutospacing="0" w:line="560" w:lineRule="exact"/>
              <w:rPr>
                <w:rFonts w:ascii="仿宋_GB2312" w:hAnsi="华文仿宋" w:eastAsia="仿宋_GB2312" w:cs="华文仿宋"/>
                <w:sz w:val="32"/>
                <w:szCs w:val="32"/>
              </w:rPr>
            </w:pPr>
            <w:r>
              <w:rPr>
                <w:rFonts w:hint="eastAsia" w:ascii="仿宋_GB2312" w:hAnsi="华文仿宋" w:eastAsia="仿宋_GB2312" w:cs="华文仿宋"/>
                <w:sz w:val="32"/>
                <w:szCs w:val="32"/>
              </w:rPr>
              <w:t>金额（万元）</w:t>
            </w:r>
          </w:p>
        </w:tc>
        <w:tc>
          <w:tcPr>
            <w:tcW w:w="1718" w:type="dxa"/>
          </w:tcPr>
          <w:p>
            <w:pPr>
              <w:pStyle w:val="4"/>
              <w:spacing w:before="0" w:beforeAutospacing="0" w:after="0" w:afterAutospacing="0" w:line="560" w:lineRule="exact"/>
              <w:rPr>
                <w:rFonts w:ascii="仿宋_GB2312" w:hAnsi="华文仿宋" w:eastAsia="仿宋_GB2312" w:cs="华文仿宋"/>
                <w:sz w:val="32"/>
                <w:szCs w:val="32"/>
              </w:rPr>
            </w:pPr>
            <w:r>
              <w:rPr>
                <w:rFonts w:hint="eastAsia" w:ascii="仿宋_GB2312" w:hAnsi="华文仿宋" w:eastAsia="仿宋_GB2312" w:cs="华文仿宋"/>
                <w:sz w:val="32"/>
                <w:szCs w:val="32"/>
              </w:rPr>
              <w:t>占总收入%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pStyle w:val="4"/>
              <w:spacing w:before="0" w:beforeAutospacing="0" w:after="0" w:afterAutospacing="0" w:line="560" w:lineRule="exact"/>
              <w:rPr>
                <w:rFonts w:ascii="仿宋_GB2312" w:hAnsi="华文仿宋" w:eastAsia="仿宋_GB2312" w:cs="华文仿宋"/>
                <w:sz w:val="32"/>
                <w:szCs w:val="32"/>
              </w:rPr>
            </w:pPr>
            <w:r>
              <w:rPr>
                <w:rFonts w:hint="eastAsia" w:ascii="仿宋_GB2312" w:hAnsi="华文仿宋" w:eastAsia="仿宋_GB2312" w:cs="华文仿宋"/>
                <w:sz w:val="32"/>
                <w:szCs w:val="32"/>
              </w:rPr>
              <w:t>1</w:t>
            </w:r>
          </w:p>
        </w:tc>
        <w:tc>
          <w:tcPr>
            <w:tcW w:w="2604" w:type="dxa"/>
          </w:tcPr>
          <w:p>
            <w:pPr>
              <w:pStyle w:val="4"/>
              <w:spacing w:before="0" w:beforeAutospacing="0" w:after="0" w:afterAutospacing="0" w:line="560" w:lineRule="exact"/>
              <w:rPr>
                <w:rFonts w:ascii="仿宋_GB2312" w:hAnsi="华文仿宋" w:eastAsia="仿宋_GB2312" w:cs="华文仿宋"/>
                <w:sz w:val="32"/>
                <w:szCs w:val="32"/>
              </w:rPr>
            </w:pPr>
            <w:r>
              <w:rPr>
                <w:rFonts w:hint="eastAsia" w:ascii="仿宋_GB2312" w:hAnsi="华文仿宋" w:eastAsia="仿宋_GB2312" w:cs="华文仿宋"/>
                <w:sz w:val="32"/>
                <w:szCs w:val="32"/>
              </w:rPr>
              <w:t>财政拨款</w:t>
            </w:r>
          </w:p>
        </w:tc>
        <w:tc>
          <w:tcPr>
            <w:tcW w:w="2070" w:type="dxa"/>
          </w:tcPr>
          <w:p>
            <w:pPr>
              <w:pStyle w:val="4"/>
              <w:spacing w:before="0" w:beforeAutospacing="0" w:after="0" w:afterAutospacing="0" w:line="560" w:lineRule="exact"/>
              <w:rPr>
                <w:rFonts w:ascii="仿宋_GB2312" w:hAnsi="华文仿宋" w:eastAsia="仿宋_GB2312" w:cs="华文仿宋"/>
                <w:sz w:val="32"/>
                <w:szCs w:val="32"/>
              </w:rPr>
            </w:pPr>
            <w:r>
              <w:rPr>
                <w:rFonts w:hint="eastAsia" w:ascii="仿宋_GB2312" w:eastAsia="仿宋_GB2312"/>
                <w:sz w:val="32"/>
                <w:szCs w:val="32"/>
              </w:rPr>
              <w:t>10820.78</w:t>
            </w:r>
          </w:p>
        </w:tc>
        <w:tc>
          <w:tcPr>
            <w:tcW w:w="1718" w:type="dxa"/>
          </w:tcPr>
          <w:p>
            <w:pPr>
              <w:pStyle w:val="4"/>
              <w:spacing w:before="0" w:beforeAutospacing="0" w:after="0" w:afterAutospacing="0" w:line="560" w:lineRule="exact"/>
              <w:rPr>
                <w:rFonts w:ascii="仿宋_GB2312" w:hAnsi="华文仿宋" w:eastAsia="仿宋_GB2312" w:cs="华文仿宋"/>
                <w:sz w:val="32"/>
                <w:szCs w:val="32"/>
              </w:rPr>
            </w:pPr>
            <w:r>
              <w:rPr>
                <w:rFonts w:hint="eastAsia" w:ascii="仿宋_GB2312" w:hAnsi="华文仿宋" w:eastAsia="仿宋_GB2312" w:cs="华文仿宋"/>
                <w:sz w:val="32"/>
                <w:szCs w:val="3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pStyle w:val="4"/>
              <w:spacing w:before="0" w:beforeAutospacing="0" w:after="0" w:afterAutospacing="0" w:line="560" w:lineRule="exact"/>
              <w:rPr>
                <w:rFonts w:ascii="仿宋_GB2312" w:hAnsi="华文仿宋" w:eastAsia="仿宋_GB2312" w:cs="华文仿宋"/>
                <w:sz w:val="32"/>
                <w:szCs w:val="32"/>
              </w:rPr>
            </w:pPr>
            <w:r>
              <w:rPr>
                <w:rFonts w:hint="eastAsia" w:ascii="仿宋_GB2312" w:hAnsi="华文仿宋" w:eastAsia="仿宋_GB2312" w:cs="华文仿宋"/>
                <w:sz w:val="32"/>
                <w:szCs w:val="32"/>
              </w:rPr>
              <w:t>2</w:t>
            </w:r>
          </w:p>
        </w:tc>
        <w:tc>
          <w:tcPr>
            <w:tcW w:w="2604" w:type="dxa"/>
          </w:tcPr>
          <w:p>
            <w:pPr>
              <w:pStyle w:val="4"/>
              <w:spacing w:before="0" w:beforeAutospacing="0" w:after="0" w:afterAutospacing="0" w:line="560" w:lineRule="exact"/>
              <w:rPr>
                <w:rFonts w:ascii="仿宋_GB2312" w:hAnsi="华文仿宋" w:eastAsia="仿宋_GB2312" w:cs="华文仿宋"/>
                <w:sz w:val="32"/>
                <w:szCs w:val="32"/>
              </w:rPr>
            </w:pPr>
            <w:r>
              <w:rPr>
                <w:rFonts w:hint="eastAsia" w:ascii="仿宋_GB2312" w:hAnsi="华文仿宋" w:eastAsia="仿宋_GB2312" w:cs="华文仿宋"/>
                <w:sz w:val="32"/>
                <w:szCs w:val="32"/>
              </w:rPr>
              <w:t>事业收入</w:t>
            </w:r>
          </w:p>
        </w:tc>
        <w:tc>
          <w:tcPr>
            <w:tcW w:w="2070" w:type="dxa"/>
          </w:tcPr>
          <w:p>
            <w:pPr>
              <w:pStyle w:val="4"/>
              <w:spacing w:before="0" w:beforeAutospacing="0" w:after="0" w:afterAutospacing="0" w:line="560" w:lineRule="exact"/>
              <w:rPr>
                <w:rFonts w:ascii="仿宋_GB2312" w:hAnsi="华文仿宋" w:eastAsia="仿宋_GB2312" w:cs="华文仿宋"/>
                <w:sz w:val="32"/>
                <w:szCs w:val="32"/>
              </w:rPr>
            </w:pPr>
            <w:r>
              <w:rPr>
                <w:rFonts w:hint="eastAsia" w:ascii="仿宋_GB2312" w:hAnsi="华文仿宋" w:eastAsia="仿宋_GB2312" w:cs="华文仿宋"/>
                <w:sz w:val="32"/>
                <w:szCs w:val="32"/>
              </w:rPr>
              <w:t>0</w:t>
            </w:r>
          </w:p>
        </w:tc>
        <w:tc>
          <w:tcPr>
            <w:tcW w:w="1718" w:type="dxa"/>
          </w:tcPr>
          <w:p>
            <w:pPr>
              <w:pStyle w:val="4"/>
              <w:spacing w:before="0" w:beforeAutospacing="0" w:after="0" w:afterAutospacing="0" w:line="560" w:lineRule="exact"/>
              <w:rPr>
                <w:rFonts w:ascii="仿宋_GB2312" w:hAnsi="华文仿宋" w:eastAsia="仿宋_GB2312" w:cs="华文仿宋"/>
                <w:sz w:val="32"/>
                <w:szCs w:val="32"/>
              </w:rPr>
            </w:pPr>
            <w:r>
              <w:rPr>
                <w:rFonts w:hint="eastAsia" w:ascii="仿宋_GB2312" w:hAnsi="华文仿宋" w:eastAsia="仿宋_GB2312" w:cs="华文仿宋"/>
                <w:sz w:val="32"/>
                <w:szCs w:val="3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pStyle w:val="4"/>
              <w:spacing w:before="0" w:beforeAutospacing="0" w:after="0" w:afterAutospacing="0" w:line="560" w:lineRule="exact"/>
              <w:rPr>
                <w:rFonts w:ascii="仿宋_GB2312" w:hAnsi="华文仿宋" w:eastAsia="仿宋_GB2312" w:cs="华文仿宋"/>
                <w:sz w:val="32"/>
                <w:szCs w:val="32"/>
              </w:rPr>
            </w:pPr>
            <w:r>
              <w:rPr>
                <w:rFonts w:hint="eastAsia" w:ascii="仿宋_GB2312" w:hAnsi="华文仿宋" w:eastAsia="仿宋_GB2312" w:cs="华文仿宋"/>
                <w:sz w:val="32"/>
                <w:szCs w:val="32"/>
              </w:rPr>
              <w:t>3</w:t>
            </w:r>
          </w:p>
        </w:tc>
        <w:tc>
          <w:tcPr>
            <w:tcW w:w="2604" w:type="dxa"/>
          </w:tcPr>
          <w:p>
            <w:pPr>
              <w:pStyle w:val="4"/>
              <w:spacing w:before="0" w:beforeAutospacing="0" w:after="0" w:afterAutospacing="0" w:line="560" w:lineRule="exact"/>
              <w:rPr>
                <w:rFonts w:ascii="仿宋_GB2312" w:hAnsi="华文仿宋" w:eastAsia="仿宋_GB2312" w:cs="华文仿宋"/>
                <w:sz w:val="32"/>
                <w:szCs w:val="32"/>
              </w:rPr>
            </w:pPr>
            <w:r>
              <w:rPr>
                <w:rFonts w:hint="eastAsia" w:ascii="仿宋_GB2312" w:hAnsi="华文仿宋" w:eastAsia="仿宋_GB2312" w:cs="华文仿宋"/>
                <w:sz w:val="32"/>
                <w:szCs w:val="32"/>
              </w:rPr>
              <w:t>其他收入</w:t>
            </w:r>
          </w:p>
        </w:tc>
        <w:tc>
          <w:tcPr>
            <w:tcW w:w="2070" w:type="dxa"/>
          </w:tcPr>
          <w:p>
            <w:pPr>
              <w:pStyle w:val="4"/>
              <w:spacing w:before="0" w:beforeAutospacing="0" w:after="0" w:afterAutospacing="0" w:line="560" w:lineRule="exact"/>
              <w:rPr>
                <w:rFonts w:ascii="仿宋_GB2312" w:hAnsi="华文仿宋" w:eastAsia="仿宋_GB2312" w:cs="华文仿宋"/>
                <w:sz w:val="32"/>
                <w:szCs w:val="32"/>
              </w:rPr>
            </w:pPr>
            <w:r>
              <w:rPr>
                <w:rFonts w:hint="eastAsia" w:ascii="仿宋_GB2312" w:hAnsi="华文仿宋" w:eastAsia="仿宋_GB2312" w:cs="华文仿宋"/>
                <w:sz w:val="32"/>
                <w:szCs w:val="32"/>
              </w:rPr>
              <w:t>0</w:t>
            </w:r>
          </w:p>
        </w:tc>
        <w:tc>
          <w:tcPr>
            <w:tcW w:w="1718" w:type="dxa"/>
          </w:tcPr>
          <w:p>
            <w:pPr>
              <w:pStyle w:val="4"/>
              <w:spacing w:before="0" w:beforeAutospacing="0" w:after="0" w:afterAutospacing="0" w:line="560" w:lineRule="exact"/>
              <w:rPr>
                <w:rFonts w:ascii="仿宋_GB2312" w:hAnsi="华文仿宋" w:eastAsia="仿宋_GB2312" w:cs="华文仿宋"/>
                <w:sz w:val="32"/>
                <w:szCs w:val="32"/>
              </w:rPr>
            </w:pPr>
            <w:r>
              <w:rPr>
                <w:rFonts w:hint="eastAsia" w:ascii="仿宋_GB2312" w:hAnsi="华文仿宋" w:eastAsia="仿宋_GB2312" w:cs="华文仿宋"/>
                <w:sz w:val="32"/>
                <w:szCs w:val="3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pStyle w:val="4"/>
              <w:spacing w:before="0" w:beforeAutospacing="0" w:after="0" w:afterAutospacing="0" w:line="560" w:lineRule="exact"/>
              <w:rPr>
                <w:rFonts w:ascii="仿宋_GB2312" w:hAnsi="华文仿宋" w:eastAsia="仿宋_GB2312" w:cs="华文仿宋"/>
                <w:sz w:val="32"/>
                <w:szCs w:val="32"/>
              </w:rPr>
            </w:pPr>
            <w:r>
              <w:rPr>
                <w:rFonts w:hint="eastAsia" w:ascii="仿宋_GB2312" w:hAnsi="华文仿宋" w:eastAsia="仿宋_GB2312" w:cs="华文仿宋"/>
                <w:sz w:val="32"/>
                <w:szCs w:val="32"/>
              </w:rPr>
              <w:t>合计</w:t>
            </w:r>
          </w:p>
        </w:tc>
        <w:tc>
          <w:tcPr>
            <w:tcW w:w="2604" w:type="dxa"/>
          </w:tcPr>
          <w:p>
            <w:pPr>
              <w:pStyle w:val="4"/>
              <w:spacing w:before="0" w:beforeAutospacing="0" w:after="0" w:afterAutospacing="0" w:line="560" w:lineRule="exact"/>
              <w:rPr>
                <w:rFonts w:ascii="仿宋_GB2312" w:hAnsi="华文仿宋" w:eastAsia="仿宋_GB2312" w:cs="华文仿宋"/>
                <w:sz w:val="32"/>
                <w:szCs w:val="32"/>
              </w:rPr>
            </w:pPr>
          </w:p>
        </w:tc>
        <w:tc>
          <w:tcPr>
            <w:tcW w:w="2070" w:type="dxa"/>
          </w:tcPr>
          <w:p>
            <w:pPr>
              <w:pStyle w:val="4"/>
              <w:spacing w:before="0" w:beforeAutospacing="0" w:after="0" w:afterAutospacing="0" w:line="560" w:lineRule="exact"/>
              <w:rPr>
                <w:rFonts w:ascii="仿宋_GB2312" w:hAnsi="华文仿宋" w:eastAsia="仿宋_GB2312" w:cs="华文仿宋"/>
                <w:sz w:val="32"/>
                <w:szCs w:val="32"/>
              </w:rPr>
            </w:pPr>
            <w:r>
              <w:rPr>
                <w:rFonts w:hint="eastAsia" w:ascii="仿宋_GB2312" w:eastAsia="仿宋_GB2312"/>
                <w:sz w:val="32"/>
                <w:szCs w:val="32"/>
              </w:rPr>
              <w:t>10820.78</w:t>
            </w:r>
          </w:p>
        </w:tc>
        <w:tc>
          <w:tcPr>
            <w:tcW w:w="1718" w:type="dxa"/>
          </w:tcPr>
          <w:p>
            <w:pPr>
              <w:pStyle w:val="4"/>
              <w:spacing w:before="0" w:beforeAutospacing="0" w:after="0" w:afterAutospacing="0" w:line="560" w:lineRule="exact"/>
              <w:rPr>
                <w:rFonts w:ascii="仿宋_GB2312" w:hAnsi="华文仿宋" w:eastAsia="仿宋_GB2312" w:cs="华文仿宋"/>
                <w:sz w:val="32"/>
                <w:szCs w:val="32"/>
              </w:rPr>
            </w:pPr>
          </w:p>
        </w:tc>
      </w:tr>
    </w:tbl>
    <w:p>
      <w:pPr>
        <w:pStyle w:val="4"/>
        <w:spacing w:before="0" w:beforeAutospacing="0" w:after="0" w:afterAutospacing="0" w:line="560" w:lineRule="exact"/>
        <w:rPr>
          <w:rFonts w:ascii="仿宋_GB2312" w:hAnsi="华文仿宋" w:eastAsia="仿宋_GB2312" w:cs="华文仿宋"/>
          <w:sz w:val="32"/>
          <w:szCs w:val="32"/>
        </w:rPr>
      </w:pP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3.</w:t>
      </w:r>
      <w:r>
        <w:rPr>
          <w:rFonts w:hint="eastAsia" w:ascii="仿宋_GB2312" w:hAnsi="华文仿宋" w:eastAsia="仿宋_GB2312" w:cs="华文仿宋"/>
          <w:sz w:val="32"/>
          <w:szCs w:val="32"/>
        </w:rPr>
        <w:t>本年支出构成情况（并用图表进行辅助说明）</w:t>
      </w:r>
    </w:p>
    <w:p>
      <w:pPr>
        <w:pStyle w:val="4"/>
        <w:spacing w:line="520" w:lineRule="exact"/>
        <w:ind w:firstLine="640" w:firstLineChars="200"/>
        <w:rPr>
          <w:rFonts w:ascii="仿宋_GB2312" w:eastAsia="仿宋_GB2312"/>
          <w:sz w:val="32"/>
          <w:szCs w:val="32"/>
        </w:rPr>
      </w:pPr>
      <w:r>
        <w:rPr>
          <w:rFonts w:hint="eastAsia" w:ascii="仿宋_GB2312" w:eastAsia="仿宋_GB2312"/>
          <w:sz w:val="32"/>
          <w:szCs w:val="32"/>
        </w:rPr>
        <w:t>2017年本年支出合计9414.27万元。其中:</w:t>
      </w:r>
    </w:p>
    <w:p>
      <w:pPr>
        <w:pStyle w:val="4"/>
        <w:spacing w:line="520" w:lineRule="exact"/>
        <w:ind w:firstLine="640" w:firstLineChars="200"/>
        <w:rPr>
          <w:rFonts w:ascii="仿宋_GB2312" w:eastAsia="仿宋_GB2312"/>
          <w:sz w:val="32"/>
          <w:szCs w:val="32"/>
        </w:rPr>
      </w:pPr>
      <w:r>
        <w:rPr>
          <w:rFonts w:hint="eastAsia" w:ascii="仿宋_GB2312" w:eastAsia="仿宋_GB2312"/>
          <w:sz w:val="32"/>
          <w:szCs w:val="32"/>
        </w:rPr>
        <w:t>（1）基本支出1518.43万元，占总支出的16.12%，是为保障机构正常运转、完成日常工作任务而发生的各项支出，包括人员经费1388.32万元和公用经费130.11万元。</w:t>
      </w:r>
    </w:p>
    <w:p>
      <w:pPr>
        <w:pStyle w:val="4"/>
        <w:spacing w:line="520" w:lineRule="exact"/>
        <w:ind w:firstLine="640" w:firstLineChars="200"/>
        <w:rPr>
          <w:rFonts w:ascii="仿宋_GB2312" w:eastAsia="仿宋_GB2312"/>
          <w:sz w:val="32"/>
          <w:szCs w:val="32"/>
        </w:rPr>
      </w:pPr>
      <w:r>
        <w:rPr>
          <w:rFonts w:hint="eastAsia" w:ascii="仿宋_GB2312" w:eastAsia="仿宋_GB2312"/>
          <w:sz w:val="32"/>
          <w:szCs w:val="32"/>
        </w:rPr>
        <w:t>（2）项目支出7895.84万元，占总支出的83.88%，是为完成特定的工作任务或事业发展目标，在基本支出之外发生的支出。主要包括农业项目6120.13万元、林业项目897.3万元、扶贫60万元、农业综合开发809万元、农村综合改革6.41万元、其他农林水支出3万元。</w:t>
      </w:r>
    </w:p>
    <w:p>
      <w:pPr>
        <w:pStyle w:val="4"/>
        <w:spacing w:before="0" w:beforeAutospacing="0" w:after="0" w:afterAutospacing="0" w:line="560" w:lineRule="exact"/>
        <w:ind w:firstLine="2249" w:firstLineChars="700"/>
        <w:rPr>
          <w:rFonts w:ascii="仿宋_GB2312" w:hAnsi="华文仿宋" w:eastAsia="仿宋_GB2312" w:cs="华文仿宋"/>
          <w:b/>
          <w:bCs/>
          <w:sz w:val="32"/>
          <w:szCs w:val="32"/>
        </w:rPr>
      </w:pPr>
      <w:r>
        <w:rPr>
          <w:rFonts w:hint="eastAsia" w:ascii="仿宋_GB2312" w:hAnsi="华文仿宋" w:eastAsia="仿宋_GB2312" w:cs="华文仿宋"/>
          <w:b/>
          <w:bCs/>
          <w:sz w:val="32"/>
          <w:szCs w:val="32"/>
        </w:rPr>
        <w:t>2017年支出构成图</w:t>
      </w:r>
    </w:p>
    <w:tbl>
      <w:tblPr>
        <w:tblStyle w:val="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1995"/>
        <w:gridCol w:w="2880"/>
        <w:gridCol w:w="1875"/>
        <w:gridCol w:w="1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序号</w:t>
            </w:r>
          </w:p>
        </w:tc>
        <w:tc>
          <w:tcPr>
            <w:tcW w:w="4875" w:type="dxa"/>
            <w:gridSpan w:val="2"/>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支出名称</w:t>
            </w:r>
          </w:p>
        </w:tc>
        <w:tc>
          <w:tcPr>
            <w:tcW w:w="1875"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金额（万）</w:t>
            </w:r>
          </w:p>
        </w:tc>
        <w:tc>
          <w:tcPr>
            <w:tcW w:w="1026"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占总支出%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dxa"/>
            <w:vMerge w:val="restart"/>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1</w:t>
            </w:r>
          </w:p>
        </w:tc>
        <w:tc>
          <w:tcPr>
            <w:tcW w:w="1995" w:type="dxa"/>
            <w:vMerge w:val="restart"/>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基本支出</w:t>
            </w:r>
          </w:p>
        </w:tc>
        <w:tc>
          <w:tcPr>
            <w:tcW w:w="2880"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人员经费</w:t>
            </w:r>
          </w:p>
        </w:tc>
        <w:tc>
          <w:tcPr>
            <w:tcW w:w="1875"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1388.32</w:t>
            </w:r>
          </w:p>
        </w:tc>
        <w:tc>
          <w:tcPr>
            <w:tcW w:w="1026"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14.75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dxa"/>
            <w:vMerge w:val="continue"/>
            <w:vAlign w:val="center"/>
          </w:tcPr>
          <w:p>
            <w:pPr>
              <w:pStyle w:val="4"/>
              <w:spacing w:before="0" w:beforeAutospacing="0" w:after="0" w:afterAutospacing="0" w:line="560" w:lineRule="exact"/>
              <w:jc w:val="center"/>
              <w:rPr>
                <w:rFonts w:ascii="仿宋_GB2312" w:hAnsi="华文仿宋" w:eastAsia="仿宋_GB2312" w:cs="华文仿宋"/>
                <w:sz w:val="32"/>
                <w:szCs w:val="32"/>
              </w:rPr>
            </w:pPr>
          </w:p>
        </w:tc>
        <w:tc>
          <w:tcPr>
            <w:tcW w:w="1995" w:type="dxa"/>
            <w:vMerge w:val="continue"/>
            <w:vAlign w:val="center"/>
          </w:tcPr>
          <w:p>
            <w:pPr>
              <w:pStyle w:val="4"/>
              <w:spacing w:before="0" w:beforeAutospacing="0" w:after="0" w:afterAutospacing="0" w:line="560" w:lineRule="exact"/>
              <w:jc w:val="center"/>
              <w:rPr>
                <w:rFonts w:ascii="仿宋_GB2312" w:hAnsi="华文仿宋" w:eastAsia="仿宋_GB2312" w:cs="华文仿宋"/>
                <w:sz w:val="32"/>
                <w:szCs w:val="32"/>
              </w:rPr>
            </w:pPr>
          </w:p>
        </w:tc>
        <w:tc>
          <w:tcPr>
            <w:tcW w:w="2880"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公用经费</w:t>
            </w:r>
          </w:p>
        </w:tc>
        <w:tc>
          <w:tcPr>
            <w:tcW w:w="1875"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130.11</w:t>
            </w:r>
          </w:p>
        </w:tc>
        <w:tc>
          <w:tcPr>
            <w:tcW w:w="1026"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1.38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9" w:type="dxa"/>
            <w:gridSpan w:val="3"/>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小计</w:t>
            </w:r>
          </w:p>
        </w:tc>
        <w:tc>
          <w:tcPr>
            <w:tcW w:w="1875"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1518.43</w:t>
            </w:r>
          </w:p>
        </w:tc>
        <w:tc>
          <w:tcPr>
            <w:tcW w:w="1026"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16.13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dxa"/>
            <w:vMerge w:val="restart"/>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2</w:t>
            </w:r>
          </w:p>
        </w:tc>
        <w:tc>
          <w:tcPr>
            <w:tcW w:w="1995" w:type="dxa"/>
            <w:vMerge w:val="restart"/>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项目支出</w:t>
            </w:r>
          </w:p>
        </w:tc>
        <w:tc>
          <w:tcPr>
            <w:tcW w:w="2880"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农业支出</w:t>
            </w:r>
          </w:p>
        </w:tc>
        <w:tc>
          <w:tcPr>
            <w:tcW w:w="1875"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eastAsia="仿宋_GB2312"/>
                <w:sz w:val="32"/>
                <w:szCs w:val="32"/>
              </w:rPr>
              <w:t>6120.13</w:t>
            </w:r>
          </w:p>
        </w:tc>
        <w:tc>
          <w:tcPr>
            <w:tcW w:w="1026"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dxa"/>
            <w:vMerge w:val="continue"/>
            <w:vAlign w:val="center"/>
          </w:tcPr>
          <w:p>
            <w:pPr>
              <w:pStyle w:val="4"/>
              <w:spacing w:before="0" w:beforeAutospacing="0" w:after="0" w:afterAutospacing="0" w:line="560" w:lineRule="exact"/>
              <w:jc w:val="center"/>
              <w:rPr>
                <w:rFonts w:ascii="仿宋_GB2312" w:hAnsi="华文仿宋" w:eastAsia="仿宋_GB2312" w:cs="华文仿宋"/>
                <w:sz w:val="32"/>
                <w:szCs w:val="32"/>
              </w:rPr>
            </w:pPr>
          </w:p>
        </w:tc>
        <w:tc>
          <w:tcPr>
            <w:tcW w:w="1995" w:type="dxa"/>
            <w:vMerge w:val="continue"/>
            <w:vAlign w:val="center"/>
          </w:tcPr>
          <w:p>
            <w:pPr>
              <w:pStyle w:val="4"/>
              <w:spacing w:before="0" w:beforeAutospacing="0" w:after="0" w:afterAutospacing="0" w:line="560" w:lineRule="exact"/>
              <w:jc w:val="center"/>
              <w:rPr>
                <w:rFonts w:ascii="仿宋_GB2312" w:hAnsi="华文仿宋" w:eastAsia="仿宋_GB2312" w:cs="华文仿宋"/>
                <w:sz w:val="32"/>
                <w:szCs w:val="32"/>
              </w:rPr>
            </w:pPr>
          </w:p>
        </w:tc>
        <w:tc>
          <w:tcPr>
            <w:tcW w:w="2880"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林业支出</w:t>
            </w:r>
          </w:p>
        </w:tc>
        <w:tc>
          <w:tcPr>
            <w:tcW w:w="1875"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eastAsia="仿宋_GB2312"/>
                <w:sz w:val="32"/>
                <w:szCs w:val="32"/>
              </w:rPr>
              <w:t>897.3</w:t>
            </w:r>
          </w:p>
        </w:tc>
        <w:tc>
          <w:tcPr>
            <w:tcW w:w="1026"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9.53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dxa"/>
            <w:vMerge w:val="continue"/>
            <w:vAlign w:val="center"/>
          </w:tcPr>
          <w:p>
            <w:pPr>
              <w:pStyle w:val="4"/>
              <w:spacing w:before="0" w:beforeAutospacing="0" w:after="0" w:afterAutospacing="0" w:line="560" w:lineRule="exact"/>
              <w:jc w:val="center"/>
              <w:rPr>
                <w:rFonts w:ascii="仿宋_GB2312" w:hAnsi="华文仿宋" w:eastAsia="仿宋_GB2312" w:cs="华文仿宋"/>
                <w:sz w:val="32"/>
                <w:szCs w:val="32"/>
              </w:rPr>
            </w:pPr>
          </w:p>
        </w:tc>
        <w:tc>
          <w:tcPr>
            <w:tcW w:w="1995" w:type="dxa"/>
            <w:vMerge w:val="continue"/>
            <w:vAlign w:val="center"/>
          </w:tcPr>
          <w:p>
            <w:pPr>
              <w:pStyle w:val="4"/>
              <w:spacing w:before="0" w:beforeAutospacing="0" w:after="0" w:afterAutospacing="0" w:line="560" w:lineRule="exact"/>
              <w:jc w:val="center"/>
              <w:rPr>
                <w:rFonts w:ascii="仿宋_GB2312" w:hAnsi="华文仿宋" w:eastAsia="仿宋_GB2312" w:cs="华文仿宋"/>
                <w:sz w:val="32"/>
                <w:szCs w:val="32"/>
              </w:rPr>
            </w:pPr>
          </w:p>
        </w:tc>
        <w:tc>
          <w:tcPr>
            <w:tcW w:w="2880"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扶贫支出</w:t>
            </w:r>
          </w:p>
        </w:tc>
        <w:tc>
          <w:tcPr>
            <w:tcW w:w="1875"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eastAsia="仿宋_GB2312"/>
                <w:sz w:val="32"/>
                <w:szCs w:val="32"/>
              </w:rPr>
              <w:t>60</w:t>
            </w:r>
          </w:p>
        </w:tc>
        <w:tc>
          <w:tcPr>
            <w:tcW w:w="1026"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0.64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dxa"/>
            <w:vMerge w:val="continue"/>
            <w:vAlign w:val="center"/>
          </w:tcPr>
          <w:p>
            <w:pPr>
              <w:pStyle w:val="4"/>
              <w:spacing w:before="0" w:beforeAutospacing="0" w:after="0" w:afterAutospacing="0" w:line="560" w:lineRule="exact"/>
              <w:jc w:val="center"/>
              <w:rPr>
                <w:rFonts w:ascii="仿宋_GB2312" w:hAnsi="华文仿宋" w:eastAsia="仿宋_GB2312" w:cs="华文仿宋"/>
                <w:sz w:val="32"/>
                <w:szCs w:val="32"/>
              </w:rPr>
            </w:pPr>
          </w:p>
        </w:tc>
        <w:tc>
          <w:tcPr>
            <w:tcW w:w="1995" w:type="dxa"/>
            <w:vMerge w:val="continue"/>
            <w:vAlign w:val="center"/>
          </w:tcPr>
          <w:p>
            <w:pPr>
              <w:pStyle w:val="4"/>
              <w:spacing w:before="0" w:beforeAutospacing="0" w:after="0" w:afterAutospacing="0" w:line="560" w:lineRule="exact"/>
              <w:jc w:val="center"/>
              <w:rPr>
                <w:rFonts w:ascii="仿宋_GB2312" w:hAnsi="华文仿宋" w:eastAsia="仿宋_GB2312" w:cs="华文仿宋"/>
                <w:sz w:val="32"/>
                <w:szCs w:val="32"/>
              </w:rPr>
            </w:pPr>
          </w:p>
        </w:tc>
        <w:tc>
          <w:tcPr>
            <w:tcW w:w="2880"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28"/>
                <w:szCs w:val="28"/>
              </w:rPr>
              <w:t>农业综合开发</w:t>
            </w:r>
          </w:p>
        </w:tc>
        <w:tc>
          <w:tcPr>
            <w:tcW w:w="1875"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eastAsia="仿宋_GB2312"/>
                <w:sz w:val="32"/>
                <w:szCs w:val="32"/>
              </w:rPr>
              <w:t>809</w:t>
            </w:r>
          </w:p>
        </w:tc>
        <w:tc>
          <w:tcPr>
            <w:tcW w:w="1026"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8.59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744" w:type="dxa"/>
            <w:vMerge w:val="continue"/>
            <w:vAlign w:val="center"/>
          </w:tcPr>
          <w:p>
            <w:pPr>
              <w:pStyle w:val="4"/>
              <w:spacing w:before="0" w:beforeAutospacing="0" w:after="0" w:afterAutospacing="0" w:line="560" w:lineRule="exact"/>
              <w:jc w:val="center"/>
              <w:rPr>
                <w:rFonts w:ascii="仿宋_GB2312" w:hAnsi="华文仿宋" w:eastAsia="仿宋_GB2312" w:cs="华文仿宋"/>
                <w:sz w:val="32"/>
                <w:szCs w:val="32"/>
              </w:rPr>
            </w:pPr>
          </w:p>
        </w:tc>
        <w:tc>
          <w:tcPr>
            <w:tcW w:w="1995" w:type="dxa"/>
            <w:vMerge w:val="continue"/>
            <w:vAlign w:val="center"/>
          </w:tcPr>
          <w:p>
            <w:pPr>
              <w:pStyle w:val="4"/>
              <w:spacing w:before="0" w:beforeAutospacing="0" w:after="0" w:afterAutospacing="0" w:line="560" w:lineRule="exact"/>
              <w:jc w:val="center"/>
              <w:rPr>
                <w:rFonts w:ascii="仿宋_GB2312" w:hAnsi="华文仿宋" w:eastAsia="仿宋_GB2312" w:cs="华文仿宋"/>
                <w:sz w:val="32"/>
                <w:szCs w:val="32"/>
              </w:rPr>
            </w:pPr>
          </w:p>
        </w:tc>
        <w:tc>
          <w:tcPr>
            <w:tcW w:w="2880"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农村综合改革支出</w:t>
            </w:r>
          </w:p>
        </w:tc>
        <w:tc>
          <w:tcPr>
            <w:tcW w:w="1875"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eastAsia="仿宋_GB2312"/>
                <w:sz w:val="32"/>
                <w:szCs w:val="32"/>
              </w:rPr>
              <w:t>6.41</w:t>
            </w:r>
          </w:p>
        </w:tc>
        <w:tc>
          <w:tcPr>
            <w:tcW w:w="1026"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dxa"/>
            <w:vMerge w:val="continue"/>
            <w:vAlign w:val="center"/>
          </w:tcPr>
          <w:p>
            <w:pPr>
              <w:pStyle w:val="4"/>
              <w:spacing w:before="0" w:beforeAutospacing="0" w:after="0" w:afterAutospacing="0" w:line="560" w:lineRule="exact"/>
              <w:jc w:val="center"/>
              <w:rPr>
                <w:rFonts w:ascii="仿宋_GB2312" w:hAnsi="华文仿宋" w:eastAsia="仿宋_GB2312" w:cs="华文仿宋"/>
                <w:sz w:val="32"/>
                <w:szCs w:val="32"/>
              </w:rPr>
            </w:pPr>
          </w:p>
        </w:tc>
        <w:tc>
          <w:tcPr>
            <w:tcW w:w="1995" w:type="dxa"/>
            <w:vMerge w:val="continue"/>
            <w:vAlign w:val="center"/>
          </w:tcPr>
          <w:p>
            <w:pPr>
              <w:pStyle w:val="4"/>
              <w:spacing w:before="0" w:beforeAutospacing="0" w:after="0" w:afterAutospacing="0" w:line="560" w:lineRule="exact"/>
              <w:jc w:val="center"/>
              <w:rPr>
                <w:rFonts w:ascii="仿宋_GB2312" w:hAnsi="华文仿宋" w:eastAsia="仿宋_GB2312" w:cs="华文仿宋"/>
                <w:sz w:val="32"/>
                <w:szCs w:val="32"/>
              </w:rPr>
            </w:pPr>
          </w:p>
        </w:tc>
        <w:tc>
          <w:tcPr>
            <w:tcW w:w="2880"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其它农林水支出</w:t>
            </w:r>
          </w:p>
        </w:tc>
        <w:tc>
          <w:tcPr>
            <w:tcW w:w="1875"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eastAsia="仿宋_GB2312"/>
                <w:sz w:val="32"/>
                <w:szCs w:val="32"/>
              </w:rPr>
              <w:t>3</w:t>
            </w:r>
          </w:p>
        </w:tc>
        <w:tc>
          <w:tcPr>
            <w:tcW w:w="1026"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5619" w:type="dxa"/>
            <w:gridSpan w:val="3"/>
            <w:vAlign w:val="center"/>
          </w:tcPr>
          <w:p>
            <w:pPr>
              <w:pStyle w:val="4"/>
              <w:spacing w:before="0" w:beforeAutospacing="0" w:after="0" w:afterAutospacing="0" w:line="560" w:lineRule="exact"/>
              <w:jc w:val="center"/>
            </w:pPr>
            <w:r>
              <w:rPr>
                <w:rFonts w:hint="eastAsia"/>
              </w:rPr>
              <w:t>小计</w:t>
            </w:r>
          </w:p>
        </w:tc>
        <w:tc>
          <w:tcPr>
            <w:tcW w:w="1875"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7895.84</w:t>
            </w:r>
          </w:p>
        </w:tc>
        <w:tc>
          <w:tcPr>
            <w:tcW w:w="1026"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5619" w:type="dxa"/>
            <w:gridSpan w:val="3"/>
            <w:vAlign w:val="center"/>
          </w:tcPr>
          <w:p>
            <w:pPr>
              <w:pStyle w:val="4"/>
              <w:spacing w:before="0" w:beforeAutospacing="0" w:after="0" w:afterAutospacing="0" w:line="560" w:lineRule="exact"/>
              <w:jc w:val="center"/>
            </w:pPr>
            <w:r>
              <w:rPr>
                <w:rFonts w:hint="eastAsia"/>
              </w:rPr>
              <w:t>合计</w:t>
            </w:r>
          </w:p>
        </w:tc>
        <w:tc>
          <w:tcPr>
            <w:tcW w:w="1875"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9414.27</w:t>
            </w:r>
          </w:p>
        </w:tc>
        <w:tc>
          <w:tcPr>
            <w:tcW w:w="1026" w:type="dxa"/>
            <w:vAlign w:val="center"/>
          </w:tcPr>
          <w:p>
            <w:pPr>
              <w:pStyle w:val="4"/>
              <w:spacing w:before="0" w:beforeAutospacing="0" w:after="0" w:afterAutospacing="0" w:line="560" w:lineRule="exact"/>
              <w:jc w:val="center"/>
              <w:rPr>
                <w:rFonts w:ascii="仿宋_GB2312" w:hAnsi="华文仿宋" w:eastAsia="仿宋_GB2312" w:cs="华文仿宋"/>
                <w:sz w:val="32"/>
                <w:szCs w:val="32"/>
              </w:rPr>
            </w:pPr>
          </w:p>
        </w:tc>
      </w:tr>
    </w:tbl>
    <w:p>
      <w:pPr>
        <w:spacing w:line="560" w:lineRule="exact"/>
        <w:rPr>
          <w:rFonts w:ascii="楷体_GB2312" w:hAnsi="楷体_GB2312" w:eastAsia="楷体_GB2312" w:cs="楷体_GB2312"/>
          <w:b/>
          <w:bCs/>
          <w:sz w:val="32"/>
          <w:szCs w:val="32"/>
        </w:rPr>
      </w:pPr>
    </w:p>
    <w:p>
      <w:pPr>
        <w:spacing w:line="56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w:t>
      </w:r>
      <w:r>
        <w:rPr>
          <w:rFonts w:ascii="楷体_GB2312" w:hAnsi="楷体_GB2312" w:eastAsia="楷体_GB2312" w:cs="楷体_GB2312"/>
          <w:b/>
          <w:bCs/>
          <w:sz w:val="32"/>
          <w:szCs w:val="32"/>
        </w:rPr>
        <w:t>2017</w:t>
      </w:r>
      <w:r>
        <w:rPr>
          <w:rFonts w:hint="eastAsia" w:ascii="楷体_GB2312" w:hAnsi="楷体_GB2312" w:eastAsia="楷体_GB2312" w:cs="楷体_GB2312"/>
          <w:b/>
          <w:bCs/>
          <w:sz w:val="32"/>
          <w:szCs w:val="32"/>
        </w:rPr>
        <w:t>年度财政拨款收入支出总体情况说明</w:t>
      </w:r>
    </w:p>
    <w:p>
      <w:pPr>
        <w:pStyle w:val="4"/>
        <w:spacing w:line="520" w:lineRule="exact"/>
        <w:ind w:firstLine="640" w:firstLineChars="200"/>
        <w:rPr>
          <w:rFonts w:ascii="仿宋_GB2312" w:eastAsia="仿宋_GB2312"/>
          <w:sz w:val="32"/>
          <w:szCs w:val="32"/>
        </w:rPr>
      </w:pPr>
      <w:r>
        <w:rPr>
          <w:rFonts w:hint="eastAsia" w:ascii="仿宋_GB2312" w:eastAsia="仿宋_GB2312"/>
          <w:sz w:val="32"/>
          <w:szCs w:val="32"/>
        </w:rPr>
        <w:t>1.财政拨款收入支出决算总体情况</w:t>
      </w:r>
    </w:p>
    <w:p>
      <w:pPr>
        <w:pStyle w:val="4"/>
        <w:spacing w:line="520" w:lineRule="exact"/>
        <w:ind w:firstLine="640" w:firstLineChars="200"/>
        <w:rPr>
          <w:rFonts w:ascii="仿宋_GB2312" w:eastAsia="仿宋_GB2312"/>
          <w:sz w:val="32"/>
          <w:szCs w:val="32"/>
        </w:rPr>
      </w:pPr>
      <w:r>
        <w:rPr>
          <w:rFonts w:ascii="仿宋_GB2312" w:hAnsi="华文仿宋" w:eastAsia="仿宋_GB2312" w:cs="华文仿宋"/>
          <w:sz w:val="32"/>
          <w:szCs w:val="32"/>
        </w:rPr>
        <w:t>2017</w:t>
      </w:r>
      <w:r>
        <w:rPr>
          <w:rFonts w:hint="eastAsia" w:ascii="仿宋_GB2312" w:hAnsi="华文仿宋" w:eastAsia="仿宋_GB2312" w:cs="华文仿宋"/>
          <w:sz w:val="32"/>
          <w:szCs w:val="32"/>
        </w:rPr>
        <w:t>年财政拨款收入</w:t>
      </w:r>
      <w:r>
        <w:rPr>
          <w:rFonts w:hint="eastAsia" w:ascii="仿宋_GB2312" w:eastAsia="仿宋_GB2312"/>
          <w:sz w:val="32"/>
          <w:szCs w:val="32"/>
        </w:rPr>
        <w:t>10820.78万元，较上年增加 3695.21万元，主要原因一是人员费用(调资等）增加，二是项目收入增加.</w:t>
      </w:r>
    </w:p>
    <w:p>
      <w:pPr>
        <w:pStyle w:val="4"/>
        <w:spacing w:line="520" w:lineRule="exact"/>
        <w:ind w:firstLine="640" w:firstLineChars="200"/>
        <w:rPr>
          <w:rFonts w:ascii="仿宋_GB2312" w:eastAsia="仿宋_GB2312"/>
          <w:sz w:val="32"/>
          <w:szCs w:val="32"/>
        </w:rPr>
      </w:pPr>
      <w:r>
        <w:rPr>
          <w:rFonts w:ascii="仿宋_GB2312" w:hAnsi="华文仿宋" w:eastAsia="仿宋_GB2312" w:cs="华文仿宋"/>
          <w:sz w:val="32"/>
          <w:szCs w:val="32"/>
        </w:rPr>
        <w:t>2017</w:t>
      </w:r>
      <w:r>
        <w:rPr>
          <w:rFonts w:hint="eastAsia" w:ascii="仿宋_GB2312" w:hAnsi="华文仿宋" w:eastAsia="仿宋_GB2312" w:cs="华文仿宋"/>
          <w:sz w:val="32"/>
          <w:szCs w:val="32"/>
        </w:rPr>
        <w:t>年财政拨款支出9414.27万元</w:t>
      </w:r>
      <w:r>
        <w:rPr>
          <w:rFonts w:hint="eastAsia" w:ascii="仿宋_GB2312" w:eastAsia="仿宋_GB2312"/>
          <w:sz w:val="32"/>
          <w:szCs w:val="32"/>
        </w:rPr>
        <w:t>，比上年增447.07万元，主要原因一是人员费用支出增加，二是项目支出增。</w:t>
      </w:r>
    </w:p>
    <w:p>
      <w:pPr>
        <w:pStyle w:val="4"/>
        <w:spacing w:line="520" w:lineRule="exact"/>
        <w:ind w:firstLine="640" w:firstLineChars="200"/>
        <w:rPr>
          <w:rFonts w:ascii="仿宋_GB2312" w:eastAsia="仿宋_GB2312"/>
          <w:sz w:val="32"/>
          <w:szCs w:val="32"/>
        </w:rPr>
      </w:pPr>
      <w:r>
        <w:rPr>
          <w:rFonts w:hint="eastAsia" w:ascii="仿宋_GB2312" w:eastAsia="仿宋_GB2312"/>
          <w:sz w:val="32"/>
          <w:szCs w:val="32"/>
        </w:rPr>
        <w:t>2：一般公共预算财政拨款支出情况</w:t>
      </w:r>
    </w:p>
    <w:p>
      <w:pPr>
        <w:pStyle w:val="4"/>
        <w:spacing w:line="520" w:lineRule="exact"/>
        <w:ind w:firstLine="640" w:firstLineChars="200"/>
        <w:rPr>
          <w:rFonts w:ascii="仿宋_GB2312" w:eastAsia="仿宋_GB2312"/>
          <w:sz w:val="32"/>
          <w:szCs w:val="32"/>
        </w:rPr>
      </w:pPr>
      <w:r>
        <w:rPr>
          <w:rFonts w:hint="eastAsia" w:ascii="仿宋_GB2312" w:eastAsia="仿宋_GB2312"/>
          <w:sz w:val="32"/>
          <w:szCs w:val="32"/>
        </w:rPr>
        <w:t>2017年度一般公共预算财政拨款支出9414.27万元，按支出功能科目分：农林水支出9414.27万元。其中：农业7331.89万元、林业1016.32万元、扶贫60万元、农业综合开发996.65万元、农村综合改革6.41万元、其他农林水支出3万元。主要用于农业，林业农业综合开发等方面的支出。</w:t>
      </w:r>
    </w:p>
    <w:p>
      <w:pPr>
        <w:pStyle w:val="4"/>
        <w:spacing w:line="520" w:lineRule="exact"/>
        <w:ind w:left="3198" w:leftChars="1064" w:hanging="964" w:hangingChars="300"/>
        <w:rPr>
          <w:rFonts w:ascii="仿宋_GB2312" w:eastAsia="仿宋_GB2312"/>
          <w:b/>
          <w:bCs/>
          <w:sz w:val="32"/>
          <w:szCs w:val="32"/>
        </w:rPr>
      </w:pPr>
      <w:r>
        <w:rPr>
          <w:rFonts w:hint="eastAsia" w:ascii="仿宋_GB2312" w:eastAsia="仿宋_GB2312"/>
          <w:b/>
          <w:bCs/>
          <w:sz w:val="32"/>
          <w:szCs w:val="32"/>
        </w:rPr>
        <w:t>2017年公共财政拨款支出</w:t>
      </w:r>
    </w:p>
    <w:p>
      <w:pPr>
        <w:pStyle w:val="4"/>
        <w:spacing w:line="520" w:lineRule="exact"/>
        <w:ind w:firstLine="1285" w:firstLineChars="400"/>
        <w:rPr>
          <w:rFonts w:ascii="仿宋_GB2312" w:eastAsia="仿宋_GB2312"/>
          <w:b/>
          <w:bCs/>
          <w:sz w:val="32"/>
          <w:szCs w:val="32"/>
        </w:rPr>
      </w:pPr>
      <w:r>
        <w:rPr>
          <w:rFonts w:hint="eastAsia" w:ascii="仿宋_GB2312" w:eastAsia="仿宋_GB2312"/>
          <w:b/>
          <w:bCs/>
          <w:sz w:val="32"/>
          <w:szCs w:val="32"/>
        </w:rPr>
        <w:t>按功能分类科目细化到项级科目支出明细</w:t>
      </w:r>
    </w:p>
    <w:tbl>
      <w:tblPr>
        <w:tblStyle w:val="6"/>
        <w:tblW w:w="96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2939"/>
        <w:gridCol w:w="1723"/>
        <w:gridCol w:w="1740"/>
        <w:gridCol w:w="16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功能分类科目编码</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科目名称</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支出合计</w:t>
            </w:r>
          </w:p>
        </w:tc>
        <w:tc>
          <w:tcPr>
            <w:tcW w:w="1740" w:type="dxa"/>
          </w:tcPr>
          <w:p>
            <w:pPr>
              <w:pStyle w:val="4"/>
              <w:spacing w:line="520" w:lineRule="exact"/>
              <w:rPr>
                <w:rFonts w:ascii="仿宋_GB2312" w:eastAsia="仿宋_GB2312"/>
                <w:sz w:val="32"/>
                <w:szCs w:val="32"/>
              </w:rPr>
            </w:pPr>
            <w:r>
              <w:rPr>
                <w:rFonts w:hint="eastAsia" w:ascii="仿宋_GB2312" w:eastAsia="仿宋_GB2312"/>
                <w:sz w:val="32"/>
                <w:szCs w:val="32"/>
              </w:rPr>
              <w:t>基本支出</w:t>
            </w: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项目支出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农林水支出</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9414.27</w:t>
            </w:r>
          </w:p>
        </w:tc>
        <w:tc>
          <w:tcPr>
            <w:tcW w:w="1740" w:type="dxa"/>
          </w:tcPr>
          <w:p>
            <w:pPr>
              <w:pStyle w:val="4"/>
              <w:spacing w:line="520" w:lineRule="exact"/>
              <w:rPr>
                <w:rFonts w:ascii="仿宋_GB2312" w:eastAsia="仿宋_GB2312"/>
                <w:sz w:val="32"/>
                <w:szCs w:val="32"/>
              </w:rPr>
            </w:pPr>
            <w:r>
              <w:rPr>
                <w:rFonts w:hint="eastAsia" w:ascii="仿宋_GB2312" w:eastAsia="仿宋_GB2312"/>
                <w:sz w:val="32"/>
                <w:szCs w:val="32"/>
              </w:rPr>
              <w:t>1518.43</w:t>
            </w: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7895.84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21301</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农业</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7331.89</w:t>
            </w:r>
          </w:p>
        </w:tc>
        <w:tc>
          <w:tcPr>
            <w:tcW w:w="1740" w:type="dxa"/>
          </w:tcPr>
          <w:p>
            <w:pPr>
              <w:pStyle w:val="4"/>
              <w:spacing w:line="520" w:lineRule="exact"/>
              <w:rPr>
                <w:rFonts w:ascii="仿宋_GB2312" w:eastAsia="仿宋_GB2312"/>
                <w:sz w:val="32"/>
                <w:szCs w:val="32"/>
              </w:rPr>
            </w:pPr>
            <w:r>
              <w:rPr>
                <w:rFonts w:hint="eastAsia" w:ascii="仿宋_GB2312" w:eastAsia="仿宋_GB2312"/>
                <w:sz w:val="32"/>
                <w:szCs w:val="32"/>
              </w:rPr>
              <w:t>1211.76</w:t>
            </w: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6120.13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2130101</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 xml:space="preserve"> 行政运行</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191.91</w:t>
            </w:r>
          </w:p>
        </w:tc>
        <w:tc>
          <w:tcPr>
            <w:tcW w:w="1740" w:type="dxa"/>
          </w:tcPr>
          <w:p>
            <w:pPr>
              <w:pStyle w:val="4"/>
              <w:spacing w:line="520" w:lineRule="exact"/>
              <w:rPr>
                <w:rFonts w:ascii="仿宋_GB2312" w:eastAsia="仿宋_GB2312"/>
                <w:sz w:val="32"/>
                <w:szCs w:val="32"/>
              </w:rPr>
            </w:pPr>
            <w:r>
              <w:rPr>
                <w:rFonts w:hint="eastAsia" w:ascii="仿宋_GB2312" w:eastAsia="仿宋_GB2312"/>
                <w:sz w:val="32"/>
                <w:szCs w:val="32"/>
              </w:rPr>
              <w:t>191.91</w:t>
            </w:r>
          </w:p>
        </w:tc>
        <w:tc>
          <w:tcPr>
            <w:tcW w:w="1678" w:type="dxa"/>
          </w:tcPr>
          <w:p>
            <w:pPr>
              <w:pStyle w:val="4"/>
              <w:spacing w:line="520" w:lineRule="exact"/>
              <w:rPr>
                <w:rFonts w:asci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2130102</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 xml:space="preserve"> 一般行政管理事务</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350.00</w:t>
            </w:r>
          </w:p>
        </w:tc>
        <w:tc>
          <w:tcPr>
            <w:tcW w:w="1740" w:type="dxa"/>
          </w:tcPr>
          <w:p>
            <w:pPr>
              <w:pStyle w:val="4"/>
              <w:spacing w:line="520" w:lineRule="exact"/>
              <w:rPr>
                <w:rFonts w:ascii="仿宋_GB2312" w:eastAsia="仿宋_GB2312"/>
                <w:sz w:val="32"/>
                <w:szCs w:val="32"/>
              </w:rPr>
            </w:pP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350.00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2130104</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 xml:space="preserve"> 事业运行</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1019.85</w:t>
            </w:r>
          </w:p>
        </w:tc>
        <w:tc>
          <w:tcPr>
            <w:tcW w:w="1740" w:type="dxa"/>
          </w:tcPr>
          <w:p>
            <w:pPr>
              <w:pStyle w:val="4"/>
              <w:spacing w:line="520" w:lineRule="exact"/>
              <w:rPr>
                <w:rFonts w:ascii="仿宋_GB2312" w:eastAsia="仿宋_GB2312"/>
                <w:sz w:val="32"/>
                <w:szCs w:val="32"/>
              </w:rPr>
            </w:pPr>
            <w:r>
              <w:rPr>
                <w:rFonts w:hint="eastAsia" w:ascii="仿宋_GB2312" w:eastAsia="仿宋_GB2312"/>
                <w:sz w:val="32"/>
                <w:szCs w:val="32"/>
              </w:rPr>
              <w:t>1019.85</w:t>
            </w:r>
          </w:p>
        </w:tc>
        <w:tc>
          <w:tcPr>
            <w:tcW w:w="1678" w:type="dxa"/>
          </w:tcPr>
          <w:p>
            <w:pPr>
              <w:pStyle w:val="4"/>
              <w:spacing w:line="520" w:lineRule="exact"/>
              <w:rPr>
                <w:rFonts w:asci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2130106</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 xml:space="preserve"> 科技转化与推广事务</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396.43</w:t>
            </w:r>
          </w:p>
        </w:tc>
        <w:tc>
          <w:tcPr>
            <w:tcW w:w="1740" w:type="dxa"/>
          </w:tcPr>
          <w:p>
            <w:pPr>
              <w:pStyle w:val="4"/>
              <w:spacing w:line="520" w:lineRule="exact"/>
              <w:rPr>
                <w:rFonts w:ascii="仿宋_GB2312" w:eastAsia="仿宋_GB2312"/>
                <w:sz w:val="32"/>
                <w:szCs w:val="32"/>
              </w:rPr>
            </w:pP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396.43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2130108</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 xml:space="preserve"> 病虫害控制</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76.71</w:t>
            </w:r>
          </w:p>
        </w:tc>
        <w:tc>
          <w:tcPr>
            <w:tcW w:w="1740" w:type="dxa"/>
          </w:tcPr>
          <w:p>
            <w:pPr>
              <w:pStyle w:val="4"/>
              <w:spacing w:line="520" w:lineRule="exact"/>
              <w:rPr>
                <w:rFonts w:ascii="仿宋_GB2312" w:eastAsia="仿宋_GB2312"/>
                <w:sz w:val="32"/>
                <w:szCs w:val="32"/>
              </w:rPr>
            </w:pP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76.71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2130109</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 xml:space="preserve"> 农产品质量安全</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39.00</w:t>
            </w:r>
          </w:p>
        </w:tc>
        <w:tc>
          <w:tcPr>
            <w:tcW w:w="1740" w:type="dxa"/>
          </w:tcPr>
          <w:p>
            <w:pPr>
              <w:pStyle w:val="4"/>
              <w:spacing w:line="520" w:lineRule="exact"/>
              <w:rPr>
                <w:rFonts w:ascii="仿宋_GB2312" w:eastAsia="仿宋_GB2312"/>
                <w:sz w:val="32"/>
                <w:szCs w:val="32"/>
              </w:rPr>
            </w:pP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39.00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2130110</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 xml:space="preserve"> 执法监管</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10.50</w:t>
            </w:r>
          </w:p>
        </w:tc>
        <w:tc>
          <w:tcPr>
            <w:tcW w:w="1740" w:type="dxa"/>
          </w:tcPr>
          <w:p>
            <w:pPr>
              <w:pStyle w:val="4"/>
              <w:spacing w:line="520" w:lineRule="exact"/>
              <w:rPr>
                <w:rFonts w:ascii="仿宋_GB2312" w:eastAsia="仿宋_GB2312"/>
                <w:sz w:val="32"/>
                <w:szCs w:val="32"/>
              </w:rPr>
            </w:pP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10.50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2130111</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 xml:space="preserve"> 统计监测与信息服务</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22.25</w:t>
            </w:r>
          </w:p>
        </w:tc>
        <w:tc>
          <w:tcPr>
            <w:tcW w:w="1740" w:type="dxa"/>
          </w:tcPr>
          <w:p>
            <w:pPr>
              <w:pStyle w:val="4"/>
              <w:spacing w:line="520" w:lineRule="exact"/>
              <w:rPr>
                <w:rFonts w:ascii="仿宋_GB2312" w:eastAsia="仿宋_GB2312"/>
                <w:sz w:val="32"/>
                <w:szCs w:val="32"/>
              </w:rPr>
            </w:pP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22.25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2130121</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 xml:space="preserve"> 农业结构调整补贴</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1286.27</w:t>
            </w:r>
          </w:p>
        </w:tc>
        <w:tc>
          <w:tcPr>
            <w:tcW w:w="1740" w:type="dxa"/>
          </w:tcPr>
          <w:p>
            <w:pPr>
              <w:pStyle w:val="4"/>
              <w:spacing w:line="520" w:lineRule="exact"/>
              <w:rPr>
                <w:rFonts w:ascii="仿宋_GB2312" w:eastAsia="仿宋_GB2312"/>
                <w:sz w:val="32"/>
                <w:szCs w:val="32"/>
              </w:rPr>
            </w:pP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1286.27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2130122</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 xml:space="preserve"> 农业生产支持补贴</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1660.87</w:t>
            </w:r>
          </w:p>
        </w:tc>
        <w:tc>
          <w:tcPr>
            <w:tcW w:w="1740" w:type="dxa"/>
          </w:tcPr>
          <w:p>
            <w:pPr>
              <w:pStyle w:val="4"/>
              <w:spacing w:line="520" w:lineRule="exact"/>
              <w:rPr>
                <w:rFonts w:ascii="仿宋_GB2312" w:eastAsia="仿宋_GB2312"/>
                <w:sz w:val="32"/>
                <w:szCs w:val="32"/>
              </w:rPr>
            </w:pP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1660.87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2130124</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 xml:space="preserve"> 农业组织化与产业化经营</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185.00</w:t>
            </w:r>
          </w:p>
        </w:tc>
        <w:tc>
          <w:tcPr>
            <w:tcW w:w="1740" w:type="dxa"/>
          </w:tcPr>
          <w:p>
            <w:pPr>
              <w:pStyle w:val="4"/>
              <w:spacing w:line="520" w:lineRule="exact"/>
              <w:rPr>
                <w:rFonts w:ascii="仿宋_GB2312" w:eastAsia="仿宋_GB2312"/>
                <w:sz w:val="32"/>
                <w:szCs w:val="32"/>
              </w:rPr>
            </w:pP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185.00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2130125</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 xml:space="preserve"> 农产品加工与促销</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20.00</w:t>
            </w:r>
          </w:p>
        </w:tc>
        <w:tc>
          <w:tcPr>
            <w:tcW w:w="1740" w:type="dxa"/>
          </w:tcPr>
          <w:p>
            <w:pPr>
              <w:pStyle w:val="4"/>
              <w:spacing w:line="520" w:lineRule="exact"/>
              <w:rPr>
                <w:rFonts w:ascii="仿宋_GB2312" w:eastAsia="仿宋_GB2312"/>
                <w:sz w:val="32"/>
                <w:szCs w:val="32"/>
              </w:rPr>
            </w:pP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2130135</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 xml:space="preserve"> 农业资源保护修复与利用</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14.00</w:t>
            </w:r>
          </w:p>
        </w:tc>
        <w:tc>
          <w:tcPr>
            <w:tcW w:w="1740" w:type="dxa"/>
          </w:tcPr>
          <w:p>
            <w:pPr>
              <w:pStyle w:val="4"/>
              <w:spacing w:line="520" w:lineRule="exact"/>
              <w:rPr>
                <w:rFonts w:ascii="仿宋_GB2312" w:eastAsia="仿宋_GB2312"/>
                <w:sz w:val="32"/>
                <w:szCs w:val="32"/>
              </w:rPr>
            </w:pP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2130199</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 xml:space="preserve"> 其他农业支出</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2059.10</w:t>
            </w:r>
          </w:p>
        </w:tc>
        <w:tc>
          <w:tcPr>
            <w:tcW w:w="1740" w:type="dxa"/>
          </w:tcPr>
          <w:p>
            <w:pPr>
              <w:pStyle w:val="4"/>
              <w:spacing w:line="520" w:lineRule="exact"/>
              <w:rPr>
                <w:rFonts w:ascii="仿宋_GB2312" w:eastAsia="仿宋_GB2312"/>
                <w:sz w:val="32"/>
                <w:szCs w:val="32"/>
              </w:rPr>
            </w:pP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2059.10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21302</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林业</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1016.32</w:t>
            </w:r>
          </w:p>
        </w:tc>
        <w:tc>
          <w:tcPr>
            <w:tcW w:w="1740" w:type="dxa"/>
          </w:tcPr>
          <w:p>
            <w:pPr>
              <w:pStyle w:val="4"/>
              <w:spacing w:line="520" w:lineRule="exact"/>
              <w:rPr>
                <w:rFonts w:ascii="仿宋_GB2312" w:eastAsia="仿宋_GB2312"/>
                <w:sz w:val="32"/>
                <w:szCs w:val="32"/>
              </w:rPr>
            </w:pPr>
            <w:r>
              <w:rPr>
                <w:rFonts w:hint="eastAsia" w:ascii="仿宋_GB2312" w:eastAsia="仿宋_GB2312"/>
                <w:sz w:val="32"/>
                <w:szCs w:val="32"/>
              </w:rPr>
              <w:t>119.02</w:t>
            </w: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897.30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2130204</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 xml:space="preserve"> 林业事业机构</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119.02</w:t>
            </w:r>
          </w:p>
        </w:tc>
        <w:tc>
          <w:tcPr>
            <w:tcW w:w="1740" w:type="dxa"/>
          </w:tcPr>
          <w:p>
            <w:pPr>
              <w:pStyle w:val="4"/>
              <w:spacing w:line="520" w:lineRule="exact"/>
              <w:rPr>
                <w:rFonts w:ascii="仿宋_GB2312" w:eastAsia="仿宋_GB2312"/>
                <w:sz w:val="32"/>
                <w:szCs w:val="32"/>
              </w:rPr>
            </w:pPr>
            <w:r>
              <w:rPr>
                <w:rFonts w:hint="eastAsia" w:ascii="仿宋_GB2312" w:eastAsia="仿宋_GB2312"/>
                <w:sz w:val="32"/>
                <w:szCs w:val="32"/>
              </w:rPr>
              <w:t>119.02</w:t>
            </w:r>
          </w:p>
        </w:tc>
        <w:tc>
          <w:tcPr>
            <w:tcW w:w="1678" w:type="dxa"/>
          </w:tcPr>
          <w:p>
            <w:pPr>
              <w:pStyle w:val="4"/>
              <w:spacing w:line="520" w:lineRule="exact"/>
              <w:rPr>
                <w:rFonts w:asci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2130205</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 xml:space="preserve"> 林业培育</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764.00</w:t>
            </w:r>
          </w:p>
        </w:tc>
        <w:tc>
          <w:tcPr>
            <w:tcW w:w="1740" w:type="dxa"/>
          </w:tcPr>
          <w:p>
            <w:pPr>
              <w:pStyle w:val="4"/>
              <w:spacing w:line="520" w:lineRule="exact"/>
              <w:rPr>
                <w:rFonts w:ascii="仿宋_GB2312" w:eastAsia="仿宋_GB2312"/>
                <w:sz w:val="32"/>
                <w:szCs w:val="32"/>
              </w:rPr>
            </w:pP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764.00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2130206</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 xml:space="preserve"> 林业技术推广</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25.00</w:t>
            </w:r>
          </w:p>
        </w:tc>
        <w:tc>
          <w:tcPr>
            <w:tcW w:w="1740" w:type="dxa"/>
          </w:tcPr>
          <w:p>
            <w:pPr>
              <w:pStyle w:val="4"/>
              <w:spacing w:line="520" w:lineRule="exact"/>
              <w:rPr>
                <w:rFonts w:ascii="仿宋_GB2312" w:eastAsia="仿宋_GB2312"/>
                <w:sz w:val="32"/>
                <w:szCs w:val="32"/>
              </w:rPr>
            </w:pP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2130207</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 xml:space="preserve"> 林业资源管理</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4.00</w:t>
            </w:r>
          </w:p>
        </w:tc>
        <w:tc>
          <w:tcPr>
            <w:tcW w:w="1740" w:type="dxa"/>
          </w:tcPr>
          <w:p>
            <w:pPr>
              <w:pStyle w:val="4"/>
              <w:spacing w:line="520" w:lineRule="exact"/>
              <w:rPr>
                <w:rFonts w:ascii="仿宋_GB2312" w:eastAsia="仿宋_GB2312"/>
                <w:sz w:val="32"/>
                <w:szCs w:val="32"/>
              </w:rPr>
            </w:pP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2130209</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 xml:space="preserve"> 森林生态效益补偿</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8.54</w:t>
            </w:r>
          </w:p>
        </w:tc>
        <w:tc>
          <w:tcPr>
            <w:tcW w:w="1740" w:type="dxa"/>
          </w:tcPr>
          <w:p>
            <w:pPr>
              <w:pStyle w:val="4"/>
              <w:spacing w:line="520" w:lineRule="exact"/>
              <w:rPr>
                <w:rFonts w:ascii="仿宋_GB2312" w:eastAsia="仿宋_GB2312"/>
                <w:sz w:val="32"/>
                <w:szCs w:val="32"/>
              </w:rPr>
            </w:pP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8.54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2130216</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 xml:space="preserve"> 林业检疫检测</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5.00</w:t>
            </w:r>
          </w:p>
        </w:tc>
        <w:tc>
          <w:tcPr>
            <w:tcW w:w="1740" w:type="dxa"/>
          </w:tcPr>
          <w:p>
            <w:pPr>
              <w:pStyle w:val="4"/>
              <w:spacing w:line="520" w:lineRule="exact"/>
              <w:rPr>
                <w:rFonts w:ascii="仿宋_GB2312" w:eastAsia="仿宋_GB2312"/>
                <w:sz w:val="32"/>
                <w:szCs w:val="32"/>
              </w:rPr>
            </w:pP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2130234</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 xml:space="preserve"> 林业防灾减灾</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7.00</w:t>
            </w:r>
          </w:p>
        </w:tc>
        <w:tc>
          <w:tcPr>
            <w:tcW w:w="1740" w:type="dxa"/>
          </w:tcPr>
          <w:p>
            <w:pPr>
              <w:pStyle w:val="4"/>
              <w:spacing w:line="520" w:lineRule="exact"/>
              <w:rPr>
                <w:rFonts w:ascii="仿宋_GB2312" w:eastAsia="仿宋_GB2312"/>
                <w:sz w:val="32"/>
                <w:szCs w:val="32"/>
              </w:rPr>
            </w:pP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2130299</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 xml:space="preserve"> 其他林业支出</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83.76</w:t>
            </w:r>
          </w:p>
        </w:tc>
        <w:tc>
          <w:tcPr>
            <w:tcW w:w="1740" w:type="dxa"/>
          </w:tcPr>
          <w:p>
            <w:pPr>
              <w:pStyle w:val="4"/>
              <w:spacing w:line="520" w:lineRule="exact"/>
              <w:rPr>
                <w:rFonts w:ascii="仿宋_GB2312" w:eastAsia="仿宋_GB2312"/>
                <w:sz w:val="32"/>
                <w:szCs w:val="32"/>
              </w:rPr>
            </w:pP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83.76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21305</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扶贫</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60.00</w:t>
            </w:r>
          </w:p>
        </w:tc>
        <w:tc>
          <w:tcPr>
            <w:tcW w:w="1740" w:type="dxa"/>
          </w:tcPr>
          <w:p>
            <w:pPr>
              <w:pStyle w:val="4"/>
              <w:spacing w:line="520" w:lineRule="exact"/>
              <w:rPr>
                <w:rFonts w:ascii="仿宋_GB2312" w:eastAsia="仿宋_GB2312"/>
                <w:sz w:val="32"/>
                <w:szCs w:val="32"/>
              </w:rPr>
            </w:pP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2130599</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 xml:space="preserve"> 其他扶贫支出</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60.00</w:t>
            </w:r>
          </w:p>
        </w:tc>
        <w:tc>
          <w:tcPr>
            <w:tcW w:w="1740" w:type="dxa"/>
          </w:tcPr>
          <w:p>
            <w:pPr>
              <w:pStyle w:val="4"/>
              <w:spacing w:line="520" w:lineRule="exact"/>
              <w:rPr>
                <w:rFonts w:ascii="仿宋_GB2312" w:eastAsia="仿宋_GB2312"/>
                <w:sz w:val="32"/>
                <w:szCs w:val="32"/>
              </w:rPr>
            </w:pP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21306</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农业综合开发</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996.65</w:t>
            </w:r>
          </w:p>
        </w:tc>
        <w:tc>
          <w:tcPr>
            <w:tcW w:w="1740" w:type="dxa"/>
          </w:tcPr>
          <w:p>
            <w:pPr>
              <w:pStyle w:val="4"/>
              <w:spacing w:line="520" w:lineRule="exact"/>
              <w:rPr>
                <w:rFonts w:ascii="仿宋_GB2312" w:eastAsia="仿宋_GB2312"/>
                <w:sz w:val="32"/>
                <w:szCs w:val="32"/>
              </w:rPr>
            </w:pPr>
            <w:r>
              <w:rPr>
                <w:rFonts w:hint="eastAsia" w:ascii="仿宋_GB2312" w:eastAsia="仿宋_GB2312"/>
                <w:sz w:val="32"/>
                <w:szCs w:val="32"/>
              </w:rPr>
              <w:t>187.65</w:t>
            </w: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809.00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2130601</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 xml:space="preserve"> 机构运行</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187.65</w:t>
            </w:r>
          </w:p>
        </w:tc>
        <w:tc>
          <w:tcPr>
            <w:tcW w:w="1740" w:type="dxa"/>
          </w:tcPr>
          <w:p>
            <w:pPr>
              <w:pStyle w:val="4"/>
              <w:spacing w:line="520" w:lineRule="exact"/>
              <w:rPr>
                <w:rFonts w:ascii="仿宋_GB2312" w:eastAsia="仿宋_GB2312"/>
                <w:sz w:val="32"/>
                <w:szCs w:val="32"/>
              </w:rPr>
            </w:pPr>
            <w:r>
              <w:rPr>
                <w:rFonts w:hint="eastAsia" w:ascii="仿宋_GB2312" w:eastAsia="仿宋_GB2312"/>
                <w:sz w:val="32"/>
                <w:szCs w:val="32"/>
              </w:rPr>
              <w:t>187.65</w:t>
            </w:r>
          </w:p>
        </w:tc>
        <w:tc>
          <w:tcPr>
            <w:tcW w:w="1678" w:type="dxa"/>
          </w:tcPr>
          <w:p>
            <w:pPr>
              <w:pStyle w:val="4"/>
              <w:spacing w:line="520" w:lineRule="exact"/>
              <w:rPr>
                <w:rFonts w:asci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2130602</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 xml:space="preserve"> 土地治理</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660.00</w:t>
            </w:r>
          </w:p>
        </w:tc>
        <w:tc>
          <w:tcPr>
            <w:tcW w:w="1740" w:type="dxa"/>
          </w:tcPr>
          <w:p>
            <w:pPr>
              <w:pStyle w:val="4"/>
              <w:spacing w:line="520" w:lineRule="exact"/>
              <w:rPr>
                <w:rFonts w:ascii="仿宋_GB2312" w:eastAsia="仿宋_GB2312"/>
                <w:sz w:val="32"/>
                <w:szCs w:val="32"/>
              </w:rPr>
            </w:pP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660.00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2130603</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 xml:space="preserve"> 产业化经营</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149.00</w:t>
            </w:r>
          </w:p>
        </w:tc>
        <w:tc>
          <w:tcPr>
            <w:tcW w:w="1740" w:type="dxa"/>
          </w:tcPr>
          <w:p>
            <w:pPr>
              <w:pStyle w:val="4"/>
              <w:spacing w:line="520" w:lineRule="exact"/>
              <w:rPr>
                <w:rFonts w:ascii="仿宋_GB2312" w:eastAsia="仿宋_GB2312"/>
                <w:sz w:val="32"/>
                <w:szCs w:val="32"/>
              </w:rPr>
            </w:pP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149.00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21307</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农村综合改革</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6.41</w:t>
            </w:r>
          </w:p>
        </w:tc>
        <w:tc>
          <w:tcPr>
            <w:tcW w:w="1740" w:type="dxa"/>
          </w:tcPr>
          <w:p>
            <w:pPr>
              <w:pStyle w:val="4"/>
              <w:spacing w:line="520" w:lineRule="exact"/>
              <w:rPr>
                <w:rFonts w:ascii="仿宋_GB2312" w:eastAsia="仿宋_GB2312"/>
                <w:sz w:val="32"/>
                <w:szCs w:val="32"/>
              </w:rPr>
            </w:pP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6.41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2130706</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 xml:space="preserve"> 对村集体经济组织的补助</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6.41</w:t>
            </w:r>
          </w:p>
        </w:tc>
        <w:tc>
          <w:tcPr>
            <w:tcW w:w="1740" w:type="dxa"/>
          </w:tcPr>
          <w:p>
            <w:pPr>
              <w:pStyle w:val="4"/>
              <w:spacing w:line="520" w:lineRule="exact"/>
              <w:rPr>
                <w:rFonts w:ascii="仿宋_GB2312" w:eastAsia="仿宋_GB2312"/>
                <w:sz w:val="32"/>
                <w:szCs w:val="32"/>
              </w:rPr>
            </w:pP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6.41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21399</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其他农林水支出</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3.00</w:t>
            </w:r>
          </w:p>
        </w:tc>
        <w:tc>
          <w:tcPr>
            <w:tcW w:w="1740" w:type="dxa"/>
          </w:tcPr>
          <w:p>
            <w:pPr>
              <w:pStyle w:val="4"/>
              <w:spacing w:line="520" w:lineRule="exact"/>
              <w:rPr>
                <w:rFonts w:ascii="仿宋_GB2312" w:eastAsia="仿宋_GB2312"/>
                <w:sz w:val="32"/>
                <w:szCs w:val="32"/>
              </w:rPr>
            </w:pP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0" w:type="dxa"/>
          </w:tcPr>
          <w:p>
            <w:pPr>
              <w:pStyle w:val="4"/>
              <w:spacing w:line="520" w:lineRule="exact"/>
              <w:rPr>
                <w:rFonts w:ascii="仿宋_GB2312" w:eastAsia="仿宋_GB2312"/>
                <w:sz w:val="32"/>
                <w:szCs w:val="32"/>
              </w:rPr>
            </w:pPr>
            <w:r>
              <w:rPr>
                <w:rFonts w:hint="eastAsia" w:ascii="仿宋_GB2312" w:eastAsia="仿宋_GB2312"/>
                <w:sz w:val="32"/>
                <w:szCs w:val="32"/>
              </w:rPr>
              <w:t>2139901</w:t>
            </w:r>
          </w:p>
        </w:tc>
        <w:tc>
          <w:tcPr>
            <w:tcW w:w="2939" w:type="dxa"/>
          </w:tcPr>
          <w:p>
            <w:pPr>
              <w:pStyle w:val="4"/>
              <w:spacing w:line="520" w:lineRule="exact"/>
              <w:rPr>
                <w:rFonts w:ascii="仿宋_GB2312" w:eastAsia="仿宋_GB2312"/>
                <w:sz w:val="32"/>
                <w:szCs w:val="32"/>
              </w:rPr>
            </w:pPr>
            <w:r>
              <w:rPr>
                <w:rFonts w:hint="eastAsia" w:ascii="仿宋_GB2312" w:eastAsia="仿宋_GB2312"/>
                <w:sz w:val="32"/>
                <w:szCs w:val="32"/>
              </w:rPr>
              <w:t xml:space="preserve"> 化解其他公益性乡村债务支出</w:t>
            </w:r>
          </w:p>
        </w:tc>
        <w:tc>
          <w:tcPr>
            <w:tcW w:w="1723" w:type="dxa"/>
          </w:tcPr>
          <w:p>
            <w:pPr>
              <w:pStyle w:val="4"/>
              <w:spacing w:line="520" w:lineRule="exact"/>
              <w:rPr>
                <w:rFonts w:ascii="仿宋_GB2312" w:eastAsia="仿宋_GB2312"/>
                <w:sz w:val="32"/>
                <w:szCs w:val="32"/>
              </w:rPr>
            </w:pPr>
            <w:r>
              <w:rPr>
                <w:rFonts w:hint="eastAsia" w:ascii="仿宋_GB2312" w:eastAsia="仿宋_GB2312"/>
                <w:sz w:val="32"/>
                <w:szCs w:val="32"/>
              </w:rPr>
              <w:t>3.00</w:t>
            </w:r>
          </w:p>
        </w:tc>
        <w:tc>
          <w:tcPr>
            <w:tcW w:w="1740" w:type="dxa"/>
          </w:tcPr>
          <w:p>
            <w:pPr>
              <w:pStyle w:val="4"/>
              <w:spacing w:line="520" w:lineRule="exact"/>
              <w:rPr>
                <w:rFonts w:ascii="仿宋_GB2312" w:eastAsia="仿宋_GB2312"/>
                <w:sz w:val="32"/>
                <w:szCs w:val="32"/>
              </w:rPr>
            </w:pPr>
          </w:p>
        </w:tc>
        <w:tc>
          <w:tcPr>
            <w:tcW w:w="1678" w:type="dxa"/>
          </w:tcPr>
          <w:p>
            <w:pPr>
              <w:pStyle w:val="4"/>
              <w:spacing w:line="520" w:lineRule="exact"/>
              <w:rPr>
                <w:rFonts w:ascii="仿宋_GB2312" w:eastAsia="仿宋_GB2312"/>
                <w:sz w:val="32"/>
                <w:szCs w:val="32"/>
              </w:rPr>
            </w:pPr>
            <w:r>
              <w:rPr>
                <w:rFonts w:hint="eastAsia" w:ascii="仿宋_GB2312" w:eastAsia="仿宋_GB2312"/>
                <w:sz w:val="32"/>
                <w:szCs w:val="32"/>
              </w:rPr>
              <w:t>3.00</w:t>
            </w:r>
          </w:p>
        </w:tc>
      </w:tr>
    </w:tbl>
    <w:p>
      <w:pPr>
        <w:pStyle w:val="4"/>
        <w:spacing w:line="520" w:lineRule="exact"/>
        <w:rPr>
          <w:rFonts w:ascii="仿宋_GB2312" w:eastAsia="仿宋_GB2312"/>
          <w:sz w:val="32"/>
          <w:szCs w:val="32"/>
        </w:rPr>
      </w:pPr>
    </w:p>
    <w:p>
      <w:pPr>
        <w:pStyle w:val="4"/>
        <w:spacing w:line="520" w:lineRule="exact"/>
        <w:ind w:left="420" w:leftChars="200"/>
        <w:rPr>
          <w:rFonts w:ascii="仿宋_GB2312" w:eastAsia="仿宋_GB2312"/>
          <w:sz w:val="32"/>
          <w:szCs w:val="32"/>
        </w:rPr>
      </w:pPr>
      <w:r>
        <w:rPr>
          <w:rFonts w:hint="eastAsia" w:ascii="仿宋_GB2312" w:eastAsia="仿宋_GB2312"/>
          <w:sz w:val="32"/>
          <w:szCs w:val="32"/>
        </w:rPr>
        <w:t>3.一般公共预算财政拨款基本支出决算情况</w:t>
      </w:r>
    </w:p>
    <w:p>
      <w:pPr>
        <w:pStyle w:val="4"/>
        <w:spacing w:line="520" w:lineRule="exact"/>
        <w:ind w:firstLine="640" w:firstLineChars="200"/>
        <w:rPr>
          <w:rFonts w:ascii="楷体_GB2312" w:hAnsi="楷体_GB2312" w:eastAsia="楷体_GB2312" w:cs="楷体_GB2312"/>
          <w:b/>
          <w:bCs/>
          <w:sz w:val="32"/>
          <w:szCs w:val="32"/>
        </w:rPr>
      </w:pPr>
      <w:r>
        <w:rPr>
          <w:rFonts w:hint="eastAsia" w:ascii="仿宋_GB2312" w:eastAsia="仿宋_GB2312"/>
          <w:sz w:val="32"/>
          <w:szCs w:val="32"/>
        </w:rPr>
        <w:t>2017年度一般公共预算财政拨款基本支出1518.43万元，其中：人员经费1388.32万元，公用经费130.11万元，用于保障机构正常运转和日常工作需要。</w:t>
      </w:r>
    </w:p>
    <w:p>
      <w:pPr>
        <w:pStyle w:val="4"/>
        <w:spacing w:before="0" w:beforeAutospacing="0" w:after="0" w:afterAutospacing="0" w:line="560" w:lineRule="exact"/>
        <w:ind w:firstLine="640" w:firstLineChars="200"/>
        <w:rPr>
          <w:rFonts w:ascii="仿宋_GB2312" w:hAnsi="华文仿宋" w:eastAsia="仿宋_GB2312" w:cs="华文仿宋"/>
          <w:color w:val="000000"/>
          <w:sz w:val="32"/>
          <w:szCs w:val="32"/>
        </w:rPr>
      </w:pPr>
      <w:r>
        <w:rPr>
          <w:rFonts w:ascii="仿宋_GB2312" w:hAnsi="华文仿宋" w:eastAsia="仿宋_GB2312" w:cs="华文仿宋"/>
          <w:sz w:val="32"/>
          <w:szCs w:val="32"/>
        </w:rPr>
        <w:t>4.</w:t>
      </w:r>
      <w:r>
        <w:rPr>
          <w:rFonts w:hint="eastAsia" w:ascii="仿宋_GB2312" w:hAnsi="华文仿宋" w:eastAsia="仿宋_GB2312" w:cs="华文仿宋"/>
          <w:sz w:val="32"/>
          <w:szCs w:val="32"/>
        </w:rPr>
        <w:t>政府性基金财政拨款收支情况</w:t>
      </w:r>
    </w:p>
    <w:p>
      <w:pPr>
        <w:pStyle w:val="4"/>
        <w:spacing w:before="0" w:beforeAutospacing="0" w:after="0" w:afterAutospacing="0" w:line="560" w:lineRule="exact"/>
        <w:ind w:firstLine="640" w:firstLineChars="200"/>
        <w:rPr>
          <w:rFonts w:ascii="仿宋_GB2312" w:hAnsi="华文仿宋" w:eastAsia="仿宋_GB2312" w:cs="华文仿宋"/>
          <w:color w:val="000000"/>
          <w:sz w:val="32"/>
          <w:szCs w:val="32"/>
        </w:rPr>
      </w:pPr>
      <w:r>
        <w:rPr>
          <w:rFonts w:hint="eastAsia" w:ascii="仿宋_GB2312" w:hAnsi="华文仿宋" w:eastAsia="仿宋_GB2312" w:cs="华文仿宋"/>
          <w:color w:val="000000"/>
          <w:sz w:val="32"/>
          <w:szCs w:val="32"/>
        </w:rPr>
        <w:t>农林局无政府性基金决算收支，并已公开空表</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5.</w:t>
      </w:r>
      <w:r>
        <w:rPr>
          <w:rFonts w:hint="eastAsia" w:ascii="仿宋_GB2312" w:hAnsi="华文仿宋" w:eastAsia="仿宋_GB2312" w:cs="华文仿宋"/>
          <w:sz w:val="32"/>
          <w:szCs w:val="32"/>
        </w:rPr>
        <w:t>国有资本经营财政拨款收支情况</w:t>
      </w:r>
    </w:p>
    <w:p>
      <w:pPr>
        <w:spacing w:line="560" w:lineRule="exact"/>
        <w:ind w:firstLine="600" w:firstLineChars="200"/>
        <w:rPr>
          <w:rFonts w:ascii="仿宋_GB2312" w:hAnsi="华文仿宋" w:eastAsia="仿宋_GB2312" w:cs="华文仿宋"/>
          <w:sz w:val="30"/>
          <w:szCs w:val="30"/>
        </w:rPr>
      </w:pPr>
      <w:r>
        <w:rPr>
          <w:rFonts w:hint="eastAsia" w:ascii="仿宋_GB2312" w:hAnsi="华文仿宋" w:eastAsia="仿宋_GB2312" w:cs="华文仿宋"/>
          <w:sz w:val="30"/>
          <w:szCs w:val="30"/>
        </w:rPr>
        <w:t>农林局无国有资本经营决算拨款收支</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6.</w:t>
      </w:r>
      <w:r>
        <w:rPr>
          <w:rFonts w:hint="eastAsia" w:ascii="仿宋_GB2312" w:hAnsi="华文仿宋" w:eastAsia="仿宋_GB2312" w:cs="华文仿宋"/>
          <w:sz w:val="32"/>
          <w:szCs w:val="32"/>
        </w:rPr>
        <w:t>政府采购支出情况</w:t>
      </w:r>
    </w:p>
    <w:p>
      <w:pPr>
        <w:spacing w:line="520" w:lineRule="exact"/>
        <w:ind w:firstLine="645"/>
        <w:rPr>
          <w:rFonts w:ascii="仿宋_GB2312" w:hAnsi="华文仿宋" w:eastAsia="仿宋_GB2312" w:cs="华文仿宋"/>
          <w:sz w:val="32"/>
          <w:szCs w:val="32"/>
        </w:rPr>
      </w:pPr>
      <w:r>
        <w:rPr>
          <w:rFonts w:hint="eastAsia" w:ascii="仿宋_GB2312" w:hAnsi="宋体" w:eastAsia="仿宋_GB2312" w:cs="宋体"/>
          <w:sz w:val="30"/>
          <w:szCs w:val="30"/>
        </w:rPr>
        <w:t>2017年本部门政府采购支出总额326.42万元，其中：政府采购货物支出130.07万元、政府采购工程支出141.20万元、政府采购服务支出55.15万元。</w:t>
      </w:r>
    </w:p>
    <w:p>
      <w:pPr>
        <w:spacing w:line="560" w:lineRule="exact"/>
        <w:ind w:firstLine="643" w:firstLineChars="200"/>
        <w:rPr>
          <w:rFonts w:ascii="楷体_GB2312" w:hAnsi="楷体_GB2312" w:eastAsia="楷体_GB2312" w:cs="楷体_GB2312"/>
          <w:b/>
          <w:bCs/>
          <w:sz w:val="32"/>
          <w:szCs w:val="32"/>
        </w:rPr>
      </w:pP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三</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2</w:t>
      </w:r>
      <w:r>
        <w:rPr>
          <w:rFonts w:ascii="楷体_GB2312" w:hAnsi="楷体_GB2312" w:eastAsia="楷体_GB2312" w:cs="楷体_GB2312"/>
          <w:b/>
          <w:bCs/>
          <w:sz w:val="32"/>
          <w:szCs w:val="32"/>
        </w:rPr>
        <w:t>017</w:t>
      </w:r>
      <w:r>
        <w:rPr>
          <w:rFonts w:hint="eastAsia" w:ascii="楷体_GB2312" w:hAnsi="楷体_GB2312" w:eastAsia="楷体_GB2312" w:cs="楷体_GB2312"/>
          <w:b/>
          <w:bCs/>
          <w:sz w:val="32"/>
          <w:szCs w:val="32"/>
        </w:rPr>
        <w:t>年“三公”经费、培训费及会议费支出情况</w:t>
      </w:r>
    </w:p>
    <w:p>
      <w:pPr>
        <w:pStyle w:val="4"/>
        <w:numPr>
          <w:ilvl w:val="0"/>
          <w:numId w:val="2"/>
        </w:numPr>
        <w:spacing w:before="0" w:beforeAutospacing="0" w:after="0" w:afterAutospacing="0" w:line="560" w:lineRule="exact"/>
        <w:ind w:firstLine="640" w:firstLineChars="200"/>
        <w:rPr>
          <w:rFonts w:ascii="仿宋_GB2312" w:hAnsi="楷体_GB2312" w:eastAsia="仿宋_GB2312" w:cs="楷体_GB2312"/>
          <w:sz w:val="32"/>
          <w:szCs w:val="32"/>
        </w:rPr>
      </w:pPr>
      <w:r>
        <w:rPr>
          <w:rFonts w:hint="eastAsia" w:ascii="仿宋_GB2312" w:hAnsi="楷体_GB2312" w:eastAsia="仿宋_GB2312" w:cs="楷体_GB2312"/>
          <w:sz w:val="32"/>
          <w:szCs w:val="32"/>
        </w:rPr>
        <w:t>“三公”经费财政拨款支出总体情况说明</w:t>
      </w:r>
    </w:p>
    <w:p>
      <w:pPr>
        <w:pStyle w:val="4"/>
        <w:spacing w:line="520" w:lineRule="exact"/>
        <w:ind w:firstLine="640" w:firstLineChars="200"/>
        <w:rPr>
          <w:rFonts w:ascii="仿宋_GB2312" w:eastAsia="仿宋_GB2312"/>
          <w:sz w:val="32"/>
          <w:szCs w:val="32"/>
        </w:rPr>
      </w:pPr>
      <w:r>
        <w:rPr>
          <w:rFonts w:hint="eastAsia" w:ascii="仿宋_GB2312" w:eastAsia="仿宋_GB2312"/>
          <w:sz w:val="32"/>
          <w:szCs w:val="32"/>
        </w:rPr>
        <w:t>2017年度一般公共预算财政拨款安排的“三公经费”支出18.74万元，其中，因公出国（境）费用0万元，公务用车购置及运行维护费7.71万元，公务接待费11.03元.2017年度“三公经费”支出比2016年增加0.27万元，下降1.42%,其中：</w:t>
      </w:r>
    </w:p>
    <w:p>
      <w:pPr>
        <w:pStyle w:val="4"/>
        <w:shd w:val="clear" w:color="auto" w:fill="FFFFFF"/>
        <w:spacing w:line="520" w:lineRule="exact"/>
        <w:ind w:firstLine="600"/>
        <w:rPr>
          <w:rFonts w:ascii="仿宋_GB2312" w:eastAsia="仿宋_GB2312"/>
          <w:color w:val="000000"/>
          <w:sz w:val="32"/>
          <w:szCs w:val="32"/>
        </w:rPr>
      </w:pPr>
      <w:r>
        <w:rPr>
          <w:rFonts w:hint="eastAsia" w:ascii="仿宋_GB2312" w:eastAsia="仿宋_GB2312"/>
          <w:sz w:val="32"/>
          <w:szCs w:val="32"/>
        </w:rPr>
        <w:t>（1）</w:t>
      </w:r>
      <w:r>
        <w:rPr>
          <w:rFonts w:hint="eastAsia" w:ascii="仿宋_GB2312" w:eastAsia="仿宋_GB2312"/>
          <w:color w:val="000000"/>
          <w:sz w:val="32"/>
          <w:szCs w:val="32"/>
        </w:rPr>
        <w:t>2017年</w:t>
      </w:r>
      <w:r>
        <w:rPr>
          <w:rFonts w:hint="eastAsia" w:ascii="仿宋_GB2312" w:eastAsia="仿宋_GB2312"/>
          <w:color w:val="000000"/>
          <w:sz w:val="32"/>
          <w:szCs w:val="32"/>
          <w:lang w:eastAsia="zh-CN"/>
        </w:rPr>
        <w:t>农林局</w:t>
      </w:r>
      <w:r>
        <w:rPr>
          <w:rFonts w:hint="eastAsia" w:ascii="仿宋_GB2312" w:eastAsia="仿宋_GB2312"/>
          <w:color w:val="000000"/>
          <w:sz w:val="32"/>
          <w:szCs w:val="32"/>
        </w:rPr>
        <w:t>无因公出国</w:t>
      </w:r>
      <w:r>
        <w:rPr>
          <w:rFonts w:hint="eastAsia" w:ascii="仿宋_GB2312" w:eastAsia="仿宋_GB2312"/>
          <w:color w:val="000000"/>
          <w:sz w:val="32"/>
          <w:szCs w:val="32"/>
          <w:lang w:eastAsia="zh-CN"/>
        </w:rPr>
        <w:t>及因公出国</w:t>
      </w:r>
      <w:r>
        <w:rPr>
          <w:rFonts w:hint="eastAsia" w:ascii="仿宋_GB2312" w:eastAsia="仿宋_GB2312"/>
          <w:color w:val="000000"/>
          <w:sz w:val="32"/>
          <w:szCs w:val="32"/>
        </w:rPr>
        <w:t>支出</w:t>
      </w: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2017年较2016年无变化，均无因公出国及支出，主要是严格贯彻执行中央八项规定，严格控制出国支出.</w:t>
      </w:r>
    </w:p>
    <w:p>
      <w:pPr>
        <w:pStyle w:val="4"/>
        <w:shd w:val="clear" w:color="auto" w:fill="FFFFFF"/>
        <w:spacing w:line="520" w:lineRule="exact"/>
        <w:ind w:firstLine="600"/>
        <w:rPr>
          <w:rFonts w:ascii="仿宋_GB2312" w:eastAsia="仿宋_GB2312"/>
          <w:color w:val="000000"/>
          <w:sz w:val="32"/>
          <w:szCs w:val="32"/>
        </w:rPr>
      </w:pPr>
      <w:r>
        <w:rPr>
          <w:rFonts w:hint="eastAsia" w:ascii="仿宋_GB2312" w:eastAsia="仿宋_GB2312"/>
          <w:sz w:val="32"/>
          <w:szCs w:val="32"/>
        </w:rPr>
        <w:t>（2）</w:t>
      </w:r>
      <w:r>
        <w:rPr>
          <w:rFonts w:hint="eastAsia" w:ascii="仿宋_GB2312" w:eastAsia="仿宋_GB2312"/>
          <w:color w:val="000000"/>
          <w:sz w:val="32"/>
          <w:szCs w:val="32"/>
        </w:rPr>
        <w:t>公务接待费用支出11.03万元，其中：外事接待0万元；国内公务接待支出11.03万元，比上年增加0.85 万元，主要原因是人员增加，部门预算招待费增加，招待批次增加，增加了招待费用。全年使用一般公共预算财政拨款安排的国内公务接待330 批次， 1984人，开支内容主要为省、市、区检查、调研等支出。</w:t>
      </w:r>
    </w:p>
    <w:p>
      <w:pPr>
        <w:pStyle w:val="4"/>
        <w:spacing w:line="520" w:lineRule="exact"/>
        <w:ind w:firstLine="640" w:firstLineChars="200"/>
        <w:rPr>
          <w:rFonts w:ascii="仿宋_GB2312" w:eastAsia="仿宋_GB2312"/>
          <w:sz w:val="32"/>
          <w:szCs w:val="32"/>
        </w:rPr>
      </w:pPr>
      <w:r>
        <w:rPr>
          <w:rFonts w:hint="eastAsia" w:ascii="仿宋_GB2312" w:eastAsia="仿宋_GB2312"/>
          <w:sz w:val="32"/>
          <w:szCs w:val="32"/>
        </w:rPr>
        <w:t>（3</w:t>
      </w:r>
      <w:r>
        <w:rPr>
          <w:rFonts w:ascii="仿宋_GB2312" w:eastAsia="仿宋_GB2312"/>
          <w:sz w:val="32"/>
          <w:szCs w:val="32"/>
        </w:rPr>
        <w:t>）</w:t>
      </w:r>
      <w:r>
        <w:rPr>
          <w:rFonts w:hint="eastAsia" w:ascii="仿宋_GB2312" w:eastAsia="仿宋_GB2312"/>
          <w:color w:val="000000"/>
          <w:sz w:val="32"/>
          <w:szCs w:val="32"/>
        </w:rPr>
        <w:t>2017年公务用车购置及运行维护支出7.71万元，其中公务用车购置费0万元，公务用车运行费7.71万元，</w:t>
      </w:r>
      <w:r>
        <w:rPr>
          <w:rFonts w:hint="eastAsia" w:ascii="仿宋_GB2312" w:eastAsia="仿宋_GB2312"/>
          <w:color w:val="000000" w:themeColor="text1"/>
          <w:sz w:val="32"/>
          <w:szCs w:val="32"/>
          <w14:textFill>
            <w14:solidFill>
              <w14:schemeClr w14:val="tx1"/>
            </w14:solidFill>
          </w14:textFill>
        </w:rPr>
        <w:t>比上年决算减少 1.12 万元</w:t>
      </w:r>
      <w:r>
        <w:rPr>
          <w:rFonts w:hint="eastAsia" w:ascii="仿宋_GB2312" w:eastAsia="仿宋_GB2312"/>
          <w:color w:val="000000"/>
          <w:sz w:val="32"/>
          <w:szCs w:val="32"/>
        </w:rPr>
        <w:t>，占“三公经费”的41.14%较2016年</w:t>
      </w:r>
      <w:r>
        <w:rPr>
          <w:rFonts w:hint="eastAsia" w:ascii="仿宋_GB2312" w:eastAsia="仿宋_GB2312"/>
          <w:sz w:val="32"/>
          <w:szCs w:val="32"/>
        </w:rPr>
        <w:t>下降12.68</w:t>
      </w:r>
      <w:r>
        <w:rPr>
          <w:rFonts w:hint="eastAsia" w:ascii="仿宋_GB2312" w:eastAsia="仿宋_GB2312"/>
          <w:color w:val="000000"/>
          <w:sz w:val="32"/>
          <w:szCs w:val="32"/>
        </w:rPr>
        <w:t>%，原因压缩公务用车运行经费。2017年所有一般公共预算财政拨款开支维护费的公务用车保有量9辆</w:t>
      </w:r>
    </w:p>
    <w:p>
      <w:pPr>
        <w:pStyle w:val="4"/>
        <w:spacing w:line="520" w:lineRule="exact"/>
        <w:ind w:firstLine="640" w:firstLineChars="200"/>
        <w:rPr>
          <w:rFonts w:ascii="仿宋_GB2312" w:eastAsia="仿宋_GB2312"/>
          <w:sz w:val="32"/>
          <w:szCs w:val="32"/>
        </w:rPr>
      </w:pPr>
      <w:r>
        <w:rPr>
          <w:rFonts w:hint="eastAsia" w:ascii="仿宋_GB2312" w:eastAsia="仿宋_GB2312"/>
          <w:color w:val="000000"/>
          <w:sz w:val="32"/>
          <w:szCs w:val="32"/>
        </w:rPr>
        <w:t>2.</w:t>
      </w:r>
      <w:r>
        <w:rPr>
          <w:rFonts w:hint="eastAsia" w:ascii="仿宋_GB2312" w:eastAsia="仿宋_GB2312"/>
          <w:sz w:val="32"/>
          <w:szCs w:val="32"/>
        </w:rPr>
        <w:t>培训费支出决算情况</w:t>
      </w:r>
    </w:p>
    <w:p>
      <w:pPr>
        <w:pStyle w:val="4"/>
        <w:shd w:val="clear" w:color="auto" w:fill="FFFFFF"/>
        <w:spacing w:line="520" w:lineRule="exact"/>
        <w:ind w:firstLine="600"/>
        <w:rPr>
          <w:rFonts w:ascii="仿宋_GB2312" w:eastAsia="仿宋_GB2312"/>
          <w:color w:val="000000"/>
          <w:sz w:val="32"/>
          <w:szCs w:val="32"/>
        </w:rPr>
      </w:pPr>
      <w:r>
        <w:rPr>
          <w:rFonts w:hint="eastAsia" w:ascii="仿宋_GB2312" w:eastAsia="仿宋_GB2312"/>
          <w:sz w:val="32"/>
          <w:szCs w:val="32"/>
        </w:rPr>
        <w:t>培训费支出1.43万元，主要是农业技术推广培训支出，较2016年减少0.36万元，下降20.11%，</w:t>
      </w:r>
      <w:r>
        <w:rPr>
          <w:rFonts w:hint="eastAsia" w:ascii="仿宋_GB2312" w:eastAsia="仿宋_GB2312"/>
          <w:color w:val="000000"/>
          <w:sz w:val="32"/>
          <w:szCs w:val="32"/>
        </w:rPr>
        <w:t>原因减少培训次数，压缩培训支出。</w:t>
      </w:r>
    </w:p>
    <w:p>
      <w:pPr>
        <w:pStyle w:val="4"/>
        <w:spacing w:line="520" w:lineRule="exact"/>
        <w:ind w:firstLine="640" w:firstLineChars="200"/>
        <w:rPr>
          <w:rFonts w:ascii="仿宋_GB2312" w:eastAsia="仿宋_GB2312"/>
          <w:sz w:val="32"/>
          <w:szCs w:val="32"/>
        </w:rPr>
      </w:pPr>
      <w:r>
        <w:rPr>
          <w:rFonts w:hint="eastAsia" w:ascii="仿宋_GB2312" w:eastAsia="仿宋_GB2312"/>
          <w:sz w:val="32"/>
          <w:szCs w:val="32"/>
        </w:rPr>
        <w:t>3.会议费支出决算情况</w:t>
      </w:r>
    </w:p>
    <w:p>
      <w:pPr>
        <w:pStyle w:val="4"/>
        <w:spacing w:line="520" w:lineRule="exact"/>
        <w:ind w:firstLine="640" w:firstLineChars="200"/>
        <w:rPr>
          <w:rFonts w:ascii="仿宋_GB2312" w:hAnsi="楷体_GB2312" w:eastAsia="仿宋_GB2312" w:cs="楷体_GB2312"/>
          <w:sz w:val="32"/>
          <w:szCs w:val="32"/>
        </w:rPr>
      </w:pPr>
      <w:r>
        <w:rPr>
          <w:rFonts w:hint="eastAsia" w:ascii="仿宋_GB2312" w:eastAsia="仿宋_GB2312"/>
          <w:sz w:val="32"/>
          <w:szCs w:val="32"/>
        </w:rPr>
        <w:t>会议费支出1.09万元，主要是农产品质量安全及农村土地承包经营权确权登记会议，各种培训会议等支出，较2016年增加0.73万元，增长66.97%,</w:t>
      </w:r>
      <w:r>
        <w:rPr>
          <w:rFonts w:hint="eastAsia" w:ascii="仿宋_GB2312" w:eastAsia="仿宋_GB2312"/>
          <w:color w:val="000000"/>
          <w:sz w:val="32"/>
          <w:szCs w:val="32"/>
        </w:rPr>
        <w:t>原因农村土地确权及农产品质量安全会议等主要会议召开，支出增加。</w:t>
      </w:r>
    </w:p>
    <w:p>
      <w:pPr>
        <w:pStyle w:val="4"/>
        <w:shd w:val="clear" w:color="auto" w:fill="FFFFFF"/>
        <w:spacing w:before="0" w:beforeAutospacing="0" w:after="0" w:afterAutospacing="0" w:line="560" w:lineRule="exact"/>
        <w:ind w:firstLine="640" w:firstLineChars="200"/>
        <w:rPr>
          <w:rStyle w:val="8"/>
          <w:rFonts w:ascii="黑体" w:eastAsia="黑体" w:cs="黑体"/>
          <w:b w:val="0"/>
          <w:color w:val="000000"/>
          <w:sz w:val="32"/>
          <w:szCs w:val="32"/>
        </w:rPr>
      </w:pPr>
      <w:r>
        <w:rPr>
          <w:rStyle w:val="8"/>
          <w:rFonts w:hint="eastAsia" w:ascii="黑体" w:eastAsia="黑体" w:cs="黑体"/>
          <w:b w:val="0"/>
          <w:color w:val="000000"/>
          <w:sz w:val="32"/>
          <w:szCs w:val="32"/>
        </w:rPr>
        <w:t>六、</w:t>
      </w:r>
      <w:r>
        <w:rPr>
          <w:rStyle w:val="8"/>
          <w:rFonts w:ascii="黑体" w:eastAsia="黑体" w:cs="黑体"/>
          <w:b w:val="0"/>
          <w:color w:val="000000"/>
          <w:sz w:val="32"/>
          <w:szCs w:val="32"/>
        </w:rPr>
        <w:t>2017</w:t>
      </w:r>
      <w:r>
        <w:rPr>
          <w:rStyle w:val="8"/>
          <w:rFonts w:hint="eastAsia" w:ascii="黑体" w:eastAsia="黑体" w:cs="黑体"/>
          <w:b w:val="0"/>
          <w:color w:val="000000"/>
          <w:sz w:val="32"/>
          <w:szCs w:val="32"/>
        </w:rPr>
        <w:t>年度部门绩效管理情况说明</w:t>
      </w:r>
    </w:p>
    <w:p>
      <w:pPr>
        <w:spacing w:line="560" w:lineRule="exact"/>
        <w:ind w:firstLine="640" w:firstLineChars="200"/>
        <w:rPr>
          <w:rFonts w:ascii="仿宋_GB2312" w:hAnsi="华文仿宋" w:eastAsia="仿宋_GB2312" w:cs="华文仿宋"/>
          <w:color w:val="000000" w:themeColor="text1"/>
          <w:sz w:val="32"/>
          <w:szCs w:val="32"/>
          <w14:textFill>
            <w14:solidFill>
              <w14:schemeClr w14:val="tx1"/>
            </w14:solidFill>
          </w14:textFill>
        </w:rPr>
      </w:pPr>
      <w:r>
        <w:rPr>
          <w:rFonts w:ascii="仿宋_GB2312" w:hAnsi="华文仿宋" w:eastAsia="仿宋_GB2312" w:cs="华文仿宋"/>
          <w:color w:val="000000" w:themeColor="text1"/>
          <w:sz w:val="32"/>
          <w:szCs w:val="32"/>
          <w14:textFill>
            <w14:solidFill>
              <w14:schemeClr w14:val="tx1"/>
            </w14:solidFill>
          </w14:textFill>
        </w:rPr>
        <w:t>2017</w:t>
      </w:r>
      <w:r>
        <w:rPr>
          <w:rFonts w:hint="eastAsia" w:ascii="仿宋_GB2312" w:hAnsi="华文仿宋" w:eastAsia="仿宋_GB2312" w:cs="华文仿宋"/>
          <w:color w:val="000000" w:themeColor="text1"/>
          <w:sz w:val="32"/>
          <w:szCs w:val="32"/>
          <w14:textFill>
            <w14:solidFill>
              <w14:schemeClr w14:val="tx1"/>
            </w14:solidFill>
          </w14:textFill>
        </w:rPr>
        <w:t>年本部门对8 个专项业务经费项目开展了绩效自评，涉及一般公共预算当年拨款256万元</w:t>
      </w:r>
    </w:p>
    <w:p>
      <w:pPr>
        <w:pStyle w:val="4"/>
        <w:shd w:val="clear" w:color="auto" w:fill="FFFFFF"/>
        <w:spacing w:before="0" w:beforeAutospacing="0" w:after="0" w:afterAutospacing="0" w:line="560" w:lineRule="exact"/>
        <w:ind w:firstLine="640" w:firstLineChars="200"/>
        <w:rPr>
          <w:rStyle w:val="8"/>
          <w:rFonts w:ascii="黑体" w:eastAsia="黑体" w:cs="黑体"/>
          <w:b w:val="0"/>
          <w:bCs w:val="0"/>
          <w:color w:val="000000"/>
          <w:sz w:val="32"/>
          <w:szCs w:val="32"/>
        </w:rPr>
      </w:pPr>
      <w:r>
        <w:rPr>
          <w:rStyle w:val="8"/>
          <w:rFonts w:hint="eastAsia" w:ascii="黑体" w:eastAsia="黑体" w:cs="黑体"/>
          <w:b w:val="0"/>
          <w:bCs w:val="0"/>
          <w:color w:val="000000"/>
          <w:sz w:val="32"/>
          <w:szCs w:val="32"/>
        </w:rPr>
        <w:t>七、</w:t>
      </w:r>
      <w:r>
        <w:rPr>
          <w:rStyle w:val="8"/>
          <w:rFonts w:ascii="黑体" w:eastAsia="黑体" w:cs="黑体"/>
          <w:b w:val="0"/>
          <w:bCs w:val="0"/>
          <w:color w:val="000000"/>
          <w:sz w:val="32"/>
          <w:szCs w:val="32"/>
        </w:rPr>
        <w:t>2017</w:t>
      </w:r>
      <w:r>
        <w:rPr>
          <w:rStyle w:val="8"/>
          <w:rFonts w:hint="eastAsia" w:ascii="黑体" w:eastAsia="黑体" w:cs="黑体"/>
          <w:b w:val="0"/>
          <w:bCs w:val="0"/>
          <w:color w:val="000000"/>
          <w:sz w:val="32"/>
          <w:szCs w:val="32"/>
        </w:rPr>
        <w:t>年其他重要事项情况说明</w:t>
      </w:r>
    </w:p>
    <w:p>
      <w:pPr>
        <w:pStyle w:val="4"/>
        <w:spacing w:before="0" w:beforeAutospacing="0" w:after="0" w:afterAutospacing="0" w:line="560" w:lineRule="exact"/>
        <w:ind w:firstLine="643" w:firstLineChars="200"/>
        <w:rPr>
          <w:rFonts w:ascii="仿宋_GB2312" w:hAnsi="华文仿宋" w:eastAsia="仿宋_GB2312" w:cs="华文仿宋"/>
          <w:sz w:val="32"/>
          <w:szCs w:val="32"/>
        </w:rPr>
      </w:pPr>
      <w:r>
        <w:rPr>
          <w:rFonts w:hint="eastAsia" w:ascii="楷体_GB2312" w:hAnsi="楷体_GB2312" w:eastAsia="楷体_GB2312" w:cs="楷体_GB2312"/>
          <w:b/>
          <w:bCs/>
          <w:sz w:val="32"/>
          <w:szCs w:val="32"/>
        </w:rPr>
        <w:t>（一）机关运行经费支出情况</w:t>
      </w:r>
    </w:p>
    <w:p>
      <w:pPr>
        <w:pStyle w:val="4"/>
        <w:spacing w:line="520" w:lineRule="exact"/>
        <w:ind w:firstLine="640" w:firstLineChars="200"/>
        <w:rPr>
          <w:rFonts w:ascii="仿宋_GB2312" w:hAnsi="华文仿宋" w:eastAsia="仿宋_GB2312" w:cs="华文仿宋"/>
          <w:sz w:val="32"/>
          <w:szCs w:val="32"/>
        </w:rPr>
      </w:pPr>
      <w:r>
        <w:rPr>
          <w:rFonts w:hint="eastAsia" w:ascii="仿宋_GB2312" w:eastAsia="仿宋_GB2312"/>
          <w:sz w:val="32"/>
          <w:szCs w:val="32"/>
        </w:rPr>
        <w:t>2017年本部门机关运行经费支出45.96万元，用于维持机关日常运转所必需的公用支出。其中：行政单位1户，合计29.12万元，占机关运行经费的63.36%；参照公务员法管理的事业单位1户，合计16.84万元，占机关运行经费的36.64%。2017年机关运行经费支出比2016年同口径减少31.91万元，下降40.97%，主要原因是一是办公及人员经费减少，二是三公经费支出减少。</w:t>
      </w:r>
    </w:p>
    <w:p>
      <w:pPr>
        <w:spacing w:line="56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（二）国有资产占用及购置情况说明</w:t>
      </w:r>
    </w:p>
    <w:p>
      <w:pPr>
        <w:spacing w:line="560" w:lineRule="exact"/>
        <w:ind w:firstLine="640" w:firstLineChars="200"/>
        <w:rPr>
          <w:rFonts w:ascii="仿宋_GB2312" w:hAnsi="华文仿宋" w:eastAsia="仿宋_GB2312" w:cs="华文仿宋"/>
          <w:sz w:val="32"/>
          <w:szCs w:val="32"/>
        </w:rPr>
      </w:pPr>
      <w:r>
        <w:rPr>
          <w:rFonts w:hint="eastAsia" w:ascii="仿宋_GB2312" w:hAnsi="宋体" w:eastAsia="仿宋_GB2312" w:cs="宋体"/>
          <w:sz w:val="32"/>
          <w:szCs w:val="32"/>
        </w:rPr>
        <w:t>截至2017年末，本部门共有车辆9辆，其中，一般公务用车7辆、一般执法执勤用车1辆、特种专业技术用车1辆、其他用车0辆；</w:t>
      </w:r>
      <w:r>
        <w:rPr>
          <w:rFonts w:hint="eastAsia" w:ascii="仿宋_GB2312" w:hAnsi="华文仿宋" w:eastAsia="仿宋_GB2312" w:cs="华文仿宋"/>
          <w:sz w:val="32"/>
          <w:szCs w:val="32"/>
        </w:rPr>
        <w:t>单价</w:t>
      </w:r>
      <w:r>
        <w:rPr>
          <w:rFonts w:ascii="仿宋_GB2312" w:hAnsi="华文仿宋" w:eastAsia="仿宋_GB2312" w:cs="华文仿宋"/>
          <w:sz w:val="32"/>
          <w:szCs w:val="32"/>
        </w:rPr>
        <w:t>50</w:t>
      </w:r>
      <w:r>
        <w:rPr>
          <w:rFonts w:hint="eastAsia" w:ascii="仿宋_GB2312" w:hAnsi="华文仿宋" w:eastAsia="仿宋_GB2312" w:cs="华文仿宋"/>
          <w:sz w:val="32"/>
          <w:szCs w:val="32"/>
        </w:rPr>
        <w:t>万元以上的通用设备</w:t>
      </w:r>
      <w:r>
        <w:rPr>
          <w:rFonts w:ascii="仿宋_GB2312" w:hAnsi="华文仿宋" w:eastAsia="仿宋_GB2312" w:cs="华文仿宋"/>
          <w:sz w:val="32"/>
          <w:szCs w:val="32"/>
        </w:rPr>
        <w:t>XX</w:t>
      </w:r>
      <w:r>
        <w:rPr>
          <w:rFonts w:hint="eastAsia" w:ascii="仿宋_GB2312" w:hAnsi="华文仿宋" w:eastAsia="仿宋_GB2312" w:cs="华文仿宋"/>
          <w:sz w:val="32"/>
          <w:szCs w:val="32"/>
        </w:rPr>
        <w:t>台（套）；单价</w:t>
      </w:r>
      <w:r>
        <w:rPr>
          <w:rFonts w:ascii="仿宋_GB2312" w:hAnsi="华文仿宋" w:eastAsia="仿宋_GB2312" w:cs="华文仿宋"/>
          <w:sz w:val="32"/>
          <w:szCs w:val="32"/>
        </w:rPr>
        <w:t>100</w:t>
      </w:r>
      <w:r>
        <w:rPr>
          <w:rFonts w:hint="eastAsia" w:ascii="仿宋_GB2312" w:hAnsi="华文仿宋" w:eastAsia="仿宋_GB2312" w:cs="华文仿宋"/>
          <w:sz w:val="32"/>
          <w:szCs w:val="32"/>
        </w:rPr>
        <w:t>万元以上的通用设备0台（套）。</w:t>
      </w:r>
      <w:r>
        <w:rPr>
          <w:rFonts w:ascii="仿宋_GB2312" w:hAnsi="华文仿宋" w:eastAsia="仿宋_GB2312" w:cs="华文仿宋"/>
          <w:sz w:val="32"/>
          <w:szCs w:val="32"/>
        </w:rPr>
        <w:t>2017</w:t>
      </w:r>
      <w:r>
        <w:rPr>
          <w:rFonts w:hint="eastAsia" w:ascii="仿宋_GB2312" w:hAnsi="华文仿宋" w:eastAsia="仿宋_GB2312" w:cs="华文仿宋"/>
          <w:sz w:val="32"/>
          <w:szCs w:val="32"/>
        </w:rPr>
        <w:t>年当年购置车辆0辆；购置单价</w:t>
      </w:r>
      <w:r>
        <w:rPr>
          <w:rFonts w:ascii="仿宋_GB2312" w:hAnsi="华文仿宋" w:eastAsia="仿宋_GB2312" w:cs="华文仿宋"/>
          <w:sz w:val="32"/>
          <w:szCs w:val="32"/>
        </w:rPr>
        <w:t>50</w:t>
      </w:r>
      <w:r>
        <w:rPr>
          <w:rFonts w:hint="eastAsia" w:ascii="仿宋_GB2312" w:hAnsi="华文仿宋" w:eastAsia="仿宋_GB2312" w:cs="华文仿宋"/>
          <w:sz w:val="32"/>
          <w:szCs w:val="32"/>
        </w:rPr>
        <w:t>万元以上的设备0台（套）；购置单价</w:t>
      </w:r>
      <w:r>
        <w:rPr>
          <w:rFonts w:ascii="仿宋_GB2312" w:hAnsi="华文仿宋" w:eastAsia="仿宋_GB2312" w:cs="华文仿宋"/>
          <w:sz w:val="32"/>
          <w:szCs w:val="32"/>
        </w:rPr>
        <w:t>100</w:t>
      </w:r>
      <w:r>
        <w:rPr>
          <w:rFonts w:hint="eastAsia" w:ascii="仿宋_GB2312" w:hAnsi="华文仿宋" w:eastAsia="仿宋_GB2312" w:cs="华文仿宋"/>
          <w:sz w:val="32"/>
          <w:szCs w:val="32"/>
        </w:rPr>
        <w:t>万元以上的通用设备0台（套）。</w:t>
      </w:r>
    </w:p>
    <w:p>
      <w:pPr>
        <w:spacing w:line="560" w:lineRule="exact"/>
        <w:ind w:firstLine="640" w:firstLineChars="200"/>
        <w:rPr>
          <w:rFonts w:ascii="仿宋_GB2312" w:hAnsi="华文仿宋" w:eastAsia="仿宋_GB2312" w:cs="华文仿宋"/>
          <w:sz w:val="32"/>
          <w:szCs w:val="32"/>
        </w:rPr>
      </w:pP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八、专业名词解释</w:t>
      </w:r>
    </w:p>
    <w:p>
      <w:pPr>
        <w:spacing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1</w:t>
      </w:r>
      <w:r>
        <w:rPr>
          <w:rFonts w:hint="eastAsia" w:ascii="仿宋_GB2312" w:hAnsi="华文仿宋" w:eastAsia="仿宋_GB2312" w:cs="华文仿宋"/>
          <w:sz w:val="32"/>
          <w:szCs w:val="32"/>
        </w:rPr>
        <w:t>．基本支出：指为保障机构正常运转、完成日常工作任务而发生的各项支出。</w:t>
      </w:r>
    </w:p>
    <w:p>
      <w:pPr>
        <w:spacing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2</w:t>
      </w:r>
      <w:r>
        <w:rPr>
          <w:rFonts w:hint="eastAsia" w:ascii="仿宋_GB2312" w:hAnsi="华文仿宋" w:eastAsia="仿宋_GB2312" w:cs="华文仿宋"/>
          <w:sz w:val="32"/>
          <w:szCs w:val="32"/>
        </w:rPr>
        <w:t>．项目支出：指单位为完成特定的行政工作任务或事业发展目标所发生的各项支出。</w:t>
      </w:r>
    </w:p>
    <w:p>
      <w:pPr>
        <w:spacing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3</w:t>
      </w:r>
      <w:r>
        <w:rPr>
          <w:rFonts w:hint="eastAsia" w:ascii="仿宋_GB2312" w:hAnsi="华文仿宋" w:eastAsia="仿宋_GB2312" w:cs="华文仿宋"/>
          <w:sz w:val="32"/>
          <w:szCs w:val="32"/>
        </w:rPr>
        <w:t>．“三公”经费：指部门使用一般公共预算财政拨款安排的因公出国（境）费、公务用车购置及运行费和公务接待费支出。</w:t>
      </w:r>
    </w:p>
    <w:p>
      <w:pPr>
        <w:spacing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4</w:t>
      </w:r>
      <w:r>
        <w:rPr>
          <w:rFonts w:hint="eastAsia" w:ascii="仿宋_GB2312" w:hAnsi="华文仿宋" w:eastAsia="仿宋_GB2312" w:cs="华文仿宋"/>
          <w:sz w:val="32"/>
          <w:szCs w:val="32"/>
        </w:rPr>
        <w:t>．机关运行经费：指行政单位和参照公务员法管理的事业单位使用一般公共预算财政拨款安排的日常公用经费支出。</w:t>
      </w:r>
    </w:p>
    <w:p>
      <w:pPr>
        <w:spacing w:line="560" w:lineRule="exact"/>
        <w:ind w:right="181" w:rightChars="86"/>
        <w:rPr>
          <w:rFonts w:ascii="仿宋_GB2312" w:hAnsi="华文仿宋" w:eastAsia="仿宋_GB2312" w:cs="华文仿宋"/>
          <w:sz w:val="32"/>
          <w:szCs w:val="32"/>
        </w:rPr>
      </w:pPr>
    </w:p>
    <w:p>
      <w:pPr>
        <w:pStyle w:val="4"/>
        <w:shd w:val="clear" w:color="auto" w:fill="FFFFFF"/>
        <w:spacing w:before="0" w:beforeAutospacing="0" w:after="0" w:afterAutospacing="0" w:line="560" w:lineRule="exact"/>
        <w:ind w:firstLine="585"/>
        <w:rPr>
          <w:rStyle w:val="8"/>
          <w:rFonts w:ascii="黑体" w:hAnsi="黑体" w:eastAsia="黑体" w:cs="黑体"/>
          <w:b w:val="0"/>
          <w:bCs w:val="0"/>
          <w:color w:val="000000"/>
          <w:sz w:val="32"/>
          <w:szCs w:val="32"/>
        </w:rPr>
      </w:pPr>
      <w:r>
        <w:rPr>
          <w:rStyle w:val="8"/>
          <w:rFonts w:hint="eastAsia" w:ascii="黑体" w:hAnsi="黑体" w:eastAsia="黑体" w:cs="黑体"/>
          <w:b w:val="0"/>
          <w:bCs w:val="0"/>
          <w:color w:val="000000"/>
          <w:sz w:val="32"/>
          <w:szCs w:val="32"/>
        </w:rPr>
        <w:t>九、</w:t>
      </w:r>
      <w:r>
        <w:rPr>
          <w:rStyle w:val="8"/>
          <w:rFonts w:ascii="黑体" w:hAnsi="黑体" w:eastAsia="黑体" w:cs="黑体"/>
          <w:b w:val="0"/>
          <w:bCs w:val="0"/>
          <w:color w:val="000000"/>
          <w:sz w:val="32"/>
          <w:szCs w:val="32"/>
        </w:rPr>
        <w:t>2017</w:t>
      </w:r>
      <w:r>
        <w:rPr>
          <w:rStyle w:val="8"/>
          <w:rFonts w:hint="eastAsia" w:ascii="黑体" w:hAnsi="黑体" w:eastAsia="黑体" w:cs="黑体"/>
          <w:b w:val="0"/>
          <w:bCs w:val="0"/>
          <w:color w:val="000000"/>
          <w:sz w:val="32"/>
          <w:szCs w:val="32"/>
        </w:rPr>
        <w:t>年部门决算公开报表</w:t>
      </w:r>
    </w:p>
    <w:p>
      <w:pPr>
        <w:pStyle w:val="4"/>
        <w:shd w:val="clear" w:color="auto" w:fill="FFFFFF"/>
        <w:spacing w:before="0" w:beforeAutospacing="0" w:after="0" w:afterAutospacing="0" w:line="560" w:lineRule="exact"/>
        <w:ind w:firstLine="585"/>
        <w:rPr>
          <w:rStyle w:val="8"/>
          <w:rFonts w:ascii="黑体" w:hAnsi="黑体" w:eastAsia="黑体" w:cs="黑体"/>
          <w:b w:val="0"/>
          <w:bCs w:val="0"/>
          <w:color w:val="000000"/>
          <w:sz w:val="32"/>
          <w:szCs w:val="32"/>
        </w:rPr>
      </w:pPr>
    </w:p>
    <w:p/>
    <w:p>
      <w:pPr>
        <w:tabs>
          <w:tab w:val="left" w:pos="5556"/>
        </w:tabs>
        <w:ind w:firstLine="3520" w:firstLineChars="1100"/>
        <w:jc w:val="left"/>
        <w:rPr>
          <w:sz w:val="32"/>
          <w:szCs w:val="32"/>
        </w:rPr>
      </w:pPr>
      <w:r>
        <w:rPr>
          <w:rFonts w:hint="eastAsia"/>
          <w:sz w:val="32"/>
          <w:szCs w:val="32"/>
        </w:rPr>
        <w:t>西安市阎良区农林局</w:t>
      </w:r>
    </w:p>
    <w:p>
      <w:pPr>
        <w:jc w:val="center"/>
        <w:rPr>
          <w:sz w:val="32"/>
          <w:szCs w:val="32"/>
        </w:rPr>
      </w:pPr>
      <w:r>
        <w:rPr>
          <w:rFonts w:hint="eastAsia"/>
          <w:sz w:val="32"/>
          <w:szCs w:val="32"/>
        </w:rPr>
        <w:t>2018年9月4日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0000000000000000000"/>
    <w:charset w:val="86"/>
    <w:family w:val="auto"/>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AA2685"/>
    <w:multiLevelType w:val="singleLevel"/>
    <w:tmpl w:val="5BAA2685"/>
    <w:lvl w:ilvl="0" w:tentative="0">
      <w:start w:val="1"/>
      <w:numFmt w:val="decimal"/>
      <w:lvlText w:val="%1."/>
      <w:lvlJc w:val="left"/>
      <w:pPr>
        <w:tabs>
          <w:tab w:val="left" w:pos="312"/>
        </w:tabs>
      </w:pPr>
    </w:lvl>
  </w:abstractNum>
  <w:abstractNum w:abstractNumId="1">
    <w:nsid w:val="5C5020F9"/>
    <w:multiLevelType w:val="singleLevel"/>
    <w:tmpl w:val="5C5020F9"/>
    <w:lvl w:ilvl="0" w:tentative="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3NmI3ZTE1ZTYyNTljN2NjOTVmNGFiZmYyMDkyMWEifQ=="/>
  </w:docVars>
  <w:rsids>
    <w:rsidRoot w:val="00096702"/>
    <w:rsid w:val="00096702"/>
    <w:rsid w:val="001427B2"/>
    <w:rsid w:val="00A66E32"/>
    <w:rsid w:val="00C13B5A"/>
    <w:rsid w:val="016954C6"/>
    <w:rsid w:val="05765757"/>
    <w:rsid w:val="08A961B9"/>
    <w:rsid w:val="08CB313D"/>
    <w:rsid w:val="09475949"/>
    <w:rsid w:val="098002D7"/>
    <w:rsid w:val="0A5322E7"/>
    <w:rsid w:val="0B8222E2"/>
    <w:rsid w:val="0C2422E0"/>
    <w:rsid w:val="0C731532"/>
    <w:rsid w:val="0EF86F36"/>
    <w:rsid w:val="0F0D13B6"/>
    <w:rsid w:val="128F082E"/>
    <w:rsid w:val="144363F5"/>
    <w:rsid w:val="15B14A8D"/>
    <w:rsid w:val="16951779"/>
    <w:rsid w:val="170A4821"/>
    <w:rsid w:val="18D65677"/>
    <w:rsid w:val="1904525B"/>
    <w:rsid w:val="1BAC03FF"/>
    <w:rsid w:val="1BB147F5"/>
    <w:rsid w:val="1C99274F"/>
    <w:rsid w:val="1CB95BEE"/>
    <w:rsid w:val="1D26736B"/>
    <w:rsid w:val="1F4B30A3"/>
    <w:rsid w:val="221E1BEA"/>
    <w:rsid w:val="229248C7"/>
    <w:rsid w:val="232A4C33"/>
    <w:rsid w:val="28134B25"/>
    <w:rsid w:val="295B5073"/>
    <w:rsid w:val="2A2747BC"/>
    <w:rsid w:val="2A5C1262"/>
    <w:rsid w:val="2ACC1E02"/>
    <w:rsid w:val="2AD729B5"/>
    <w:rsid w:val="2B5B713A"/>
    <w:rsid w:val="2CC9345A"/>
    <w:rsid w:val="2CE30477"/>
    <w:rsid w:val="2FEE0633"/>
    <w:rsid w:val="300211D9"/>
    <w:rsid w:val="312D42B6"/>
    <w:rsid w:val="323F1788"/>
    <w:rsid w:val="324C0A9D"/>
    <w:rsid w:val="33D76545"/>
    <w:rsid w:val="35A00E95"/>
    <w:rsid w:val="360650B1"/>
    <w:rsid w:val="362B738B"/>
    <w:rsid w:val="364A0C1F"/>
    <w:rsid w:val="36AF148D"/>
    <w:rsid w:val="371877BC"/>
    <w:rsid w:val="376D2EA1"/>
    <w:rsid w:val="39C86CE6"/>
    <w:rsid w:val="3AB4230D"/>
    <w:rsid w:val="3B370A62"/>
    <w:rsid w:val="3C562F5E"/>
    <w:rsid w:val="3C690745"/>
    <w:rsid w:val="3C6E082A"/>
    <w:rsid w:val="3D0A5B3E"/>
    <w:rsid w:val="3DED1716"/>
    <w:rsid w:val="3FCC3267"/>
    <w:rsid w:val="40A107F1"/>
    <w:rsid w:val="41295F16"/>
    <w:rsid w:val="41FF1374"/>
    <w:rsid w:val="42A42D25"/>
    <w:rsid w:val="437661E5"/>
    <w:rsid w:val="43AF09D2"/>
    <w:rsid w:val="43BF14C6"/>
    <w:rsid w:val="44F86572"/>
    <w:rsid w:val="452D488E"/>
    <w:rsid w:val="460952FD"/>
    <w:rsid w:val="487675E6"/>
    <w:rsid w:val="4A566A90"/>
    <w:rsid w:val="4A600C7F"/>
    <w:rsid w:val="4B6867B1"/>
    <w:rsid w:val="4BD2334B"/>
    <w:rsid w:val="4DF32B9F"/>
    <w:rsid w:val="4FD722D1"/>
    <w:rsid w:val="50C24F35"/>
    <w:rsid w:val="50F70506"/>
    <w:rsid w:val="52BB7041"/>
    <w:rsid w:val="55AB6EA8"/>
    <w:rsid w:val="55BC37C8"/>
    <w:rsid w:val="57813C2A"/>
    <w:rsid w:val="580C674F"/>
    <w:rsid w:val="5AF34EC7"/>
    <w:rsid w:val="5C1513FC"/>
    <w:rsid w:val="5C9B069C"/>
    <w:rsid w:val="5DDE5AF6"/>
    <w:rsid w:val="5EF14D62"/>
    <w:rsid w:val="60B67C69"/>
    <w:rsid w:val="60ED6C6D"/>
    <w:rsid w:val="612A6539"/>
    <w:rsid w:val="618B2BD0"/>
    <w:rsid w:val="6305289A"/>
    <w:rsid w:val="650B529A"/>
    <w:rsid w:val="666D6941"/>
    <w:rsid w:val="66A10273"/>
    <w:rsid w:val="66C52396"/>
    <w:rsid w:val="691F218C"/>
    <w:rsid w:val="6A2F3100"/>
    <w:rsid w:val="6B484B78"/>
    <w:rsid w:val="6BBA4008"/>
    <w:rsid w:val="6C290027"/>
    <w:rsid w:val="6C7B0CE0"/>
    <w:rsid w:val="6EC16877"/>
    <w:rsid w:val="6ECB54F0"/>
    <w:rsid w:val="6ED820B0"/>
    <w:rsid w:val="72AD20E8"/>
    <w:rsid w:val="73EF1436"/>
    <w:rsid w:val="756461EF"/>
    <w:rsid w:val="78553842"/>
    <w:rsid w:val="78F40D24"/>
    <w:rsid w:val="78FC00F8"/>
    <w:rsid w:val="790060B8"/>
    <w:rsid w:val="794946D1"/>
    <w:rsid w:val="7B9448F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22"/>
    <w:rPr>
      <w:rFonts w:cs="Times New Roman"/>
      <w:b/>
      <w:bCs/>
    </w:rPr>
  </w:style>
  <w:style w:type="character" w:styleId="9">
    <w:name w:val="page number"/>
    <w:basedOn w:val="7"/>
    <w:unhideWhenUsed/>
    <w:qFormat/>
    <w:uiPriority w:val="99"/>
  </w:style>
  <w:style w:type="character" w:customStyle="1" w:styleId="10">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行政人员</c:v>
                </c:pt>
              </c:strCache>
            </c:strRef>
          </c:tx>
          <c:invertIfNegative val="0"/>
          <c:dLbls>
            <c:delete val="1"/>
          </c:dLbls>
          <c:cat>
            <c:strRef>
              <c:f>Sheet1!$A$2:$A$3</c:f>
              <c:strCache>
                <c:ptCount val="2"/>
                <c:pt idx="0">
                  <c:v>编制人数</c:v>
                </c:pt>
                <c:pt idx="1">
                  <c:v>实有人数</c:v>
                </c:pt>
              </c:strCache>
            </c:strRef>
          </c:cat>
          <c:val>
            <c:numRef>
              <c:f>Sheet1!$B$2:$B$3</c:f>
              <c:numCache>
                <c:formatCode>General</c:formatCode>
                <c:ptCount val="2"/>
                <c:pt idx="0">
                  <c:v>11</c:v>
                </c:pt>
                <c:pt idx="1">
                  <c:v>11</c:v>
                </c:pt>
              </c:numCache>
            </c:numRef>
          </c:val>
        </c:ser>
        <c:ser>
          <c:idx val="1"/>
          <c:order val="1"/>
          <c:tx>
            <c:strRef>
              <c:f>Sheet1!$C$1</c:f>
              <c:strCache>
                <c:ptCount val="1"/>
                <c:pt idx="0">
                  <c:v>事业人员</c:v>
                </c:pt>
              </c:strCache>
            </c:strRef>
          </c:tx>
          <c:invertIfNegative val="0"/>
          <c:dLbls>
            <c:delete val="1"/>
          </c:dLbls>
          <c:cat>
            <c:strRef>
              <c:f>Sheet1!$A$2:$A$3</c:f>
              <c:strCache>
                <c:ptCount val="2"/>
                <c:pt idx="0">
                  <c:v>编制人数</c:v>
                </c:pt>
                <c:pt idx="1">
                  <c:v>实有人数</c:v>
                </c:pt>
              </c:strCache>
            </c:strRef>
          </c:cat>
          <c:val>
            <c:numRef>
              <c:f>Sheet1!$C$2:$C$3</c:f>
              <c:numCache>
                <c:formatCode>General</c:formatCode>
                <c:ptCount val="2"/>
                <c:pt idx="0">
                  <c:v>126</c:v>
                </c:pt>
                <c:pt idx="1">
                  <c:v>145</c:v>
                </c:pt>
              </c:numCache>
            </c:numRef>
          </c:val>
        </c:ser>
        <c:ser>
          <c:idx val="2"/>
          <c:order val="2"/>
          <c:tx>
            <c:strRef>
              <c:f>Sheet1!$D$1</c:f>
              <c:strCache>
                <c:ptCount val="1"/>
                <c:pt idx="0">
                  <c:v>退休人员</c:v>
                </c:pt>
              </c:strCache>
            </c:strRef>
          </c:tx>
          <c:invertIfNegative val="0"/>
          <c:dLbls>
            <c:delete val="1"/>
          </c:dLbls>
          <c:cat>
            <c:strRef>
              <c:f>Sheet1!$A$2:$A$3</c:f>
              <c:strCache>
                <c:ptCount val="2"/>
                <c:pt idx="0">
                  <c:v>编制人数</c:v>
                </c:pt>
                <c:pt idx="1">
                  <c:v>实有人数</c:v>
                </c:pt>
              </c:strCache>
            </c:strRef>
          </c:cat>
          <c:val>
            <c:numRef>
              <c:f>Sheet1!$D$2:$D$3</c:f>
              <c:numCache>
                <c:formatCode>General</c:formatCode>
                <c:ptCount val="2"/>
                <c:pt idx="0">
                  <c:v>0</c:v>
                </c:pt>
                <c:pt idx="1">
                  <c:v>0</c:v>
                </c:pt>
              </c:numCache>
            </c:numRef>
          </c:val>
        </c:ser>
        <c:dLbls>
          <c:showLegendKey val="0"/>
          <c:showVal val="0"/>
          <c:showCatName val="0"/>
          <c:showSerName val="0"/>
          <c:showPercent val="0"/>
          <c:showBubbleSize val="0"/>
        </c:dLbls>
        <c:gapWidth val="150"/>
        <c:axId val="84282368"/>
        <c:axId val="84304640"/>
      </c:barChart>
      <c:catAx>
        <c:axId val="84282368"/>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4304640"/>
        <c:crosses val="autoZero"/>
        <c:auto val="1"/>
        <c:lblAlgn val="ctr"/>
        <c:lblOffset val="100"/>
        <c:noMultiLvlLbl val="0"/>
      </c:catAx>
      <c:valAx>
        <c:axId val="8430464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4282368"/>
        <c:crosses val="autoZero"/>
        <c:crossBetween val="between"/>
      </c:valAx>
      <c:spPr>
        <a:solidFill>
          <a:schemeClr val="bg1"/>
        </a:solid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24</Pages>
  <Words>2036</Words>
  <Characters>11611</Characters>
  <Lines>96</Lines>
  <Paragraphs>27</Paragraphs>
  <TotalTime>0</TotalTime>
  <ScaleCrop>false</ScaleCrop>
  <LinksUpToDate>false</LinksUpToDate>
  <CharactersWithSpaces>13620</CharactersWithSpaces>
  <Application>WPS Office_12.1.0.15120_F1E327BC-269C-435d-A152-05C5408002CA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2019-01-05T13:05:00Z</dcterms:created>
  <dc:creator>caiwushi</dc:creator>
  <cp:lastModifiedBy>Otomi</cp:lastModifiedBy>
  <cp:lastPrinted>2018-09-26T03:42:00Z</cp:lastPrinted>
  <dcterms:modified xsi:type="dcterms:W3CDTF">2023-07-28T02:21:45Z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7FBCB12AB42E491D87FDE6E1A76FD59D_12</vt:lpwstr>
  </property>
</Properties>
</file>