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before="0" w:beforeAutospacing="0" w:after="0" w:afterAutospacing="0" w:line="560" w:lineRule="exact"/>
        <w:jc w:val="center"/>
        <w:rPr>
          <w:rStyle w:val="9"/>
          <w:rFonts w:ascii="方正小标宋简体" w:hAnsi="方正小标宋简体" w:eastAsia="方正小标宋简体" w:cs="方正小标宋简体"/>
          <w:b w:val="0"/>
          <w:bCs w:val="0"/>
          <w:sz w:val="44"/>
          <w:szCs w:val="44"/>
        </w:rPr>
      </w:pPr>
      <w:r>
        <w:rPr>
          <w:rStyle w:val="9"/>
          <w:rFonts w:hint="eastAsia" w:ascii="方正小标宋简体" w:hAnsi="方正小标宋简体" w:eastAsia="方正小标宋简体" w:cs="方正小标宋简体"/>
          <w:b w:val="0"/>
          <w:bCs w:val="0"/>
          <w:sz w:val="44"/>
          <w:szCs w:val="44"/>
        </w:rPr>
        <w:t>中共西安市阎良区委老干部工作局</w:t>
      </w:r>
    </w:p>
    <w:p>
      <w:pPr>
        <w:pStyle w:val="5"/>
        <w:shd w:val="clear" w:color="auto" w:fill="FFFFFF"/>
        <w:spacing w:before="0" w:beforeAutospacing="0" w:after="0" w:afterAutospacing="0" w:line="520" w:lineRule="exact"/>
        <w:jc w:val="center"/>
        <w:rPr>
          <w:rStyle w:val="9"/>
          <w:rFonts w:ascii="方正小标宋简体" w:hAnsi="方正小标宋简体" w:eastAsia="方正小标宋简体" w:cs="方正小标宋简体"/>
          <w:b w:val="0"/>
          <w:bCs w:val="0"/>
          <w:color w:val="000000"/>
          <w:sz w:val="44"/>
          <w:szCs w:val="44"/>
        </w:rPr>
      </w:pPr>
      <w:r>
        <w:rPr>
          <w:rStyle w:val="9"/>
          <w:rFonts w:hint="eastAsia" w:ascii="方正小标宋简体" w:hAnsi="方正小标宋简体" w:eastAsia="方正小标宋简体" w:cs="方正小标宋简体"/>
          <w:b w:val="0"/>
          <w:color w:val="000000"/>
          <w:sz w:val="44"/>
          <w:szCs w:val="44"/>
        </w:rPr>
        <w:t>2018年度部门决算说明</w:t>
      </w:r>
    </w:p>
    <w:p>
      <w:pPr>
        <w:pStyle w:val="5"/>
        <w:shd w:val="clear" w:color="auto" w:fill="FFFFFF"/>
        <w:spacing w:before="0" w:beforeAutospacing="0" w:after="0" w:afterAutospacing="0" w:line="560" w:lineRule="exact"/>
        <w:ind w:firstLine="643" w:firstLineChars="200"/>
        <w:rPr>
          <w:rStyle w:val="9"/>
          <w:rFonts w:ascii="黑体" w:hAnsi="黑体" w:eastAsia="黑体" w:cs="黑体"/>
          <w:color w:val="000000"/>
          <w:sz w:val="32"/>
          <w:szCs w:val="32"/>
        </w:rPr>
      </w:pPr>
    </w:p>
    <w:p>
      <w:pPr>
        <w:pStyle w:val="5"/>
        <w:shd w:val="clear" w:color="auto" w:fill="FFFFFF"/>
        <w:spacing w:before="0" w:beforeAutospacing="0" w:after="0" w:afterAutospacing="0" w:line="560" w:lineRule="exact"/>
        <w:ind w:firstLine="643" w:firstLineChars="200"/>
        <w:jc w:val="both"/>
        <w:rPr>
          <w:rFonts w:ascii="黑体" w:hAnsi="黑体" w:eastAsia="黑体" w:cs="黑体"/>
          <w:color w:val="000000"/>
          <w:sz w:val="32"/>
          <w:szCs w:val="32"/>
        </w:rPr>
      </w:pPr>
      <w:r>
        <w:rPr>
          <w:rStyle w:val="9"/>
          <w:rFonts w:hint="eastAsia" w:ascii="黑体" w:hAnsi="黑体" w:eastAsia="黑体" w:cs="黑体"/>
          <w:color w:val="000000"/>
          <w:sz w:val="32"/>
          <w:szCs w:val="32"/>
        </w:rPr>
        <w:t>一、</w:t>
      </w:r>
      <w:r>
        <w:rPr>
          <w:rFonts w:hint="eastAsia" w:ascii="黑体" w:hAnsi="黑体" w:eastAsia="黑体" w:cs="黑体"/>
          <w:color w:val="000000"/>
          <w:sz w:val="32"/>
          <w:szCs w:val="32"/>
        </w:rPr>
        <w:t>部门主要职责</w:t>
      </w:r>
    </w:p>
    <w:p>
      <w:pPr>
        <w:spacing w:after="0"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西安市阎良区委</w:t>
      </w:r>
      <w:r>
        <w:rPr>
          <w:rFonts w:hint="eastAsia" w:ascii="仿宋_GB2312" w:hAnsi="仿宋" w:eastAsia="仿宋_GB2312" w:cs="仿宋"/>
          <w:sz w:val="32"/>
          <w:szCs w:val="32"/>
          <w:lang w:eastAsia="zh-CN"/>
        </w:rPr>
        <w:t>老干部局</w:t>
      </w:r>
      <w:r>
        <w:rPr>
          <w:rFonts w:hint="eastAsia" w:ascii="仿宋_GB2312" w:hAnsi="仿宋" w:eastAsia="仿宋_GB2312" w:cs="仿宋"/>
          <w:sz w:val="32"/>
          <w:szCs w:val="32"/>
        </w:rPr>
        <w:t xml:space="preserve">是西安市阎良区委主管全区离休干部工作的职能部门，主要职责为：     </w:t>
      </w:r>
    </w:p>
    <w:p>
      <w:pPr>
        <w:spacing w:after="0"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贯彻执行党和国家关于老干部工作的方针、政策和省、市、区委的有关规定；研究拟定贯彻意见，加强检查督促；全面落实老干部的政治、生活待遇；组织老干部学习党的路线、方针、政策和政治理论，做好老干部的思想政治工作和老干部党组织的建设工作。负责全区</w:t>
      </w:r>
      <w:bookmarkStart w:id="0" w:name="_GoBack"/>
      <w:bookmarkEnd w:id="0"/>
      <w:r>
        <w:rPr>
          <w:rFonts w:hint="eastAsia" w:ascii="仿宋_GB2312" w:hAnsi="仿宋" w:eastAsia="仿宋_GB2312" w:cs="仿宋"/>
          <w:sz w:val="32"/>
          <w:szCs w:val="32"/>
        </w:rPr>
        <w:t>老干部活动场所及西安老年大学阎良分校的建设和管理，组织老干部开展各类文化娱乐和体育健身活动，丰富活跃老同志的精神文化生活。 负责办理全区老干部提高待遇审核、年报统计和信访工作。负责老干部工作人员的业务、政策培训和异地老干部的接收安置、服务管理工作。</w:t>
      </w:r>
    </w:p>
    <w:p>
      <w:pPr>
        <w:pStyle w:val="5"/>
        <w:shd w:val="clear" w:color="auto" w:fill="FFFFFF"/>
        <w:spacing w:before="0" w:beforeAutospacing="0" w:after="0" w:afterAutospacing="0" w:line="560" w:lineRule="exact"/>
        <w:ind w:firstLine="200"/>
        <w:jc w:val="both"/>
        <w:rPr>
          <w:rFonts w:ascii="仿宋_GB2312" w:hAnsi="华文仿宋" w:eastAsia="仿宋_GB2312" w:cs="华文仿宋"/>
          <w:sz w:val="32"/>
          <w:szCs w:val="32"/>
        </w:rPr>
      </w:pPr>
      <w:r>
        <w:rPr>
          <w:rFonts w:hint="eastAsia" w:ascii="仿宋_GB2312" w:hAnsi="华文仿宋" w:eastAsia="仿宋_GB2312" w:cs="华文仿宋"/>
          <w:sz w:val="32"/>
          <w:szCs w:val="32"/>
        </w:rPr>
        <w:t>根据区委区政府机构改革方案，本部门2019年划转至阎良区委组织部，2018年无内设机构，2019年划转之后，</w:t>
      </w:r>
      <w:r>
        <w:rPr>
          <w:rFonts w:hint="eastAsia" w:ascii="仿宋_GB2312" w:hAnsi="华文仿宋" w:eastAsia="仿宋_GB2312" w:cs="华文仿宋"/>
          <w:sz w:val="32"/>
          <w:szCs w:val="32"/>
          <w:lang w:eastAsia="zh-CN"/>
        </w:rPr>
        <w:t>老干部局</w:t>
      </w:r>
      <w:r>
        <w:rPr>
          <w:rFonts w:hint="eastAsia" w:ascii="仿宋_GB2312" w:hAnsi="华文仿宋" w:eastAsia="仿宋_GB2312" w:cs="华文仿宋"/>
          <w:sz w:val="32"/>
          <w:szCs w:val="32"/>
        </w:rPr>
        <w:t>业务归属组织部干部科管理。</w:t>
      </w:r>
    </w:p>
    <w:p>
      <w:pPr>
        <w:pStyle w:val="5"/>
        <w:shd w:val="clear" w:color="auto" w:fill="FFFFFF"/>
        <w:spacing w:before="0" w:beforeAutospacing="0" w:after="0" w:afterAutospacing="0" w:line="560" w:lineRule="exact"/>
        <w:ind w:firstLine="640" w:firstLineChars="200"/>
        <w:jc w:val="both"/>
        <w:rPr>
          <w:rStyle w:val="9"/>
          <w:rFonts w:ascii="黑体" w:hAnsi="黑体" w:eastAsia="黑体" w:cs="黑体"/>
          <w:b w:val="0"/>
          <w:bCs w:val="0"/>
          <w:color w:val="000000"/>
          <w:sz w:val="32"/>
          <w:szCs w:val="32"/>
        </w:rPr>
      </w:pPr>
      <w:r>
        <w:rPr>
          <w:rStyle w:val="9"/>
          <w:rFonts w:hint="eastAsia" w:ascii="黑体" w:hAnsi="黑体" w:eastAsia="黑体" w:cs="黑体"/>
          <w:b w:val="0"/>
          <w:color w:val="000000"/>
          <w:sz w:val="32"/>
          <w:szCs w:val="32"/>
        </w:rPr>
        <w:t>二、部门决算单位构成</w:t>
      </w:r>
    </w:p>
    <w:p>
      <w:pPr>
        <w:spacing w:after="0"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中国共产党西安市阎良区委员会老干部工作局属于行政单位。属于一级单位，无下设机构。</w:t>
      </w:r>
    </w:p>
    <w:p>
      <w:pPr>
        <w:spacing w:after="0" w:line="560" w:lineRule="exact"/>
        <w:ind w:firstLine="640" w:firstLineChars="200"/>
        <w:jc w:val="both"/>
        <w:rPr>
          <w:rFonts w:ascii="黑体" w:hAnsi="黑体" w:eastAsia="黑体" w:cs="华文仿宋"/>
          <w:sz w:val="32"/>
          <w:szCs w:val="32"/>
        </w:rPr>
      </w:pPr>
      <w:r>
        <w:rPr>
          <w:rFonts w:hint="eastAsia" w:ascii="黑体" w:hAnsi="黑体" w:eastAsia="黑体" w:cs="黑体"/>
          <w:sz w:val="32"/>
          <w:szCs w:val="32"/>
        </w:rPr>
        <w:t>三、部门人员情况说明</w:t>
      </w:r>
    </w:p>
    <w:p>
      <w:pPr>
        <w:spacing w:after="0" w:line="560" w:lineRule="exact"/>
        <w:ind w:firstLine="640" w:firstLineChars="200"/>
        <w:jc w:val="both"/>
        <w:rPr>
          <w:rFonts w:ascii="仿宋_GB2312" w:hAnsi="华文仿宋" w:eastAsia="仿宋_GB2312" w:cs="华文仿宋"/>
          <w:sz w:val="32"/>
          <w:szCs w:val="32"/>
        </w:rPr>
      </w:pPr>
      <w:r>
        <w:rPr>
          <w:rFonts w:hint="eastAsia" w:ascii="仿宋_GB2312" w:hAnsi="华文仿宋" w:eastAsia="仿宋_GB2312" w:cs="华文仿宋"/>
          <w:sz w:val="32"/>
          <w:szCs w:val="32"/>
        </w:rPr>
        <w:t>截止</w:t>
      </w:r>
      <w:r>
        <w:rPr>
          <w:rFonts w:ascii="仿宋_GB2312" w:hAnsi="华文仿宋" w:eastAsia="仿宋_GB2312" w:cs="华文仿宋"/>
          <w:sz w:val="32"/>
          <w:szCs w:val="32"/>
        </w:rPr>
        <w:t>201</w:t>
      </w:r>
      <w:r>
        <w:rPr>
          <w:rFonts w:hint="eastAsia" w:ascii="仿宋_GB2312" w:hAnsi="华文仿宋" w:eastAsia="仿宋_GB2312" w:cs="华文仿宋"/>
          <w:sz w:val="32"/>
          <w:szCs w:val="32"/>
        </w:rPr>
        <w:t>8年底，本部门人员编制3人，其中行政干部编制2人、行政工人编制1人；实有人员4人，其中行政干部3人、行政工人1人。单位管理的离退休人员4人。</w:t>
      </w:r>
    </w:p>
    <w:p>
      <w:pPr>
        <w:spacing w:after="0"/>
        <w:ind w:firstLine="640" w:firstLineChars="200"/>
        <w:jc w:val="both"/>
        <w:rPr>
          <w:rFonts w:ascii="仿宋_GB2312" w:hAnsi="华文仿宋" w:eastAsia="仿宋_GB2312" w:cs="华文仿宋"/>
          <w:sz w:val="32"/>
          <w:szCs w:val="32"/>
        </w:rPr>
      </w:pPr>
      <w:r>
        <w:rPr>
          <w:rFonts w:hint="eastAsia" w:ascii="仿宋_GB2312" w:hAnsi="华文仿宋" w:eastAsia="仿宋_GB2312" w:cs="华文仿宋"/>
          <w:sz w:val="32"/>
          <w:szCs w:val="32"/>
        </w:rPr>
        <w:drawing>
          <wp:inline distT="0" distB="0" distL="0" distR="0">
            <wp:extent cx="4591050" cy="2762250"/>
            <wp:effectExtent l="19050" t="0" r="0" b="0"/>
            <wp:docPr id="1" name="图片 6"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图片1"/>
                    <pic:cNvPicPr>
                      <a:picLocks noChangeAspect="1" noChangeArrowheads="1"/>
                    </pic:cNvPicPr>
                  </pic:nvPicPr>
                  <pic:blipFill>
                    <a:blip r:embed="rId8" cstate="print"/>
                    <a:srcRect/>
                    <a:stretch>
                      <a:fillRect/>
                    </a:stretch>
                  </pic:blipFill>
                  <pic:spPr>
                    <a:xfrm>
                      <a:off x="0" y="0"/>
                      <a:ext cx="4591050" cy="2762250"/>
                    </a:xfrm>
                    <a:prstGeom prst="rect">
                      <a:avLst/>
                    </a:prstGeom>
                    <a:noFill/>
                    <a:ln w="9525" cmpd="sng">
                      <a:noFill/>
                      <a:miter lim="800000"/>
                      <a:headEnd/>
                      <a:tailEnd/>
                    </a:ln>
                  </pic:spPr>
                </pic:pic>
              </a:graphicData>
            </a:graphic>
          </wp:inline>
        </w:drawing>
      </w:r>
    </w:p>
    <w:p>
      <w:pPr>
        <w:spacing w:after="0" w:line="56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四、2018年度部门工作完成情况</w:t>
      </w:r>
    </w:p>
    <w:p>
      <w:pPr>
        <w:pStyle w:val="5"/>
        <w:spacing w:before="0" w:beforeAutospacing="0" w:after="0" w:afterAutospacing="0" w:line="560" w:lineRule="exact"/>
        <w:ind w:firstLine="640" w:firstLineChars="200"/>
        <w:jc w:val="both"/>
        <w:rPr>
          <w:rFonts w:ascii="仿宋_GB2312" w:hAnsi="仿宋_GB2312" w:eastAsia="仿宋_GB2312" w:cs="仿宋_GB2312"/>
          <w:sz w:val="32"/>
          <w:szCs w:val="32"/>
        </w:rPr>
      </w:pPr>
      <w:r>
        <w:rPr>
          <w:rFonts w:hint="eastAsia" w:ascii="黑体" w:hAnsi="仿宋_GB2312" w:eastAsia="黑体" w:cs="仿宋_GB2312"/>
          <w:bCs/>
          <w:color w:val="000000"/>
          <w:sz w:val="32"/>
          <w:szCs w:val="32"/>
        </w:rPr>
        <w:t>1.积极贯彻落实老干部政治待遇：</w:t>
      </w:r>
      <w:r>
        <w:rPr>
          <w:rFonts w:hint="eastAsia" w:ascii="仿宋_GB2312" w:eastAsia="仿宋_GB2312"/>
          <w:sz w:val="32"/>
          <w:szCs w:val="32"/>
        </w:rPr>
        <w:t>始终</w:t>
      </w:r>
      <w:r>
        <w:rPr>
          <w:rFonts w:ascii="仿宋_GB2312" w:eastAsia="仿宋_GB2312"/>
          <w:sz w:val="32"/>
          <w:szCs w:val="32"/>
        </w:rPr>
        <w:t>坚持离退休干部参加组织生活、政治理论学习、阅读文件、听报告、参加重要会议和重大活动等基本制度，不断创新内容和形式，形成落实离退休干部政治待遇的长效机制。</w:t>
      </w:r>
      <w:r>
        <w:rPr>
          <w:rFonts w:hint="eastAsia" w:ascii="仿宋_GB2312" w:eastAsia="仿宋_GB2312"/>
          <w:sz w:val="32"/>
          <w:szCs w:val="32"/>
        </w:rPr>
        <w:t>为离退休老干部征订杂志50余套，方便了老干部在家中搞好政治理论学习。我们积极组织老干部代表参加</w:t>
      </w:r>
      <w:r>
        <w:rPr>
          <w:rFonts w:ascii="仿宋_GB2312" w:eastAsia="仿宋_GB2312"/>
          <w:sz w:val="32"/>
          <w:szCs w:val="32"/>
        </w:rPr>
        <w:t>市</w:t>
      </w:r>
      <w:r>
        <w:rPr>
          <w:rFonts w:hint="eastAsia" w:ascii="仿宋_GB2312" w:eastAsia="仿宋_GB2312"/>
          <w:sz w:val="32"/>
          <w:szCs w:val="32"/>
          <w:lang w:eastAsia="zh-CN"/>
        </w:rPr>
        <w:t>老干部局</w:t>
      </w:r>
      <w:r>
        <w:rPr>
          <w:rFonts w:ascii="仿宋_GB2312" w:eastAsia="仿宋_GB2312"/>
          <w:sz w:val="32"/>
          <w:szCs w:val="32"/>
        </w:rPr>
        <w:t>举办</w:t>
      </w:r>
      <w:r>
        <w:rPr>
          <w:rFonts w:hint="eastAsia" w:ascii="仿宋_GB2312" w:eastAsia="仿宋_GB2312"/>
          <w:sz w:val="32"/>
          <w:szCs w:val="32"/>
        </w:rPr>
        <w:t>的《</w:t>
      </w:r>
      <w:r>
        <w:rPr>
          <w:rFonts w:ascii="仿宋_GB2312" w:eastAsia="仿宋_GB2312"/>
          <w:sz w:val="32"/>
          <w:szCs w:val="32"/>
        </w:rPr>
        <w:t>全市</w:t>
      </w:r>
      <w:r>
        <w:rPr>
          <w:rFonts w:hint="eastAsia" w:ascii="仿宋_GB2312" w:eastAsia="仿宋_GB2312"/>
          <w:sz w:val="32"/>
          <w:szCs w:val="32"/>
        </w:rPr>
        <w:t>离退休形势报告会》、《政情通报会》及全市系统《离退休干部追赶超越擂台赛》等。</w:t>
      </w:r>
      <w:r>
        <w:rPr>
          <w:rFonts w:hint="eastAsia" w:ascii="黑体" w:hAnsi="仿宋_GB2312" w:eastAsia="黑体" w:cs="仿宋_GB2312"/>
          <w:bCs/>
          <w:kern w:val="2"/>
          <w:sz w:val="32"/>
          <w:szCs w:val="32"/>
        </w:rPr>
        <w:t>2.深入认真落实好离休干部生活待遇：</w:t>
      </w:r>
      <w:r>
        <w:rPr>
          <w:rFonts w:hint="eastAsia" w:ascii="仿宋_GB2312" w:eastAsia="仿宋_GB2312"/>
          <w:sz w:val="32"/>
          <w:szCs w:val="32"/>
        </w:rPr>
        <w:t>因离休干部年龄日益增大，活动不便，</w:t>
      </w:r>
      <w:r>
        <w:rPr>
          <w:rFonts w:hint="eastAsia" w:ascii="仿宋_GB2312" w:eastAsia="仿宋_GB2312"/>
          <w:sz w:val="32"/>
          <w:szCs w:val="32"/>
          <w:lang w:eastAsia="zh-CN"/>
        </w:rPr>
        <w:t>老干部局</w:t>
      </w:r>
      <w:r>
        <w:rPr>
          <w:rFonts w:hint="eastAsia" w:ascii="仿宋_GB2312" w:eastAsia="仿宋_GB2312"/>
          <w:sz w:val="32"/>
          <w:szCs w:val="32"/>
        </w:rPr>
        <w:t>转变工作方式，以电话定时联系和走访慰问为主，今年来，共电话访谈315人次，看望有病老干部15人次，入户访谈52人次。开展了为老干部庆祝生日的活动，每到老干部生日，</w:t>
      </w:r>
      <w:r>
        <w:rPr>
          <w:rFonts w:hint="eastAsia" w:ascii="仿宋_GB2312" w:eastAsia="仿宋_GB2312"/>
          <w:sz w:val="32"/>
          <w:szCs w:val="32"/>
          <w:lang w:eastAsia="zh-CN"/>
        </w:rPr>
        <w:t>老干部局</w:t>
      </w:r>
      <w:r>
        <w:rPr>
          <w:rFonts w:hint="eastAsia" w:ascii="仿宋_GB2312" w:eastAsia="仿宋_GB2312"/>
          <w:sz w:val="32"/>
          <w:szCs w:val="32"/>
        </w:rPr>
        <w:t>都会送上生日蛋糕为老干部庆祝，全年共有50多位老干部收到了生日蛋糕，此举获得老干部好评。还积极组织专人会同家属处理好老干部的丧葬事宜，全年共有王志辉、王清轩等5名同志去世。</w:t>
      </w:r>
      <w:r>
        <w:rPr>
          <w:rFonts w:hint="eastAsia" w:ascii="黑体" w:hAnsi="仿宋_GB2312" w:eastAsia="黑体" w:cs="仿宋_GB2312"/>
          <w:bCs/>
          <w:kern w:val="2"/>
          <w:sz w:val="32"/>
          <w:szCs w:val="32"/>
        </w:rPr>
        <w:t>3.做好生活困难离退休干部帮扶工作：</w:t>
      </w:r>
      <w:r>
        <w:rPr>
          <w:rFonts w:hint="eastAsia" w:ascii="仿宋_GB2312" w:eastAsia="仿宋_GB2312"/>
          <w:sz w:val="32"/>
          <w:szCs w:val="32"/>
        </w:rPr>
        <w:t>进一步完善了</w:t>
      </w:r>
      <w:r>
        <w:rPr>
          <w:rFonts w:ascii="仿宋_GB2312" w:eastAsia="仿宋_GB2312"/>
          <w:sz w:val="32"/>
          <w:szCs w:val="32"/>
        </w:rPr>
        <w:t>困难离休干部帮扶机制，积极筹措帮扶资金，对生病住院、身体残疾、子女智残、生活遇到突发性困难或鳏寡孤独等晚年生活有困难的离退休干部，采取走访慰问、送学习资料、谈心等多种有效形式，给予他们政治上的尊重、思想上的关心和精神上的慰藉，帮助他们增强克服困难、战胜困难的勇气</w:t>
      </w:r>
      <w:r>
        <w:rPr>
          <w:rFonts w:hint="eastAsia" w:ascii="仿宋_GB2312" w:eastAsia="仿宋_GB2312"/>
          <w:sz w:val="32"/>
          <w:szCs w:val="32"/>
        </w:rPr>
        <w:t>，共帮扶老干部50人次</w:t>
      </w:r>
      <w:r>
        <w:rPr>
          <w:rFonts w:ascii="仿宋_GB2312" w:eastAsia="仿宋_GB2312"/>
          <w:sz w:val="32"/>
          <w:szCs w:val="32"/>
        </w:rPr>
        <w:t>。</w:t>
      </w:r>
      <w:r>
        <w:rPr>
          <w:rFonts w:hint="eastAsia" w:ascii="黑体" w:hAnsi="仿宋_GB2312" w:eastAsia="黑体" w:cs="仿宋_GB2312"/>
          <w:bCs/>
          <w:color w:val="000000"/>
          <w:sz w:val="32"/>
          <w:szCs w:val="32"/>
        </w:rPr>
        <w:t>4.提升老年大学硬件设施，充分发挥好主阵地作用：</w:t>
      </w:r>
      <w:r>
        <w:rPr>
          <w:rFonts w:hint="eastAsia" w:ascii="仿宋_GB2312" w:eastAsia="仿宋_GB2312"/>
          <w:sz w:val="32"/>
          <w:szCs w:val="32"/>
        </w:rPr>
        <w:t>着力做好老年大学建设，提升老年教育水平是我们一直努力的方向。</w:t>
      </w:r>
      <w:r>
        <w:rPr>
          <w:rFonts w:hint="eastAsia" w:ascii="仿宋_GB2312" w:hAnsi="仿宋_GB2312" w:eastAsia="仿宋_GB2312" w:cs="仿宋_GB2312"/>
          <w:color w:val="333333"/>
          <w:spacing w:val="7"/>
          <w:kern w:val="2"/>
          <w:sz w:val="32"/>
          <w:szCs w:val="32"/>
          <w:shd w:val="clear" w:color="auto" w:fill="FFFFFF"/>
        </w:rPr>
        <w:t>秉承优质办学的宗旨，重新改装了门头、墙标、设置了阎良区老年大学LOGO。为我区广大离退休老干部和社会老龄人群提供了学习和娱乐的舒适场地。整合了老年大学教学资源，开设班级教学，全年共有老年学员239人。自创舞蹈《中华鼓韵》参演了第十届“中国梦.夕阳美”全国中老年艺术大赛，荣获铜奖。 教学活动深入社 区、街道，积极参加各种公益性演出，为老龄人群服务。</w:t>
      </w:r>
    </w:p>
    <w:p>
      <w:pPr>
        <w:spacing w:after="0" w:line="560" w:lineRule="exact"/>
        <w:ind w:firstLine="640" w:firstLineChars="200"/>
        <w:jc w:val="both"/>
        <w:rPr>
          <w:rFonts w:ascii="仿宋_GB2312" w:hAnsi="华文仿宋" w:eastAsia="仿宋_GB2312" w:cs="华文仿宋"/>
          <w:sz w:val="32"/>
          <w:szCs w:val="32"/>
        </w:rPr>
      </w:pPr>
      <w:r>
        <w:rPr>
          <w:rFonts w:hint="eastAsia" w:ascii="黑体" w:hAnsi="黑体" w:eastAsia="黑体" w:cs="黑体"/>
          <w:sz w:val="32"/>
          <w:szCs w:val="32"/>
        </w:rPr>
        <w:t>五、部门决算收支情况说明</w:t>
      </w:r>
    </w:p>
    <w:p>
      <w:pPr>
        <w:spacing w:after="0" w:line="560" w:lineRule="exact"/>
        <w:ind w:firstLine="643" w:firstLineChars="200"/>
        <w:jc w:val="both"/>
        <w:rPr>
          <w:rFonts w:ascii="仿宋_GB2312" w:hAnsi="楷体_GB2312" w:eastAsia="仿宋_GB2312" w:cs="楷体_GB2312"/>
          <w:b/>
          <w:bCs/>
          <w:sz w:val="32"/>
          <w:szCs w:val="32"/>
        </w:rPr>
      </w:pPr>
      <w:r>
        <w:rPr>
          <w:rFonts w:hint="eastAsia" w:ascii="仿宋_GB2312" w:hAnsi="楷体_GB2312" w:eastAsia="仿宋_GB2312" w:cs="楷体_GB2312"/>
          <w:b/>
          <w:bCs/>
          <w:sz w:val="32"/>
          <w:szCs w:val="32"/>
        </w:rPr>
        <w:t>（一）2018年度收入支出总体情况说明</w:t>
      </w:r>
    </w:p>
    <w:p>
      <w:pPr>
        <w:pStyle w:val="5"/>
        <w:spacing w:before="0" w:beforeAutospacing="0" w:after="0" w:afterAutospacing="0" w:line="560" w:lineRule="exact"/>
        <w:ind w:firstLine="640" w:firstLineChars="200"/>
        <w:jc w:val="both"/>
        <w:rPr>
          <w:rFonts w:ascii="仿宋_GB2312" w:hAnsi="华文仿宋" w:eastAsia="仿宋_GB2312" w:cs="华文仿宋"/>
          <w:sz w:val="32"/>
          <w:szCs w:val="32"/>
        </w:rPr>
      </w:pPr>
      <w:r>
        <w:rPr>
          <w:rFonts w:hint="eastAsia" w:ascii="仿宋_GB2312" w:hAnsi="华文仿宋" w:eastAsia="仿宋_GB2312" w:cs="华文仿宋"/>
          <w:sz w:val="32"/>
          <w:szCs w:val="32"/>
        </w:rPr>
        <w:t>1.本年度收入支出总体情况</w:t>
      </w:r>
    </w:p>
    <w:p>
      <w:pPr>
        <w:spacing w:after="0" w:line="560" w:lineRule="exact"/>
        <w:ind w:firstLine="320" w:firstLineChars="100"/>
        <w:jc w:val="both"/>
        <w:rPr>
          <w:rFonts w:ascii="仿宋_GB2312" w:hAnsi="仿宋" w:eastAsia="仿宋_GB2312" w:cs="仿宋"/>
          <w:sz w:val="32"/>
          <w:szCs w:val="32"/>
        </w:rPr>
      </w:pPr>
      <w:r>
        <w:rPr>
          <w:rFonts w:hint="eastAsia" w:ascii="仿宋_GB2312" w:hAnsi="仿宋" w:eastAsia="仿宋_GB2312" w:cs="仿宋"/>
          <w:sz w:val="32"/>
          <w:szCs w:val="32"/>
        </w:rPr>
        <w:t>（1）2018年度本年收入合计90.51万元，较上年增加11.71万元，增加原因为：人员工资增加。</w:t>
      </w:r>
    </w:p>
    <w:p>
      <w:pPr>
        <w:spacing w:after="0"/>
        <w:ind w:firstLine="320" w:firstLineChars="100"/>
        <w:jc w:val="both"/>
        <w:rPr>
          <w:rFonts w:ascii="仿宋_GB2312" w:hAnsi="仿宋" w:eastAsia="仿宋_GB2312" w:cs="仿宋"/>
          <w:sz w:val="32"/>
          <w:szCs w:val="32"/>
        </w:rPr>
      </w:pPr>
      <w:r>
        <w:rPr>
          <w:rFonts w:hint="eastAsia" w:ascii="仿宋_GB2312" w:hAnsi="仿宋" w:eastAsia="仿宋_GB2312" w:cs="仿宋"/>
          <w:sz w:val="32"/>
          <w:szCs w:val="32"/>
        </w:rPr>
        <w:drawing>
          <wp:inline distT="0" distB="0" distL="0" distR="0">
            <wp:extent cx="4895850" cy="1914525"/>
            <wp:effectExtent l="19050" t="0" r="19050" b="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after="0" w:line="560" w:lineRule="exact"/>
        <w:ind w:firstLine="320" w:firstLineChars="100"/>
        <w:jc w:val="both"/>
        <w:rPr>
          <w:rFonts w:ascii="仿宋_GB2312" w:hAnsi="仿宋" w:eastAsia="仿宋_GB2312" w:cs="仿宋"/>
          <w:sz w:val="32"/>
          <w:szCs w:val="32"/>
        </w:rPr>
      </w:pPr>
      <w:r>
        <w:rPr>
          <w:rFonts w:hint="eastAsia" w:ascii="仿宋_GB2312" w:hAnsi="仿宋" w:eastAsia="仿宋_GB2312" w:cs="仿宋"/>
          <w:sz w:val="32"/>
          <w:szCs w:val="32"/>
        </w:rPr>
        <w:t>（2）2018年度本年实际收入合计90.51万元，2018年预算收入63.4万元，实际收入比年初预算超出27.11万元，超出百分率43%，增加原因为：人员工资增加。</w:t>
      </w:r>
    </w:p>
    <w:p>
      <w:pPr>
        <w:spacing w:after="0"/>
        <w:ind w:firstLine="320" w:firstLineChars="100"/>
        <w:jc w:val="both"/>
        <w:rPr>
          <w:rFonts w:ascii="仿宋_GB2312" w:hAnsi="仿宋" w:eastAsia="仿宋_GB2312" w:cs="仿宋"/>
          <w:sz w:val="32"/>
          <w:szCs w:val="32"/>
        </w:rPr>
      </w:pPr>
      <w:r>
        <w:rPr>
          <w:rFonts w:hint="eastAsia" w:ascii="仿宋_GB2312" w:hAnsi="仿宋" w:eastAsia="仿宋_GB2312" w:cs="仿宋"/>
          <w:sz w:val="32"/>
          <w:szCs w:val="32"/>
        </w:rPr>
        <w:drawing>
          <wp:inline distT="0" distB="0" distL="0" distR="0">
            <wp:extent cx="5000625" cy="1971675"/>
            <wp:effectExtent l="19050" t="0" r="9525" b="0"/>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after="0" w:line="560" w:lineRule="exact"/>
        <w:ind w:firstLine="320" w:firstLineChars="100"/>
        <w:jc w:val="both"/>
        <w:rPr>
          <w:rFonts w:ascii="仿宋_GB2312" w:hAnsi="仿宋" w:eastAsia="仿宋_GB2312" w:cs="仿宋"/>
          <w:sz w:val="32"/>
          <w:szCs w:val="32"/>
        </w:rPr>
      </w:pPr>
      <w:r>
        <w:rPr>
          <w:rFonts w:hint="eastAsia" w:ascii="仿宋_GB2312" w:hAnsi="仿宋" w:eastAsia="仿宋_GB2312" w:cs="仿宋"/>
          <w:sz w:val="32"/>
          <w:szCs w:val="32"/>
        </w:rPr>
        <w:t>（3）2018年度本年支出合计90.51万元，较上年增加11.71万元，增加原因为：人员工资增加。</w:t>
      </w:r>
    </w:p>
    <w:p>
      <w:pPr>
        <w:spacing w:after="0"/>
        <w:ind w:firstLine="320" w:firstLineChars="100"/>
        <w:jc w:val="both"/>
        <w:rPr>
          <w:rFonts w:ascii="仿宋_GB2312" w:hAnsi="仿宋" w:eastAsia="仿宋_GB2312" w:cs="仿宋"/>
          <w:sz w:val="32"/>
          <w:szCs w:val="32"/>
        </w:rPr>
      </w:pPr>
      <w:r>
        <w:rPr>
          <w:rFonts w:hint="eastAsia" w:ascii="仿宋_GB2312" w:hAnsi="仿宋" w:eastAsia="仿宋_GB2312" w:cs="仿宋"/>
          <w:sz w:val="32"/>
          <w:szCs w:val="32"/>
        </w:rPr>
        <w:drawing>
          <wp:inline distT="0" distB="0" distL="0" distR="0">
            <wp:extent cx="5000625" cy="1847850"/>
            <wp:effectExtent l="19050" t="0" r="9525" b="0"/>
            <wp:docPr id="15"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after="0" w:line="560" w:lineRule="exact"/>
        <w:ind w:firstLine="320" w:firstLineChars="100"/>
        <w:jc w:val="both"/>
        <w:rPr>
          <w:rFonts w:ascii="仿宋_GB2312" w:hAnsi="仿宋" w:eastAsia="仿宋_GB2312" w:cs="仿宋"/>
          <w:sz w:val="32"/>
          <w:szCs w:val="32"/>
        </w:rPr>
      </w:pPr>
      <w:r>
        <w:rPr>
          <w:rFonts w:hint="eastAsia" w:ascii="仿宋_GB2312" w:hAnsi="仿宋" w:eastAsia="仿宋_GB2312" w:cs="仿宋"/>
          <w:sz w:val="32"/>
          <w:szCs w:val="32"/>
        </w:rPr>
        <w:t>（4）2018年度本年实际支出合计90.51万元，2018年预算支出63.4万元，实际支出比年初预算超出27.11万元，超出百分率43%，增加原因为：人员工资增加。</w:t>
      </w:r>
    </w:p>
    <w:p>
      <w:pPr>
        <w:spacing w:after="0"/>
        <w:ind w:firstLine="320" w:firstLineChars="100"/>
        <w:jc w:val="both"/>
        <w:rPr>
          <w:rFonts w:ascii="仿宋_GB2312" w:hAnsi="仿宋" w:eastAsia="仿宋_GB2312" w:cs="仿宋"/>
          <w:sz w:val="32"/>
          <w:szCs w:val="32"/>
        </w:rPr>
      </w:pPr>
      <w:r>
        <w:rPr>
          <w:rFonts w:hint="eastAsia" w:ascii="仿宋_GB2312" w:hAnsi="仿宋" w:eastAsia="仿宋_GB2312" w:cs="仿宋"/>
          <w:sz w:val="32"/>
          <w:szCs w:val="32"/>
        </w:rPr>
        <w:drawing>
          <wp:inline distT="0" distB="0" distL="0" distR="0">
            <wp:extent cx="5000625" cy="1971675"/>
            <wp:effectExtent l="19050" t="0" r="9525" b="0"/>
            <wp:docPr id="17"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5"/>
        <w:spacing w:before="0" w:beforeAutospacing="0" w:after="0" w:afterAutospacing="0" w:line="560" w:lineRule="exact"/>
        <w:ind w:firstLine="640" w:firstLineChars="200"/>
        <w:jc w:val="both"/>
        <w:rPr>
          <w:rFonts w:ascii="仿宋_GB2312" w:hAnsi="华文仿宋" w:eastAsia="仿宋_GB2312" w:cs="华文仿宋"/>
          <w:sz w:val="32"/>
          <w:szCs w:val="32"/>
        </w:rPr>
      </w:pPr>
      <w:r>
        <w:rPr>
          <w:rFonts w:hint="eastAsia" w:ascii="仿宋_GB2312" w:hAnsi="华文仿宋" w:eastAsia="仿宋_GB2312" w:cs="华文仿宋"/>
          <w:sz w:val="32"/>
          <w:szCs w:val="32"/>
        </w:rPr>
        <w:t>2.本年收入构成情况</w:t>
      </w:r>
    </w:p>
    <w:p>
      <w:pPr>
        <w:spacing w:after="0"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2018年本年收入合计90.51万元。其中：</w:t>
      </w:r>
    </w:p>
    <w:p>
      <w:pPr>
        <w:spacing w:after="0" w:line="560" w:lineRule="exact"/>
        <w:ind w:firstLine="320" w:firstLineChars="100"/>
        <w:jc w:val="both"/>
        <w:rPr>
          <w:rFonts w:ascii="仿宋_GB2312" w:hAnsi="仿宋" w:eastAsia="仿宋_GB2312" w:cs="仿宋"/>
          <w:sz w:val="32"/>
          <w:szCs w:val="32"/>
        </w:rPr>
      </w:pPr>
      <w:r>
        <w:rPr>
          <w:rFonts w:hint="eastAsia" w:ascii="仿宋_GB2312" w:hAnsi="仿宋" w:eastAsia="仿宋_GB2312" w:cs="仿宋"/>
          <w:sz w:val="32"/>
          <w:szCs w:val="32"/>
        </w:rPr>
        <w:t>（1）财政拨款90.51万元，占总收入的100%，包括一般公共预算财政拨款90.51万元。</w:t>
      </w:r>
    </w:p>
    <w:p>
      <w:pPr>
        <w:spacing w:after="0" w:line="560" w:lineRule="exact"/>
        <w:ind w:firstLine="320" w:firstLineChars="100"/>
        <w:jc w:val="both"/>
        <w:rPr>
          <w:rFonts w:ascii="仿宋_GB2312" w:hAnsi="仿宋" w:eastAsia="仿宋_GB2312" w:cs="仿宋"/>
          <w:sz w:val="32"/>
          <w:szCs w:val="32"/>
        </w:rPr>
      </w:pPr>
      <w:r>
        <w:rPr>
          <w:rFonts w:hint="eastAsia" w:ascii="仿宋_GB2312" w:hAnsi="仿宋" w:eastAsia="仿宋_GB2312" w:cs="仿宋"/>
          <w:sz w:val="32"/>
          <w:szCs w:val="32"/>
        </w:rPr>
        <w:t>（2）事业收入0元。</w:t>
      </w:r>
    </w:p>
    <w:p>
      <w:pPr>
        <w:spacing w:after="0" w:line="560" w:lineRule="exact"/>
        <w:ind w:firstLine="320" w:firstLineChars="100"/>
        <w:jc w:val="both"/>
        <w:rPr>
          <w:rFonts w:ascii="仿宋_GB2312" w:hAnsi="仿宋" w:eastAsia="仿宋_GB2312" w:cs="仿宋"/>
          <w:sz w:val="32"/>
          <w:szCs w:val="32"/>
        </w:rPr>
      </w:pPr>
      <w:r>
        <w:rPr>
          <w:rFonts w:hint="eastAsia" w:ascii="仿宋_GB2312" w:hAnsi="仿宋" w:eastAsia="仿宋_GB2312" w:cs="仿宋"/>
          <w:sz w:val="32"/>
          <w:szCs w:val="32"/>
        </w:rPr>
        <w:t>（3）经营收入0元</w:t>
      </w:r>
    </w:p>
    <w:p>
      <w:pPr>
        <w:spacing w:after="0" w:line="560" w:lineRule="exact"/>
        <w:ind w:firstLine="320" w:firstLineChars="100"/>
        <w:jc w:val="both"/>
        <w:rPr>
          <w:rFonts w:ascii="仿宋_GB2312" w:hAnsi="仿宋" w:eastAsia="仿宋_GB2312" w:cs="仿宋"/>
          <w:sz w:val="32"/>
          <w:szCs w:val="32"/>
        </w:rPr>
      </w:pPr>
      <w:r>
        <w:rPr>
          <w:rFonts w:hint="eastAsia" w:ascii="仿宋_GB2312" w:hAnsi="仿宋" w:eastAsia="仿宋_GB2312" w:cs="仿宋"/>
          <w:sz w:val="32"/>
          <w:szCs w:val="32"/>
        </w:rPr>
        <w:t>（4）其他收入0元。</w:t>
      </w:r>
    </w:p>
    <w:tbl>
      <w:tblPr>
        <w:tblStyle w:val="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840"/>
        <w:gridCol w:w="2841"/>
        <w:gridCol w:w="28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8522" w:type="dxa"/>
            <w:gridSpan w:val="3"/>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本年收入构成情况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vAlign w:val="center"/>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收入来源</w:t>
            </w:r>
          </w:p>
        </w:tc>
        <w:tc>
          <w:tcPr>
            <w:tcW w:w="2841" w:type="dxa"/>
            <w:vAlign w:val="center"/>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金额（万元）</w:t>
            </w:r>
          </w:p>
        </w:tc>
        <w:tc>
          <w:tcPr>
            <w:tcW w:w="2841" w:type="dxa"/>
            <w:vAlign w:val="center"/>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占总收入的百分比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Pr>
          <w:p>
            <w:pPr>
              <w:spacing w:after="0" w:line="560" w:lineRule="exact"/>
              <w:ind w:firstLine="200"/>
              <w:jc w:val="both"/>
              <w:rPr>
                <w:rFonts w:ascii="仿宋_GB2312" w:hAnsi="仿宋" w:eastAsia="仿宋_GB2312" w:cs="仿宋"/>
                <w:sz w:val="32"/>
                <w:szCs w:val="32"/>
              </w:rPr>
            </w:pPr>
            <w:r>
              <w:rPr>
                <w:rFonts w:hint="eastAsia" w:ascii="仿宋_GB2312" w:hAnsi="仿宋" w:eastAsia="仿宋_GB2312" w:cs="仿宋"/>
                <w:sz w:val="32"/>
                <w:szCs w:val="32"/>
              </w:rPr>
              <w:t>财政拨款</w:t>
            </w:r>
          </w:p>
        </w:tc>
        <w:tc>
          <w:tcPr>
            <w:tcW w:w="2841" w:type="dxa"/>
          </w:tcPr>
          <w:p>
            <w:pPr>
              <w:spacing w:after="0" w:line="560" w:lineRule="exact"/>
              <w:ind w:firstLine="200"/>
              <w:jc w:val="both"/>
              <w:rPr>
                <w:rFonts w:ascii="仿宋_GB2312" w:hAnsi="仿宋" w:eastAsia="仿宋_GB2312" w:cs="仿宋"/>
                <w:sz w:val="32"/>
                <w:szCs w:val="32"/>
              </w:rPr>
            </w:pPr>
            <w:r>
              <w:rPr>
                <w:rFonts w:hint="eastAsia" w:ascii="仿宋_GB2312" w:hAnsi="仿宋" w:eastAsia="仿宋_GB2312" w:cs="仿宋"/>
                <w:sz w:val="32"/>
                <w:szCs w:val="32"/>
              </w:rPr>
              <w:t>90.51</w:t>
            </w:r>
          </w:p>
        </w:tc>
        <w:tc>
          <w:tcPr>
            <w:tcW w:w="2841" w:type="dxa"/>
          </w:tcPr>
          <w:p>
            <w:pPr>
              <w:spacing w:after="0" w:line="560" w:lineRule="exact"/>
              <w:ind w:firstLine="200"/>
              <w:jc w:val="both"/>
              <w:rPr>
                <w:rFonts w:ascii="仿宋_GB2312" w:hAnsi="仿宋" w:eastAsia="仿宋_GB2312" w:cs="仿宋"/>
                <w:sz w:val="32"/>
                <w:szCs w:val="32"/>
              </w:rPr>
            </w:pPr>
            <w:r>
              <w:rPr>
                <w:rFonts w:hint="eastAsia" w:ascii="仿宋_GB2312" w:hAnsi="仿宋" w:eastAsia="仿宋_GB2312" w:cs="仿宋"/>
                <w:sz w:val="32"/>
                <w:szCs w:val="32"/>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Pr>
          <w:p>
            <w:pPr>
              <w:spacing w:after="0" w:line="560" w:lineRule="exact"/>
              <w:ind w:firstLine="200"/>
              <w:jc w:val="both"/>
              <w:rPr>
                <w:rFonts w:ascii="仿宋_GB2312" w:hAnsi="仿宋" w:eastAsia="仿宋_GB2312" w:cs="仿宋"/>
                <w:sz w:val="32"/>
                <w:szCs w:val="32"/>
              </w:rPr>
            </w:pPr>
            <w:r>
              <w:rPr>
                <w:rFonts w:hint="eastAsia" w:ascii="仿宋_GB2312" w:hAnsi="仿宋" w:eastAsia="仿宋_GB2312" w:cs="仿宋"/>
                <w:sz w:val="32"/>
                <w:szCs w:val="32"/>
              </w:rPr>
              <w:t>事业收入</w:t>
            </w:r>
          </w:p>
        </w:tc>
        <w:tc>
          <w:tcPr>
            <w:tcW w:w="2841" w:type="dxa"/>
          </w:tcPr>
          <w:p>
            <w:pPr>
              <w:spacing w:after="0" w:line="560" w:lineRule="exact"/>
              <w:ind w:firstLine="200"/>
              <w:jc w:val="both"/>
              <w:rPr>
                <w:rFonts w:ascii="仿宋_GB2312" w:hAnsi="仿宋" w:eastAsia="仿宋_GB2312" w:cs="仿宋"/>
                <w:sz w:val="32"/>
                <w:szCs w:val="32"/>
              </w:rPr>
            </w:pPr>
            <w:r>
              <w:rPr>
                <w:rFonts w:hint="eastAsia" w:ascii="仿宋_GB2312" w:hAnsi="仿宋" w:eastAsia="仿宋_GB2312" w:cs="仿宋"/>
                <w:sz w:val="32"/>
                <w:szCs w:val="32"/>
              </w:rPr>
              <w:t>0</w:t>
            </w:r>
          </w:p>
        </w:tc>
        <w:tc>
          <w:tcPr>
            <w:tcW w:w="2841" w:type="dxa"/>
          </w:tcPr>
          <w:p>
            <w:pPr>
              <w:spacing w:after="0" w:line="560" w:lineRule="exact"/>
              <w:ind w:firstLine="200"/>
              <w:jc w:val="both"/>
              <w:rPr>
                <w:rFonts w:ascii="仿宋_GB2312" w:hAnsi="仿宋" w:eastAsia="仿宋_GB2312" w:cs="仿宋"/>
                <w:sz w:val="32"/>
                <w:szCs w:val="32"/>
              </w:rPr>
            </w:pPr>
            <w:r>
              <w:rPr>
                <w:rFonts w:hint="eastAsia" w:ascii="仿宋_GB2312" w:hAnsi="仿宋" w:eastAsia="仿宋_GB2312" w:cs="仿宋"/>
                <w:sz w:val="32"/>
                <w:szCs w:val="3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Pr>
          <w:p>
            <w:pPr>
              <w:spacing w:after="0" w:line="560" w:lineRule="exact"/>
              <w:ind w:firstLine="200"/>
              <w:jc w:val="both"/>
              <w:rPr>
                <w:rFonts w:ascii="仿宋_GB2312" w:hAnsi="仿宋" w:eastAsia="仿宋_GB2312" w:cs="仿宋"/>
                <w:sz w:val="32"/>
                <w:szCs w:val="32"/>
              </w:rPr>
            </w:pPr>
            <w:r>
              <w:rPr>
                <w:rFonts w:hint="eastAsia" w:ascii="仿宋_GB2312" w:hAnsi="仿宋" w:eastAsia="仿宋_GB2312" w:cs="仿宋"/>
                <w:sz w:val="32"/>
                <w:szCs w:val="32"/>
              </w:rPr>
              <w:t>经营收入</w:t>
            </w:r>
          </w:p>
        </w:tc>
        <w:tc>
          <w:tcPr>
            <w:tcW w:w="2841" w:type="dxa"/>
          </w:tcPr>
          <w:p>
            <w:pPr>
              <w:spacing w:after="0" w:line="560" w:lineRule="exact"/>
              <w:ind w:firstLine="200"/>
              <w:jc w:val="both"/>
              <w:rPr>
                <w:rFonts w:ascii="仿宋_GB2312" w:hAnsi="仿宋" w:eastAsia="仿宋_GB2312" w:cs="仿宋"/>
                <w:sz w:val="32"/>
                <w:szCs w:val="32"/>
              </w:rPr>
            </w:pPr>
            <w:r>
              <w:rPr>
                <w:rFonts w:hint="eastAsia" w:ascii="仿宋_GB2312" w:hAnsi="仿宋" w:eastAsia="仿宋_GB2312" w:cs="仿宋"/>
                <w:sz w:val="32"/>
                <w:szCs w:val="32"/>
              </w:rPr>
              <w:t>0</w:t>
            </w:r>
          </w:p>
        </w:tc>
        <w:tc>
          <w:tcPr>
            <w:tcW w:w="2841" w:type="dxa"/>
          </w:tcPr>
          <w:p>
            <w:pPr>
              <w:spacing w:after="0" w:line="560" w:lineRule="exact"/>
              <w:ind w:firstLine="200"/>
              <w:jc w:val="both"/>
              <w:rPr>
                <w:rFonts w:ascii="仿宋_GB2312" w:hAnsi="仿宋" w:eastAsia="仿宋_GB2312" w:cs="仿宋"/>
                <w:sz w:val="32"/>
                <w:szCs w:val="32"/>
              </w:rPr>
            </w:pPr>
            <w:r>
              <w:rPr>
                <w:rFonts w:hint="eastAsia" w:ascii="仿宋_GB2312" w:hAnsi="仿宋" w:eastAsia="仿宋_GB2312" w:cs="仿宋"/>
                <w:sz w:val="32"/>
                <w:szCs w:val="32"/>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40" w:type="dxa"/>
          </w:tcPr>
          <w:p>
            <w:pPr>
              <w:spacing w:after="0" w:line="560" w:lineRule="exact"/>
              <w:ind w:firstLine="200"/>
              <w:jc w:val="both"/>
              <w:rPr>
                <w:rFonts w:ascii="仿宋_GB2312" w:hAnsi="仿宋" w:eastAsia="仿宋_GB2312" w:cs="仿宋"/>
                <w:sz w:val="32"/>
                <w:szCs w:val="32"/>
              </w:rPr>
            </w:pPr>
            <w:r>
              <w:rPr>
                <w:rFonts w:hint="eastAsia" w:ascii="仿宋_GB2312" w:hAnsi="仿宋" w:eastAsia="仿宋_GB2312" w:cs="仿宋"/>
                <w:sz w:val="32"/>
                <w:szCs w:val="32"/>
              </w:rPr>
              <w:t>其他收入</w:t>
            </w:r>
          </w:p>
        </w:tc>
        <w:tc>
          <w:tcPr>
            <w:tcW w:w="2841" w:type="dxa"/>
          </w:tcPr>
          <w:p>
            <w:pPr>
              <w:spacing w:after="0" w:line="560" w:lineRule="exact"/>
              <w:ind w:firstLine="200"/>
              <w:jc w:val="both"/>
              <w:rPr>
                <w:rFonts w:ascii="仿宋_GB2312" w:hAnsi="仿宋" w:eastAsia="仿宋_GB2312" w:cs="仿宋"/>
                <w:sz w:val="32"/>
                <w:szCs w:val="32"/>
              </w:rPr>
            </w:pPr>
            <w:r>
              <w:rPr>
                <w:rFonts w:hint="eastAsia" w:ascii="仿宋_GB2312" w:hAnsi="仿宋" w:eastAsia="仿宋_GB2312" w:cs="仿宋"/>
                <w:sz w:val="32"/>
                <w:szCs w:val="32"/>
              </w:rPr>
              <w:t>0</w:t>
            </w:r>
          </w:p>
        </w:tc>
        <w:tc>
          <w:tcPr>
            <w:tcW w:w="2841" w:type="dxa"/>
          </w:tcPr>
          <w:p>
            <w:pPr>
              <w:spacing w:after="0" w:line="560" w:lineRule="exact"/>
              <w:ind w:firstLine="200"/>
              <w:jc w:val="both"/>
              <w:rPr>
                <w:rFonts w:ascii="仿宋_GB2312" w:hAnsi="仿宋" w:eastAsia="仿宋_GB2312" w:cs="仿宋"/>
                <w:sz w:val="32"/>
                <w:szCs w:val="32"/>
              </w:rPr>
            </w:pPr>
            <w:r>
              <w:rPr>
                <w:rFonts w:hint="eastAsia" w:ascii="仿宋_GB2312" w:hAnsi="仿宋" w:eastAsia="仿宋_GB2312" w:cs="仿宋"/>
                <w:sz w:val="32"/>
                <w:szCs w:val="32"/>
              </w:rPr>
              <w:t>0</w:t>
            </w:r>
          </w:p>
        </w:tc>
      </w:tr>
    </w:tbl>
    <w:p>
      <w:pPr>
        <w:pStyle w:val="5"/>
        <w:spacing w:before="0" w:beforeAutospacing="0" w:after="0" w:afterAutospacing="0" w:line="560" w:lineRule="exact"/>
        <w:ind w:firstLine="640" w:firstLineChars="200"/>
        <w:jc w:val="both"/>
        <w:rPr>
          <w:rFonts w:ascii="仿宋_GB2312" w:hAnsi="华文仿宋" w:eastAsia="仿宋_GB2312" w:cs="华文仿宋"/>
          <w:sz w:val="32"/>
          <w:szCs w:val="32"/>
        </w:rPr>
      </w:pPr>
      <w:r>
        <w:rPr>
          <w:rFonts w:hint="eastAsia" w:ascii="仿宋_GB2312" w:hAnsi="华文仿宋" w:eastAsia="仿宋_GB2312" w:cs="华文仿宋"/>
          <w:sz w:val="32"/>
          <w:szCs w:val="32"/>
        </w:rPr>
        <w:t>3.本年支出构成情况</w:t>
      </w:r>
    </w:p>
    <w:p>
      <w:pPr>
        <w:pStyle w:val="5"/>
        <w:spacing w:before="0" w:beforeAutospacing="0" w:after="0" w:afterAutospacing="0" w:line="560" w:lineRule="exact"/>
        <w:ind w:firstLine="800" w:firstLineChars="250"/>
        <w:jc w:val="both"/>
        <w:rPr>
          <w:rFonts w:ascii="仿宋_GB2312" w:hAnsi="华文仿宋" w:eastAsia="仿宋_GB2312" w:cs="华文仿宋"/>
          <w:sz w:val="32"/>
          <w:szCs w:val="32"/>
        </w:rPr>
      </w:pPr>
      <w:r>
        <w:rPr>
          <w:rFonts w:hint="eastAsia" w:ascii="仿宋_GB2312" w:hAnsi="华文仿宋" w:eastAsia="仿宋_GB2312" w:cs="华文仿宋"/>
          <w:sz w:val="32"/>
          <w:szCs w:val="32"/>
        </w:rPr>
        <w:t>2018年本年支出合计90.51万元。其中:</w:t>
      </w:r>
    </w:p>
    <w:p>
      <w:pPr>
        <w:spacing w:after="0" w:line="560" w:lineRule="exact"/>
        <w:ind w:firstLine="640" w:firstLineChars="200"/>
        <w:jc w:val="both"/>
        <w:rPr>
          <w:rFonts w:ascii="仿宋_GB2312" w:hAnsi="仿宋" w:eastAsia="仿宋_GB2312" w:cs="仿宋"/>
          <w:szCs w:val="32"/>
        </w:rPr>
      </w:pPr>
      <w:r>
        <w:rPr>
          <w:rFonts w:hint="eastAsia" w:ascii="仿宋_GB2312" w:hAnsi="仿宋" w:eastAsia="仿宋_GB2312" w:cs="仿宋"/>
          <w:sz w:val="32"/>
          <w:szCs w:val="32"/>
        </w:rPr>
        <w:t xml:space="preserve">（1）基本支出61.09万元，占总支出的67%，主要是为保障机构正常运转、完成日常工作而发生的各项支出。其中：工资福利支出47.82万元，商品和服务支出4.67万元，对个人和家庭的补助支出8.60万元。 </w:t>
      </w:r>
    </w:p>
    <w:p>
      <w:pPr>
        <w:spacing w:after="0"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（2）项目支出29.42万元，占总支出的33%，主要是用于老干部业务费。</w:t>
      </w:r>
    </w:p>
    <w:tbl>
      <w:tblPr>
        <w:tblStyle w:val="6"/>
        <w:tblW w:w="8931" w:type="dxa"/>
        <w:tblInd w:w="-1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35"/>
        <w:gridCol w:w="3544"/>
        <w:gridCol w:w="1984"/>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931" w:type="dxa"/>
            <w:gridSpan w:val="4"/>
            <w:vAlign w:val="center"/>
          </w:tcPr>
          <w:p>
            <w:pPr>
              <w:spacing w:after="0" w:line="560" w:lineRule="exact"/>
              <w:ind w:firstLine="200"/>
              <w:jc w:val="center"/>
              <w:rPr>
                <w:rFonts w:ascii="仿宋_GB2312" w:hAnsi="仿宋" w:eastAsia="仿宋_GB2312" w:cs="仿宋"/>
                <w:sz w:val="32"/>
                <w:szCs w:val="32"/>
              </w:rPr>
            </w:pPr>
            <w:r>
              <w:rPr>
                <w:rFonts w:hint="eastAsia" w:ascii="仿宋_GB2312" w:hAnsi="华文仿宋" w:eastAsia="仿宋_GB2312" w:cs="华文仿宋"/>
                <w:sz w:val="32"/>
                <w:szCs w:val="32"/>
              </w:rPr>
              <w:t>本年支出构成情况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679" w:type="dxa"/>
            <w:gridSpan w:val="2"/>
            <w:vAlign w:val="center"/>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支出用途</w:t>
            </w:r>
          </w:p>
        </w:tc>
        <w:tc>
          <w:tcPr>
            <w:tcW w:w="1984" w:type="dxa"/>
            <w:vAlign w:val="center"/>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金额（万元）</w:t>
            </w:r>
          </w:p>
        </w:tc>
        <w:tc>
          <w:tcPr>
            <w:tcW w:w="2268" w:type="dxa"/>
            <w:vAlign w:val="center"/>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占总支出的百分比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35" w:type="dxa"/>
            <w:vMerge w:val="restart"/>
            <w:tcBorders>
              <w:right w:val="single" w:color="auto" w:sz="4" w:space="0"/>
            </w:tcBorders>
            <w:vAlign w:val="center"/>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基本支出</w:t>
            </w:r>
          </w:p>
        </w:tc>
        <w:tc>
          <w:tcPr>
            <w:tcW w:w="3544" w:type="dxa"/>
            <w:tcBorders>
              <w:left w:val="single" w:color="auto" w:sz="4" w:space="0"/>
            </w:tcBorders>
            <w:vAlign w:val="center"/>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工资福利</w:t>
            </w:r>
          </w:p>
        </w:tc>
        <w:tc>
          <w:tcPr>
            <w:tcW w:w="1984" w:type="dxa"/>
            <w:vAlign w:val="center"/>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47.82</w:t>
            </w:r>
          </w:p>
        </w:tc>
        <w:tc>
          <w:tcPr>
            <w:tcW w:w="2268" w:type="dxa"/>
            <w:vMerge w:val="restart"/>
            <w:vAlign w:val="center"/>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35" w:type="dxa"/>
            <w:vMerge w:val="continue"/>
            <w:tcBorders>
              <w:right w:val="single" w:color="auto" w:sz="4" w:space="0"/>
            </w:tcBorders>
            <w:vAlign w:val="center"/>
          </w:tcPr>
          <w:p>
            <w:pPr>
              <w:spacing w:after="0" w:line="560" w:lineRule="exact"/>
              <w:ind w:firstLine="200"/>
              <w:jc w:val="center"/>
              <w:rPr>
                <w:rFonts w:ascii="仿宋_GB2312" w:hAnsi="仿宋" w:eastAsia="仿宋_GB2312" w:cs="仿宋"/>
                <w:sz w:val="32"/>
                <w:szCs w:val="32"/>
              </w:rPr>
            </w:pPr>
          </w:p>
        </w:tc>
        <w:tc>
          <w:tcPr>
            <w:tcW w:w="3544" w:type="dxa"/>
            <w:tcBorders>
              <w:left w:val="single" w:color="auto" w:sz="4" w:space="0"/>
            </w:tcBorders>
            <w:vAlign w:val="center"/>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商品和服务</w:t>
            </w:r>
          </w:p>
        </w:tc>
        <w:tc>
          <w:tcPr>
            <w:tcW w:w="1984" w:type="dxa"/>
            <w:vAlign w:val="center"/>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4.67</w:t>
            </w:r>
          </w:p>
        </w:tc>
        <w:tc>
          <w:tcPr>
            <w:tcW w:w="2268" w:type="dxa"/>
            <w:vMerge w:val="continue"/>
            <w:vAlign w:val="center"/>
          </w:tcPr>
          <w:p>
            <w:pPr>
              <w:spacing w:after="0" w:line="560" w:lineRule="exact"/>
              <w:ind w:firstLine="200"/>
              <w:jc w:val="center"/>
              <w:rPr>
                <w:rFonts w:ascii="仿宋_GB2312" w:hAnsi="仿宋" w:eastAsia="仿宋_GB2312" w:cs="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6" w:hRule="atLeast"/>
        </w:trPr>
        <w:tc>
          <w:tcPr>
            <w:tcW w:w="1135" w:type="dxa"/>
            <w:vMerge w:val="continue"/>
            <w:tcBorders>
              <w:right w:val="single" w:color="auto" w:sz="4" w:space="0"/>
            </w:tcBorders>
            <w:vAlign w:val="center"/>
          </w:tcPr>
          <w:p>
            <w:pPr>
              <w:spacing w:after="0" w:line="560" w:lineRule="exact"/>
              <w:ind w:firstLine="200"/>
              <w:jc w:val="center"/>
              <w:rPr>
                <w:rFonts w:ascii="仿宋_GB2312" w:hAnsi="仿宋" w:eastAsia="仿宋_GB2312" w:cs="仿宋"/>
                <w:sz w:val="32"/>
                <w:szCs w:val="32"/>
              </w:rPr>
            </w:pPr>
          </w:p>
        </w:tc>
        <w:tc>
          <w:tcPr>
            <w:tcW w:w="3544" w:type="dxa"/>
            <w:tcBorders>
              <w:left w:val="single" w:color="auto" w:sz="4" w:space="0"/>
            </w:tcBorders>
            <w:vAlign w:val="center"/>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对个人和家庭的补助</w:t>
            </w:r>
          </w:p>
        </w:tc>
        <w:tc>
          <w:tcPr>
            <w:tcW w:w="1984" w:type="dxa"/>
            <w:vAlign w:val="center"/>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8.60</w:t>
            </w:r>
          </w:p>
        </w:tc>
        <w:tc>
          <w:tcPr>
            <w:tcW w:w="2268" w:type="dxa"/>
            <w:vMerge w:val="continue"/>
            <w:vAlign w:val="center"/>
          </w:tcPr>
          <w:p>
            <w:pPr>
              <w:spacing w:after="0" w:line="560" w:lineRule="exact"/>
              <w:ind w:firstLine="200"/>
              <w:jc w:val="center"/>
              <w:rPr>
                <w:rFonts w:ascii="仿宋_GB2312" w:hAnsi="仿宋" w:eastAsia="仿宋_GB2312" w:cs="仿宋"/>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0" w:hRule="atLeast"/>
        </w:trPr>
        <w:tc>
          <w:tcPr>
            <w:tcW w:w="1135" w:type="dxa"/>
            <w:tcBorders>
              <w:right w:val="single" w:color="auto" w:sz="4" w:space="0"/>
            </w:tcBorders>
            <w:vAlign w:val="center"/>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项目支出</w:t>
            </w:r>
          </w:p>
        </w:tc>
        <w:tc>
          <w:tcPr>
            <w:tcW w:w="3544" w:type="dxa"/>
            <w:tcBorders>
              <w:left w:val="single" w:color="auto" w:sz="4" w:space="0"/>
            </w:tcBorders>
            <w:vAlign w:val="center"/>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老干部业务</w:t>
            </w:r>
          </w:p>
        </w:tc>
        <w:tc>
          <w:tcPr>
            <w:tcW w:w="1984" w:type="dxa"/>
            <w:vAlign w:val="center"/>
          </w:tcPr>
          <w:p>
            <w:pPr>
              <w:spacing w:after="0" w:line="560" w:lineRule="exact"/>
              <w:ind w:firstLine="200"/>
              <w:jc w:val="center"/>
              <w:rPr>
                <w:rFonts w:ascii="仿宋_GB2312" w:hAnsi="仿宋" w:eastAsia="仿宋_GB2312" w:cs="仿宋"/>
                <w:sz w:val="32"/>
                <w:szCs w:val="32"/>
                <w:highlight w:val="magenta"/>
              </w:rPr>
            </w:pPr>
            <w:r>
              <w:rPr>
                <w:rFonts w:hint="eastAsia" w:ascii="仿宋_GB2312" w:hAnsi="仿宋" w:eastAsia="仿宋_GB2312" w:cs="仿宋"/>
                <w:sz w:val="32"/>
                <w:szCs w:val="32"/>
              </w:rPr>
              <w:t>29.42</w:t>
            </w:r>
          </w:p>
        </w:tc>
        <w:tc>
          <w:tcPr>
            <w:tcW w:w="2268" w:type="dxa"/>
            <w:vAlign w:val="center"/>
          </w:tcPr>
          <w:p>
            <w:pPr>
              <w:spacing w:after="0" w:line="560" w:lineRule="exact"/>
              <w:ind w:firstLine="200"/>
              <w:jc w:val="center"/>
              <w:rPr>
                <w:rFonts w:ascii="仿宋_GB2312" w:hAnsi="仿宋" w:eastAsia="仿宋_GB2312" w:cs="仿宋"/>
                <w:sz w:val="32"/>
                <w:szCs w:val="32"/>
              </w:rPr>
            </w:pPr>
            <w:r>
              <w:rPr>
                <w:rFonts w:hint="eastAsia" w:ascii="仿宋_GB2312" w:hAnsi="仿宋" w:eastAsia="仿宋_GB2312" w:cs="仿宋"/>
                <w:sz w:val="32"/>
                <w:szCs w:val="32"/>
              </w:rPr>
              <w:t>33%</w:t>
            </w:r>
          </w:p>
        </w:tc>
      </w:tr>
    </w:tbl>
    <w:p>
      <w:pPr>
        <w:pStyle w:val="5"/>
        <w:spacing w:before="0" w:beforeAutospacing="0" w:after="0" w:afterAutospacing="0" w:line="560" w:lineRule="exact"/>
        <w:ind w:firstLine="482" w:firstLineChars="150"/>
        <w:jc w:val="both"/>
        <w:rPr>
          <w:rFonts w:ascii="仿宋_GB2312" w:hAnsi="楷体_GB2312" w:eastAsia="仿宋_GB2312" w:cs="楷体_GB2312"/>
          <w:b/>
          <w:sz w:val="32"/>
          <w:szCs w:val="32"/>
        </w:rPr>
      </w:pPr>
    </w:p>
    <w:p>
      <w:pPr>
        <w:pStyle w:val="5"/>
        <w:spacing w:before="0" w:beforeAutospacing="0" w:after="0" w:afterAutospacing="0" w:line="560" w:lineRule="exact"/>
        <w:ind w:firstLine="482" w:firstLineChars="150"/>
        <w:jc w:val="both"/>
        <w:rPr>
          <w:rFonts w:ascii="仿宋_GB2312" w:hAnsi="华文仿宋" w:eastAsia="仿宋_GB2312" w:cs="华文仿宋"/>
          <w:b/>
          <w:sz w:val="32"/>
          <w:szCs w:val="32"/>
        </w:rPr>
      </w:pPr>
      <w:r>
        <w:rPr>
          <w:rFonts w:hint="eastAsia" w:ascii="仿宋_GB2312" w:hAnsi="楷体_GB2312" w:eastAsia="仿宋_GB2312" w:cs="楷体_GB2312"/>
          <w:b/>
          <w:sz w:val="32"/>
          <w:szCs w:val="32"/>
        </w:rPr>
        <w:t>（二）2018年度财政拨款收入支出总体情况说明</w:t>
      </w:r>
    </w:p>
    <w:p>
      <w:pPr>
        <w:pStyle w:val="5"/>
        <w:numPr>
          <w:ilvl w:val="0"/>
          <w:numId w:val="1"/>
        </w:numPr>
        <w:spacing w:before="0" w:beforeAutospacing="0" w:after="0" w:afterAutospacing="0" w:line="560" w:lineRule="exact"/>
        <w:ind w:firstLine="640" w:firstLineChars="200"/>
        <w:jc w:val="both"/>
        <w:rPr>
          <w:rFonts w:ascii="仿宋_GB2312" w:hAnsi="华文仿宋" w:eastAsia="仿宋_GB2312" w:cs="华文仿宋"/>
          <w:sz w:val="32"/>
          <w:szCs w:val="32"/>
        </w:rPr>
      </w:pPr>
      <w:r>
        <w:rPr>
          <w:rFonts w:hint="eastAsia" w:ascii="仿宋_GB2312" w:hAnsi="华文仿宋" w:eastAsia="仿宋_GB2312" w:cs="华文仿宋"/>
          <w:sz w:val="32"/>
          <w:szCs w:val="32"/>
        </w:rPr>
        <w:t>财政拨款收入支出总体情况</w:t>
      </w:r>
    </w:p>
    <w:p>
      <w:pPr>
        <w:pStyle w:val="5"/>
        <w:spacing w:before="0" w:beforeAutospacing="0" w:after="0" w:afterAutospacing="0" w:line="560" w:lineRule="exact"/>
        <w:ind w:firstLine="640" w:firstLineChars="200"/>
        <w:jc w:val="both"/>
        <w:rPr>
          <w:rFonts w:ascii="仿宋_GB2312" w:hAnsi="仿宋" w:eastAsia="仿宋_GB2312" w:cs="仿宋"/>
          <w:szCs w:val="32"/>
        </w:rPr>
      </w:pPr>
      <w:r>
        <w:rPr>
          <w:rFonts w:hint="eastAsia" w:ascii="仿宋_GB2312" w:hAnsi="仿宋" w:eastAsia="仿宋_GB2312" w:cs="仿宋"/>
          <w:sz w:val="32"/>
          <w:szCs w:val="32"/>
        </w:rPr>
        <w:t>2017年度一般公共财政预算拨款支出90.51万元，其中：基本支出61.09万元，项目支出29.42万元。 2017年度一般公共财政预算拨款支出90.51万元，较上年增加11.71万元，增加原因为：行政人员增加，工资支出增加。</w:t>
      </w:r>
    </w:p>
    <w:p>
      <w:pPr>
        <w:pStyle w:val="5"/>
        <w:spacing w:before="0" w:beforeAutospacing="0" w:after="0" w:afterAutospacing="0" w:line="560" w:lineRule="exact"/>
        <w:ind w:firstLine="640" w:firstLineChars="200"/>
        <w:jc w:val="both"/>
        <w:rPr>
          <w:rFonts w:ascii="仿宋_GB2312" w:hAnsi="华文仿宋" w:eastAsia="仿宋_GB2312" w:cs="华文仿宋"/>
          <w:sz w:val="32"/>
          <w:szCs w:val="32"/>
        </w:rPr>
      </w:pPr>
      <w:r>
        <w:rPr>
          <w:rFonts w:hint="eastAsia" w:ascii="仿宋_GB2312" w:hAnsi="华文仿宋" w:eastAsia="仿宋_GB2312" w:cs="华文仿宋"/>
          <w:sz w:val="32"/>
          <w:szCs w:val="32"/>
        </w:rPr>
        <w:t>2.一般公共预算财政拨款支出情况</w:t>
      </w:r>
    </w:p>
    <w:p>
      <w:pPr>
        <w:spacing w:after="0"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2018年度一般公共财政预算拨款支出90.51万元，按支出功能科目分，包括：</w:t>
      </w:r>
    </w:p>
    <w:p>
      <w:pPr>
        <w:spacing w:after="0"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（1）一般公共服务支出61.09万元，是反映</w:t>
      </w:r>
      <w:r>
        <w:rPr>
          <w:rFonts w:hint="eastAsia" w:ascii="仿宋_GB2312" w:hAnsi="仿宋" w:eastAsia="仿宋_GB2312" w:cs="仿宋"/>
          <w:sz w:val="32"/>
          <w:szCs w:val="32"/>
          <w:lang w:eastAsia="zh-CN"/>
        </w:rPr>
        <w:t>老干部局</w:t>
      </w:r>
      <w:r>
        <w:rPr>
          <w:rFonts w:hint="eastAsia" w:ascii="仿宋_GB2312" w:hAnsi="仿宋" w:eastAsia="仿宋_GB2312" w:cs="仿宋"/>
          <w:sz w:val="32"/>
          <w:szCs w:val="32"/>
        </w:rPr>
        <w:t xml:space="preserve">的基本运行支出。 </w:t>
      </w:r>
    </w:p>
    <w:p>
      <w:pPr>
        <w:spacing w:after="0"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（2）一般行政管理服务支出29.42万元，是用于老干部业务费。</w:t>
      </w:r>
    </w:p>
    <w:p>
      <w:pPr>
        <w:pStyle w:val="5"/>
        <w:spacing w:before="0" w:beforeAutospacing="0" w:after="0" w:afterAutospacing="0" w:line="560" w:lineRule="exact"/>
        <w:ind w:firstLine="640" w:firstLineChars="200"/>
        <w:jc w:val="both"/>
        <w:rPr>
          <w:rFonts w:ascii="仿宋_GB2312" w:hAnsi="华文仿宋" w:eastAsia="仿宋_GB2312" w:cs="华文仿宋"/>
          <w:sz w:val="32"/>
          <w:szCs w:val="32"/>
        </w:rPr>
      </w:pPr>
      <w:r>
        <w:rPr>
          <w:rFonts w:hint="eastAsia" w:ascii="仿宋_GB2312" w:hAnsi="华文仿宋" w:eastAsia="仿宋_GB2312" w:cs="华文仿宋"/>
          <w:sz w:val="32"/>
          <w:szCs w:val="32"/>
        </w:rPr>
        <w:t>3.一般公共预算财政拨款基本支出决算情况</w:t>
      </w:r>
    </w:p>
    <w:p>
      <w:pPr>
        <w:spacing w:after="0"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2018年度一般公共预算财政拨款基本支出61.09万元，其中：人员经费56.42 万元，公用经费4.67万元，比上年增加2.15万元，增加原因是行政人员增加。用于保证</w:t>
      </w:r>
      <w:r>
        <w:rPr>
          <w:rFonts w:hint="eastAsia" w:ascii="仿宋_GB2312" w:hAnsi="仿宋" w:eastAsia="仿宋_GB2312" w:cs="仿宋"/>
          <w:sz w:val="32"/>
          <w:szCs w:val="32"/>
          <w:lang w:eastAsia="zh-CN"/>
        </w:rPr>
        <w:t>老干部局</w:t>
      </w:r>
      <w:r>
        <w:rPr>
          <w:rFonts w:hint="eastAsia" w:ascii="仿宋_GB2312" w:hAnsi="仿宋" w:eastAsia="仿宋_GB2312" w:cs="仿宋"/>
          <w:sz w:val="32"/>
          <w:szCs w:val="32"/>
        </w:rPr>
        <w:t>正常运转和日常工作需要。</w:t>
      </w:r>
    </w:p>
    <w:p>
      <w:pPr>
        <w:pStyle w:val="5"/>
        <w:spacing w:before="0" w:beforeAutospacing="0" w:after="0" w:afterAutospacing="0" w:line="560" w:lineRule="exact"/>
        <w:ind w:firstLine="640" w:firstLineChars="200"/>
        <w:jc w:val="both"/>
        <w:rPr>
          <w:rFonts w:ascii="仿宋_GB2312" w:hAnsi="华文仿宋" w:eastAsia="仿宋_GB2312" w:cs="华文仿宋"/>
          <w:sz w:val="32"/>
          <w:szCs w:val="32"/>
        </w:rPr>
      </w:pPr>
      <w:r>
        <w:rPr>
          <w:rFonts w:ascii="仿宋_GB2312" w:hAnsi="华文仿宋" w:eastAsia="仿宋_GB2312" w:cs="华文仿宋"/>
          <w:sz w:val="32"/>
          <w:szCs w:val="32"/>
        </w:rPr>
        <w:t>4.</w:t>
      </w:r>
      <w:r>
        <w:rPr>
          <w:rFonts w:hint="eastAsia" w:ascii="仿宋_GB2312" w:hAnsi="华文仿宋" w:eastAsia="仿宋_GB2312" w:cs="华文仿宋"/>
          <w:sz w:val="32"/>
          <w:szCs w:val="32"/>
        </w:rPr>
        <w:t>政府性基金财政拨款收支情况</w:t>
      </w:r>
    </w:p>
    <w:p>
      <w:pPr>
        <w:pStyle w:val="5"/>
        <w:spacing w:before="0" w:beforeAutospacing="0" w:after="0" w:afterAutospacing="0" w:line="560" w:lineRule="exact"/>
        <w:ind w:firstLine="640" w:firstLineChars="200"/>
        <w:jc w:val="both"/>
        <w:rPr>
          <w:rFonts w:ascii="仿宋_GB2312" w:hAnsi="华文仿宋" w:eastAsia="仿宋_GB2312" w:cs="华文仿宋"/>
          <w:color w:val="000000"/>
          <w:sz w:val="32"/>
          <w:szCs w:val="32"/>
        </w:rPr>
      </w:pPr>
      <w:r>
        <w:rPr>
          <w:rFonts w:hint="eastAsia" w:ascii="仿宋_GB2312" w:hAnsi="华文仿宋" w:eastAsia="仿宋_GB2312" w:cs="华文仿宋"/>
          <w:color w:val="000000"/>
          <w:sz w:val="32"/>
          <w:szCs w:val="32"/>
        </w:rPr>
        <w:t>本部门无政府性基金决算收支，并已公开空表。</w:t>
      </w:r>
    </w:p>
    <w:p>
      <w:pPr>
        <w:pStyle w:val="5"/>
        <w:spacing w:before="0" w:beforeAutospacing="0" w:after="0" w:afterAutospacing="0" w:line="560" w:lineRule="exact"/>
        <w:ind w:firstLine="640" w:firstLineChars="200"/>
        <w:jc w:val="both"/>
        <w:rPr>
          <w:rFonts w:ascii="仿宋_GB2312" w:hAnsi="华文仿宋" w:eastAsia="仿宋_GB2312" w:cs="华文仿宋"/>
          <w:sz w:val="32"/>
          <w:szCs w:val="32"/>
        </w:rPr>
      </w:pPr>
      <w:r>
        <w:rPr>
          <w:rFonts w:ascii="仿宋_GB2312" w:hAnsi="华文仿宋" w:eastAsia="仿宋_GB2312" w:cs="华文仿宋"/>
          <w:sz w:val="32"/>
          <w:szCs w:val="32"/>
        </w:rPr>
        <w:t>5.</w:t>
      </w:r>
      <w:r>
        <w:rPr>
          <w:rFonts w:hint="eastAsia" w:ascii="仿宋_GB2312" w:hAnsi="华文仿宋" w:eastAsia="仿宋_GB2312" w:cs="华文仿宋"/>
          <w:sz w:val="32"/>
          <w:szCs w:val="32"/>
        </w:rPr>
        <w:t>国有资本经营财政拨款收支情况</w:t>
      </w:r>
    </w:p>
    <w:p>
      <w:pPr>
        <w:spacing w:after="0" w:line="560" w:lineRule="exact"/>
        <w:ind w:firstLine="640" w:firstLineChars="200"/>
        <w:jc w:val="both"/>
        <w:rPr>
          <w:rFonts w:ascii="仿宋_GB2312" w:hAnsi="华文仿宋" w:eastAsia="仿宋_GB2312" w:cs="华文仿宋"/>
          <w:sz w:val="32"/>
          <w:szCs w:val="32"/>
        </w:rPr>
      </w:pPr>
      <w:r>
        <w:rPr>
          <w:rFonts w:hint="eastAsia" w:ascii="仿宋_GB2312" w:hAnsi="华文仿宋" w:eastAsia="仿宋_GB2312" w:cs="华文仿宋"/>
          <w:sz w:val="32"/>
          <w:szCs w:val="32"/>
        </w:rPr>
        <w:t>本部门无国有资本经营决算拨款收支。</w:t>
      </w:r>
    </w:p>
    <w:p>
      <w:pPr>
        <w:pStyle w:val="5"/>
        <w:spacing w:before="0" w:beforeAutospacing="0" w:after="0" w:afterAutospacing="0" w:line="560" w:lineRule="exact"/>
        <w:ind w:firstLine="640" w:firstLineChars="200"/>
        <w:jc w:val="both"/>
        <w:rPr>
          <w:rFonts w:ascii="仿宋_GB2312" w:hAnsi="华文仿宋" w:eastAsia="仿宋_GB2312" w:cs="华文仿宋"/>
          <w:sz w:val="32"/>
          <w:szCs w:val="32"/>
        </w:rPr>
      </w:pPr>
      <w:r>
        <w:rPr>
          <w:rFonts w:ascii="仿宋_GB2312" w:hAnsi="华文仿宋" w:eastAsia="仿宋_GB2312" w:cs="华文仿宋"/>
          <w:sz w:val="32"/>
          <w:szCs w:val="32"/>
        </w:rPr>
        <w:t>6.</w:t>
      </w:r>
      <w:r>
        <w:rPr>
          <w:rFonts w:hint="eastAsia" w:ascii="仿宋_GB2312" w:hAnsi="华文仿宋" w:eastAsia="仿宋_GB2312" w:cs="华文仿宋"/>
          <w:sz w:val="32"/>
          <w:szCs w:val="32"/>
        </w:rPr>
        <w:t>政府采购支出情况</w:t>
      </w:r>
    </w:p>
    <w:p>
      <w:pPr>
        <w:spacing w:after="0" w:line="560" w:lineRule="exact"/>
        <w:ind w:firstLine="640" w:firstLineChars="200"/>
        <w:jc w:val="both"/>
        <w:rPr>
          <w:rFonts w:ascii="仿宋_GB2312" w:hAnsi="华文仿宋" w:eastAsia="仿宋_GB2312" w:cs="华文仿宋"/>
          <w:sz w:val="32"/>
          <w:szCs w:val="32"/>
        </w:rPr>
      </w:pPr>
      <w:r>
        <w:rPr>
          <w:rFonts w:hint="eastAsia" w:ascii="仿宋_GB2312" w:hAnsi="华文仿宋" w:eastAsia="仿宋_GB2312" w:cs="华文仿宋"/>
          <w:sz w:val="32"/>
          <w:szCs w:val="32"/>
        </w:rPr>
        <w:t>本部门</w:t>
      </w:r>
      <w:r>
        <w:rPr>
          <w:rFonts w:ascii="仿宋_GB2312" w:hAnsi="华文仿宋" w:eastAsia="仿宋_GB2312" w:cs="华文仿宋"/>
          <w:sz w:val="32"/>
          <w:szCs w:val="32"/>
        </w:rPr>
        <w:t>201</w:t>
      </w:r>
      <w:r>
        <w:rPr>
          <w:rFonts w:hint="eastAsia" w:ascii="仿宋_GB2312" w:hAnsi="华文仿宋" w:eastAsia="仿宋_GB2312" w:cs="华文仿宋"/>
          <w:sz w:val="32"/>
          <w:szCs w:val="32"/>
        </w:rPr>
        <w:t>8年无政府采购支出。</w:t>
      </w:r>
    </w:p>
    <w:p>
      <w:pPr>
        <w:spacing w:after="0" w:line="560" w:lineRule="exact"/>
        <w:ind w:firstLine="643" w:firstLineChars="200"/>
        <w:jc w:val="both"/>
        <w:rPr>
          <w:rFonts w:ascii="仿宋_GB2312" w:hAnsi="楷体_GB2312" w:eastAsia="仿宋_GB2312" w:cs="楷体_GB2312"/>
          <w:b/>
          <w:sz w:val="32"/>
          <w:szCs w:val="32"/>
        </w:rPr>
      </w:pPr>
      <w:r>
        <w:rPr>
          <w:rFonts w:hint="eastAsia" w:ascii="仿宋_GB2312" w:hAnsi="楷体_GB2312" w:eastAsia="仿宋_GB2312" w:cs="楷体_GB2312"/>
          <w:b/>
          <w:sz w:val="32"/>
          <w:szCs w:val="32"/>
        </w:rPr>
        <w:t>(三)2018年“三公”经费、培训费及会议费支出情况</w:t>
      </w:r>
    </w:p>
    <w:p>
      <w:pPr>
        <w:pStyle w:val="5"/>
        <w:spacing w:before="0" w:beforeAutospacing="0" w:after="0" w:afterAutospacing="0" w:line="560" w:lineRule="exact"/>
        <w:ind w:firstLine="640" w:firstLineChars="200"/>
        <w:jc w:val="both"/>
        <w:rPr>
          <w:rFonts w:ascii="仿宋_GB2312" w:hAnsi="楷体_GB2312" w:eastAsia="仿宋_GB2312" w:cs="楷体_GB2312"/>
          <w:sz w:val="32"/>
          <w:szCs w:val="32"/>
        </w:rPr>
      </w:pPr>
      <w:r>
        <w:rPr>
          <w:rFonts w:ascii="仿宋_GB2312" w:hAnsi="楷体_GB2312" w:eastAsia="仿宋_GB2312" w:cs="楷体_GB2312"/>
          <w:sz w:val="32"/>
          <w:szCs w:val="32"/>
        </w:rPr>
        <w:t>1.</w:t>
      </w:r>
      <w:r>
        <w:rPr>
          <w:rFonts w:hint="eastAsia" w:ascii="仿宋_GB2312" w:hAnsi="楷体_GB2312" w:eastAsia="仿宋_GB2312" w:cs="楷体_GB2312"/>
          <w:sz w:val="32"/>
          <w:szCs w:val="32"/>
        </w:rPr>
        <w:t>“三公”经费财政拨款支出总体情况说明</w:t>
      </w:r>
    </w:p>
    <w:p>
      <w:pPr>
        <w:spacing w:after="0"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2018年度一般公共预算财政拨款安排的“三公经费”支出0万元。</w:t>
      </w:r>
    </w:p>
    <w:p>
      <w:pPr>
        <w:pStyle w:val="5"/>
        <w:spacing w:before="0" w:beforeAutospacing="0" w:after="0" w:afterAutospacing="0" w:line="560" w:lineRule="exact"/>
        <w:ind w:firstLine="640" w:firstLineChars="200"/>
        <w:jc w:val="both"/>
        <w:rPr>
          <w:rFonts w:ascii="仿宋_GB2312" w:hAnsi="楷体_GB2312" w:eastAsia="仿宋_GB2312" w:cs="楷体_GB2312"/>
          <w:sz w:val="32"/>
          <w:szCs w:val="32"/>
        </w:rPr>
      </w:pPr>
      <w:r>
        <w:rPr>
          <w:rFonts w:hint="eastAsia" w:ascii="仿宋_GB2312" w:hAnsi="楷体_GB2312" w:eastAsia="仿宋_GB2312" w:cs="楷体_GB2312"/>
          <w:color w:val="000000"/>
          <w:sz w:val="32"/>
          <w:szCs w:val="32"/>
        </w:rPr>
        <w:t>2.</w:t>
      </w:r>
      <w:r>
        <w:rPr>
          <w:rFonts w:hint="eastAsia" w:ascii="仿宋_GB2312" w:hAnsi="楷体_GB2312" w:eastAsia="仿宋_GB2312" w:cs="楷体_GB2312"/>
          <w:sz w:val="32"/>
          <w:szCs w:val="32"/>
        </w:rPr>
        <w:t>培训费支出决算情况</w:t>
      </w:r>
    </w:p>
    <w:p>
      <w:pPr>
        <w:spacing w:after="0"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2018年度一般公共预算财政拨款安排的“培训费”支出9.50万元。上年8.475万元，较上年增加1.025万元，原因是培训增加。</w:t>
      </w:r>
    </w:p>
    <w:p>
      <w:pPr>
        <w:spacing w:after="0"/>
        <w:ind w:firstLine="640" w:firstLineChars="200"/>
        <w:jc w:val="both"/>
        <w:rPr>
          <w:rFonts w:ascii="仿宋_GB2312" w:hAnsi="仿宋" w:eastAsia="仿宋_GB2312" w:cs="仿宋"/>
          <w:sz w:val="32"/>
          <w:szCs w:val="32"/>
        </w:rPr>
      </w:pPr>
      <w:r>
        <w:rPr>
          <w:rFonts w:ascii="仿宋_GB2312" w:hAnsi="仿宋" w:eastAsia="仿宋_GB2312" w:cs="仿宋"/>
          <w:sz w:val="32"/>
          <w:szCs w:val="32"/>
        </w:rPr>
        <w:drawing>
          <wp:inline distT="0" distB="0" distL="0" distR="0">
            <wp:extent cx="4800600" cy="2038350"/>
            <wp:effectExtent l="19050" t="0" r="19050" b="0"/>
            <wp:docPr id="18"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5"/>
        <w:spacing w:before="0" w:beforeAutospacing="0" w:after="0" w:afterAutospacing="0" w:line="560" w:lineRule="exact"/>
        <w:ind w:firstLine="640" w:firstLineChars="200"/>
        <w:jc w:val="both"/>
        <w:rPr>
          <w:rFonts w:ascii="仿宋_GB2312" w:hAnsi="楷体_GB2312" w:eastAsia="仿宋_GB2312" w:cs="楷体_GB2312"/>
          <w:b/>
          <w:bCs/>
          <w:sz w:val="32"/>
          <w:szCs w:val="32"/>
        </w:rPr>
      </w:pPr>
      <w:r>
        <w:rPr>
          <w:rFonts w:hint="eastAsia" w:ascii="仿宋_GB2312" w:hAnsi="楷体_GB2312" w:eastAsia="仿宋_GB2312" w:cs="楷体_GB2312"/>
          <w:sz w:val="32"/>
          <w:szCs w:val="32"/>
        </w:rPr>
        <w:t>3.会议费支出决算情况</w:t>
      </w:r>
    </w:p>
    <w:p>
      <w:pPr>
        <w:spacing w:after="0"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2018年度一般公共预算财政拨款安排的“会议费”支出6.00万元。上下年无变化。</w:t>
      </w:r>
    </w:p>
    <w:p>
      <w:pPr>
        <w:spacing w:after="0"/>
        <w:ind w:firstLine="640" w:firstLineChars="200"/>
        <w:jc w:val="both"/>
        <w:rPr>
          <w:rFonts w:ascii="仿宋_GB2312" w:hAnsi="仿宋" w:eastAsia="仿宋_GB2312" w:cs="仿宋"/>
          <w:sz w:val="32"/>
          <w:szCs w:val="32"/>
        </w:rPr>
      </w:pPr>
      <w:r>
        <w:rPr>
          <w:rFonts w:ascii="仿宋_GB2312" w:hAnsi="仿宋" w:eastAsia="仿宋_GB2312" w:cs="仿宋"/>
          <w:sz w:val="32"/>
          <w:szCs w:val="32"/>
        </w:rPr>
        <w:drawing>
          <wp:inline distT="0" distB="0" distL="0" distR="0">
            <wp:extent cx="4876800" cy="1981200"/>
            <wp:effectExtent l="19050" t="0" r="19050" b="0"/>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5"/>
        <w:shd w:val="clear" w:color="auto" w:fill="FFFFFF"/>
        <w:spacing w:before="0" w:beforeAutospacing="0" w:after="0" w:afterAutospacing="0" w:line="560" w:lineRule="exact"/>
        <w:ind w:firstLine="640" w:firstLineChars="200"/>
        <w:jc w:val="both"/>
        <w:rPr>
          <w:rStyle w:val="9"/>
          <w:rFonts w:ascii="黑体" w:eastAsia="黑体" w:cs="黑体"/>
          <w:b w:val="0"/>
          <w:color w:val="000000"/>
          <w:sz w:val="32"/>
          <w:szCs w:val="32"/>
        </w:rPr>
      </w:pPr>
      <w:r>
        <w:rPr>
          <w:rStyle w:val="9"/>
          <w:rFonts w:hint="eastAsia" w:ascii="黑体" w:eastAsia="黑体" w:cs="黑体"/>
          <w:b w:val="0"/>
          <w:color w:val="000000"/>
          <w:sz w:val="32"/>
          <w:szCs w:val="32"/>
        </w:rPr>
        <w:t>六、</w:t>
      </w:r>
      <w:r>
        <w:rPr>
          <w:rStyle w:val="9"/>
          <w:rFonts w:ascii="黑体" w:eastAsia="黑体" w:cs="黑体"/>
          <w:b w:val="0"/>
          <w:color w:val="000000"/>
          <w:sz w:val="32"/>
          <w:szCs w:val="32"/>
        </w:rPr>
        <w:t>201</w:t>
      </w:r>
      <w:r>
        <w:rPr>
          <w:rStyle w:val="9"/>
          <w:rFonts w:hint="eastAsia" w:ascii="黑体" w:eastAsia="黑体" w:cs="黑体"/>
          <w:b w:val="0"/>
          <w:color w:val="000000"/>
          <w:sz w:val="32"/>
          <w:szCs w:val="32"/>
        </w:rPr>
        <w:t>8年度部门绩效管理情况说明</w:t>
      </w:r>
    </w:p>
    <w:p>
      <w:pPr>
        <w:spacing w:after="0" w:line="560" w:lineRule="exact"/>
        <w:ind w:firstLine="640" w:firstLineChars="200"/>
        <w:jc w:val="both"/>
        <w:rPr>
          <w:rFonts w:hint="eastAsia" w:ascii="仿宋_GB2312" w:hAnsi="华文仿宋" w:eastAsia="仿宋_GB2312" w:cs="华文仿宋"/>
          <w:sz w:val="32"/>
          <w:szCs w:val="32"/>
        </w:rPr>
      </w:pPr>
      <w:r>
        <w:rPr>
          <w:rFonts w:hint="eastAsia" w:ascii="仿宋_GB2312" w:hAnsi="华文仿宋" w:eastAsia="仿宋_GB2312" w:cs="华文仿宋"/>
          <w:sz w:val="32"/>
          <w:szCs w:val="32"/>
        </w:rPr>
        <w:t>根据预算绩效管理要求，2018年本部门对用于老干部业务费项目开展了绩效自评，，涉及一般公共预算当年拨款29.42万元，一级项目1个，占一般公共预算项目支出总额的100%，整体支出绩效评价为优，保障了老干部业务的正常开展。</w:t>
      </w:r>
    </w:p>
    <w:p>
      <w:pPr>
        <w:spacing w:after="0" w:line="560" w:lineRule="exact"/>
        <w:ind w:firstLine="643" w:firstLineChars="200"/>
        <w:jc w:val="center"/>
        <w:rPr>
          <w:rFonts w:hint="eastAsia" w:ascii="仿宋_GB2312" w:hAnsi="华文仿宋" w:eastAsia="仿宋_GB2312" w:cs="华文仿宋"/>
          <w:b/>
          <w:sz w:val="32"/>
          <w:szCs w:val="32"/>
        </w:rPr>
      </w:pPr>
      <w:r>
        <w:rPr>
          <w:rFonts w:hint="eastAsia" w:ascii="仿宋_GB2312" w:hAnsi="华文仿宋" w:eastAsia="仿宋_GB2312" w:cs="华文仿宋"/>
          <w:b/>
          <w:sz w:val="32"/>
          <w:szCs w:val="32"/>
        </w:rPr>
        <w:t>部门整体评价得分表</w:t>
      </w:r>
    </w:p>
    <w:tbl>
      <w:tblPr>
        <w:tblStyle w:val="7"/>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6"/>
        <w:gridCol w:w="3020"/>
        <w:gridCol w:w="2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6" w:type="dxa"/>
            <w:vAlign w:val="center"/>
          </w:tcPr>
          <w:p>
            <w:pPr>
              <w:spacing w:after="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项目</w:t>
            </w:r>
          </w:p>
        </w:tc>
        <w:tc>
          <w:tcPr>
            <w:tcW w:w="3020" w:type="dxa"/>
            <w:vAlign w:val="center"/>
          </w:tcPr>
          <w:p>
            <w:pPr>
              <w:spacing w:after="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标准分值</w:t>
            </w:r>
          </w:p>
        </w:tc>
        <w:tc>
          <w:tcPr>
            <w:tcW w:w="2715" w:type="dxa"/>
            <w:vAlign w:val="center"/>
          </w:tcPr>
          <w:p>
            <w:pPr>
              <w:spacing w:after="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项目得分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6" w:type="dxa"/>
            <w:vAlign w:val="center"/>
          </w:tcPr>
          <w:p>
            <w:pPr>
              <w:spacing w:after="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投入类</w:t>
            </w:r>
          </w:p>
        </w:tc>
        <w:tc>
          <w:tcPr>
            <w:tcW w:w="3020" w:type="dxa"/>
            <w:vAlign w:val="center"/>
          </w:tcPr>
          <w:p>
            <w:pPr>
              <w:spacing w:after="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15</w:t>
            </w:r>
          </w:p>
        </w:tc>
        <w:tc>
          <w:tcPr>
            <w:tcW w:w="2715" w:type="dxa"/>
            <w:vAlign w:val="center"/>
          </w:tcPr>
          <w:p>
            <w:pPr>
              <w:spacing w:after="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6" w:type="dxa"/>
            <w:vAlign w:val="center"/>
          </w:tcPr>
          <w:p>
            <w:pPr>
              <w:spacing w:after="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过程类</w:t>
            </w:r>
          </w:p>
        </w:tc>
        <w:tc>
          <w:tcPr>
            <w:tcW w:w="3020" w:type="dxa"/>
            <w:vAlign w:val="center"/>
          </w:tcPr>
          <w:p>
            <w:pPr>
              <w:spacing w:after="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34</w:t>
            </w:r>
          </w:p>
        </w:tc>
        <w:tc>
          <w:tcPr>
            <w:tcW w:w="2715" w:type="dxa"/>
            <w:vAlign w:val="center"/>
          </w:tcPr>
          <w:p>
            <w:pPr>
              <w:spacing w:after="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6" w:type="dxa"/>
            <w:vAlign w:val="center"/>
          </w:tcPr>
          <w:p>
            <w:pPr>
              <w:spacing w:after="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产出类</w:t>
            </w:r>
          </w:p>
        </w:tc>
        <w:tc>
          <w:tcPr>
            <w:tcW w:w="3020" w:type="dxa"/>
            <w:vAlign w:val="center"/>
          </w:tcPr>
          <w:p>
            <w:pPr>
              <w:spacing w:after="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31</w:t>
            </w:r>
          </w:p>
        </w:tc>
        <w:tc>
          <w:tcPr>
            <w:tcW w:w="2715" w:type="dxa"/>
            <w:vAlign w:val="center"/>
          </w:tcPr>
          <w:p>
            <w:pPr>
              <w:spacing w:after="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6" w:type="dxa"/>
            <w:vAlign w:val="center"/>
          </w:tcPr>
          <w:p>
            <w:pPr>
              <w:spacing w:after="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效果类</w:t>
            </w:r>
          </w:p>
        </w:tc>
        <w:tc>
          <w:tcPr>
            <w:tcW w:w="3020" w:type="dxa"/>
            <w:vAlign w:val="center"/>
          </w:tcPr>
          <w:p>
            <w:pPr>
              <w:spacing w:after="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20</w:t>
            </w:r>
          </w:p>
        </w:tc>
        <w:tc>
          <w:tcPr>
            <w:tcW w:w="2715" w:type="dxa"/>
            <w:vAlign w:val="center"/>
          </w:tcPr>
          <w:p>
            <w:pPr>
              <w:spacing w:after="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6" w:type="dxa"/>
            <w:vAlign w:val="center"/>
          </w:tcPr>
          <w:p>
            <w:pPr>
              <w:spacing w:after="0" w:line="560" w:lineRule="exact"/>
              <w:jc w:val="center"/>
              <w:rPr>
                <w:rFonts w:ascii="仿宋_GB2312" w:hAnsi="华文仿宋" w:eastAsia="仿宋_GB2312" w:cs="华文仿宋"/>
                <w:b/>
                <w:sz w:val="32"/>
                <w:szCs w:val="32"/>
              </w:rPr>
            </w:pPr>
            <w:r>
              <w:rPr>
                <w:rFonts w:hint="eastAsia" w:ascii="仿宋_GB2312" w:hAnsi="华文仿宋" w:eastAsia="仿宋_GB2312" w:cs="华文仿宋"/>
                <w:b/>
                <w:sz w:val="32"/>
                <w:szCs w:val="32"/>
              </w:rPr>
              <w:t>合计</w:t>
            </w:r>
          </w:p>
        </w:tc>
        <w:tc>
          <w:tcPr>
            <w:tcW w:w="3020" w:type="dxa"/>
            <w:vAlign w:val="center"/>
          </w:tcPr>
          <w:p>
            <w:pPr>
              <w:spacing w:after="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100</w:t>
            </w:r>
          </w:p>
        </w:tc>
        <w:tc>
          <w:tcPr>
            <w:tcW w:w="2715" w:type="dxa"/>
            <w:vAlign w:val="center"/>
          </w:tcPr>
          <w:p>
            <w:pPr>
              <w:spacing w:after="0" w:line="560" w:lineRule="exact"/>
              <w:jc w:val="center"/>
              <w:rPr>
                <w:rFonts w:ascii="仿宋_GB2312" w:hAnsi="华文仿宋" w:eastAsia="仿宋_GB2312" w:cs="华文仿宋"/>
                <w:sz w:val="32"/>
                <w:szCs w:val="32"/>
              </w:rPr>
            </w:pPr>
            <w:r>
              <w:rPr>
                <w:rFonts w:hint="eastAsia" w:ascii="仿宋_GB2312" w:hAnsi="华文仿宋" w:eastAsia="仿宋_GB2312" w:cs="华文仿宋"/>
                <w:sz w:val="32"/>
                <w:szCs w:val="32"/>
              </w:rPr>
              <w:t>99.5</w:t>
            </w:r>
          </w:p>
        </w:tc>
      </w:tr>
    </w:tbl>
    <w:p>
      <w:pPr>
        <w:spacing w:after="0" w:line="56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七、2018年其他重要事项情况说明</w:t>
      </w:r>
    </w:p>
    <w:p>
      <w:pPr>
        <w:pStyle w:val="5"/>
        <w:spacing w:before="0" w:beforeAutospacing="0" w:after="0" w:afterAutospacing="0" w:line="560" w:lineRule="exact"/>
        <w:ind w:firstLine="643" w:firstLineChars="200"/>
        <w:jc w:val="both"/>
        <w:rPr>
          <w:rFonts w:ascii="仿宋_GB2312" w:hAnsi="楷体_GB2312" w:eastAsia="仿宋_GB2312" w:cs="楷体_GB2312"/>
          <w:b/>
          <w:bCs/>
          <w:sz w:val="32"/>
          <w:szCs w:val="32"/>
        </w:rPr>
      </w:pPr>
      <w:r>
        <w:rPr>
          <w:rFonts w:hint="eastAsia" w:ascii="仿宋_GB2312" w:hAnsi="楷体_GB2312" w:eastAsia="仿宋_GB2312" w:cs="楷体_GB2312"/>
          <w:b/>
          <w:bCs/>
          <w:sz w:val="32"/>
          <w:szCs w:val="32"/>
        </w:rPr>
        <w:t>（一）机关运行经费支出情况</w:t>
      </w:r>
    </w:p>
    <w:p>
      <w:pPr>
        <w:spacing w:after="0"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2018年度本部门机关运行经费支出4. 67万元，用于维持机关日常运转所必须的公用支出。行政单位1户，合计 4.67 万元，占机关运行经费的100%。2018年机关运行经费支出比2017年同口径增加2.15万元，上浮了85%。增加原因是人员增加。</w:t>
      </w:r>
    </w:p>
    <w:p>
      <w:pPr>
        <w:spacing w:after="0" w:line="560" w:lineRule="exact"/>
        <w:ind w:firstLine="643" w:firstLineChars="200"/>
        <w:jc w:val="both"/>
        <w:rPr>
          <w:rFonts w:ascii="仿宋_GB2312" w:hAnsi="楷体_GB2312" w:eastAsia="仿宋_GB2312" w:cs="楷体_GB2312"/>
          <w:b/>
          <w:bCs/>
          <w:sz w:val="32"/>
          <w:szCs w:val="32"/>
        </w:rPr>
      </w:pPr>
      <w:r>
        <w:rPr>
          <w:rFonts w:hint="eastAsia" w:ascii="仿宋_GB2312" w:hAnsi="楷体_GB2312" w:eastAsia="仿宋_GB2312" w:cs="楷体_GB2312"/>
          <w:b/>
          <w:bCs/>
          <w:sz w:val="32"/>
          <w:szCs w:val="32"/>
        </w:rPr>
        <w:t>（二）国有资产占用及购置情况说明</w:t>
      </w:r>
    </w:p>
    <w:p>
      <w:pPr>
        <w:spacing w:after="0"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截止2018年12月31日，本部门共有固定资产价值为1.38万元。</w:t>
      </w:r>
    </w:p>
    <w:p>
      <w:pPr>
        <w:spacing w:after="0" w:line="56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八、专业名词解释</w:t>
      </w:r>
    </w:p>
    <w:p>
      <w:pPr>
        <w:spacing w:after="0" w:line="560" w:lineRule="exact"/>
        <w:ind w:firstLine="640" w:firstLineChars="200"/>
        <w:jc w:val="both"/>
        <w:rPr>
          <w:rFonts w:ascii="仿宋_GB2312" w:hAnsi="华文仿宋" w:eastAsia="仿宋_GB2312" w:cs="华文仿宋"/>
          <w:sz w:val="32"/>
          <w:szCs w:val="32"/>
        </w:rPr>
      </w:pPr>
      <w:r>
        <w:rPr>
          <w:rFonts w:hint="eastAsia" w:ascii="仿宋_GB2312" w:hAnsi="华文仿宋" w:eastAsia="仿宋_GB2312" w:cs="华文仿宋"/>
          <w:sz w:val="32"/>
          <w:szCs w:val="32"/>
        </w:rPr>
        <w:t>1．基本支出：指为保障机构正常运转、完成日常工作任务而发生的各项支出。</w:t>
      </w:r>
    </w:p>
    <w:p>
      <w:pPr>
        <w:spacing w:after="0" w:line="560" w:lineRule="exact"/>
        <w:ind w:firstLine="640" w:firstLineChars="200"/>
        <w:jc w:val="both"/>
        <w:rPr>
          <w:rFonts w:ascii="仿宋_GB2312" w:hAnsi="华文仿宋" w:eastAsia="仿宋_GB2312" w:cs="华文仿宋"/>
          <w:sz w:val="32"/>
          <w:szCs w:val="32"/>
        </w:rPr>
      </w:pPr>
      <w:r>
        <w:rPr>
          <w:rFonts w:hint="eastAsia" w:ascii="仿宋_GB2312" w:hAnsi="华文仿宋" w:eastAsia="仿宋_GB2312" w:cs="华文仿宋"/>
          <w:sz w:val="32"/>
          <w:szCs w:val="32"/>
        </w:rPr>
        <w:t>2．项目支出：指单位为完成特定的行政工作任务或事业发展目标所发生的各项支出。</w:t>
      </w:r>
    </w:p>
    <w:p>
      <w:pPr>
        <w:spacing w:after="0" w:line="560" w:lineRule="exact"/>
        <w:ind w:firstLine="640" w:firstLineChars="200"/>
        <w:jc w:val="both"/>
        <w:rPr>
          <w:rFonts w:ascii="仿宋_GB2312" w:hAnsi="华文仿宋" w:eastAsia="仿宋_GB2312" w:cs="华文仿宋"/>
          <w:sz w:val="32"/>
          <w:szCs w:val="32"/>
        </w:rPr>
      </w:pPr>
      <w:r>
        <w:rPr>
          <w:rFonts w:hint="eastAsia" w:ascii="仿宋_GB2312" w:hAnsi="华文仿宋" w:eastAsia="仿宋_GB2312" w:cs="华文仿宋"/>
          <w:sz w:val="32"/>
          <w:szCs w:val="32"/>
        </w:rPr>
        <w:t>3．“三公”经费：指部门使用一般公共预算财政拨款安排的因公出国（境）费、公务用车购置及运行费和公务接待费支出。</w:t>
      </w:r>
    </w:p>
    <w:p>
      <w:pPr>
        <w:spacing w:after="0" w:line="560" w:lineRule="exact"/>
        <w:ind w:firstLine="640" w:firstLineChars="200"/>
        <w:jc w:val="both"/>
        <w:rPr>
          <w:rFonts w:ascii="仿宋_GB2312" w:hAnsi="华文仿宋" w:eastAsia="仿宋_GB2312" w:cs="华文仿宋"/>
          <w:sz w:val="32"/>
          <w:szCs w:val="32"/>
        </w:rPr>
      </w:pPr>
      <w:r>
        <w:rPr>
          <w:rFonts w:hint="eastAsia" w:ascii="仿宋_GB2312" w:hAnsi="华文仿宋" w:eastAsia="仿宋_GB2312" w:cs="华文仿宋"/>
          <w:sz w:val="32"/>
          <w:szCs w:val="32"/>
        </w:rPr>
        <w:t>4．机关运行经费：指行政单位和参照公务员法管理的事业单位使用一般公共预算财政拨款安排的日常公用经费支出。</w:t>
      </w:r>
    </w:p>
    <w:p>
      <w:pPr>
        <w:spacing w:after="0" w:line="560" w:lineRule="exact"/>
        <w:ind w:right="189" w:rightChars="86" w:firstLine="640" w:firstLineChars="200"/>
        <w:jc w:val="both"/>
        <w:rPr>
          <w:rFonts w:ascii="仿宋_GB2312" w:hAnsi="华文仿宋" w:eastAsia="仿宋_GB2312" w:cs="华文仿宋"/>
          <w:sz w:val="32"/>
          <w:szCs w:val="32"/>
        </w:rPr>
      </w:pPr>
      <w:r>
        <w:rPr>
          <w:rFonts w:hint="eastAsia" w:ascii="仿宋_GB2312" w:hAnsi="华文仿宋" w:eastAsia="仿宋_GB2312" w:cs="华文仿宋"/>
          <w:sz w:val="32"/>
          <w:szCs w:val="32"/>
        </w:rPr>
        <w:t>……</w:t>
      </w:r>
      <w:r>
        <w:rPr>
          <w:rFonts w:hint="eastAsia" w:ascii="仿宋_GB2312" w:hAnsi="华文仿宋" w:eastAsia="仿宋_GB2312" w:cs="华文仿宋"/>
          <w:sz w:val="32"/>
          <w:szCs w:val="32"/>
        </w:rPr>
        <w:tab/>
      </w:r>
    </w:p>
    <w:p>
      <w:pPr>
        <w:spacing w:after="0" w:line="560" w:lineRule="exact"/>
        <w:ind w:firstLine="640" w:firstLineChars="200"/>
        <w:jc w:val="both"/>
        <w:rPr>
          <w:rFonts w:ascii="黑体" w:eastAsia="黑体"/>
          <w:bCs/>
          <w:sz w:val="32"/>
          <w:szCs w:val="32"/>
        </w:rPr>
      </w:pPr>
      <w:r>
        <w:rPr>
          <w:rFonts w:hint="eastAsia" w:ascii="黑体" w:eastAsia="黑体"/>
          <w:bCs/>
          <w:sz w:val="32"/>
          <w:szCs w:val="32"/>
        </w:rPr>
        <w:t>九、2018年部门决算公开报表</w:t>
      </w:r>
    </w:p>
    <w:p>
      <w:pPr>
        <w:spacing w:after="0"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1.批复01表-部门收支总体情况表</w:t>
      </w:r>
    </w:p>
    <w:p>
      <w:pPr>
        <w:spacing w:after="0"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2.批复02表-部门收入总体情况表</w:t>
      </w:r>
    </w:p>
    <w:p>
      <w:pPr>
        <w:spacing w:after="0" w:line="560" w:lineRule="exact"/>
        <w:ind w:firstLine="640" w:firstLineChars="200"/>
        <w:jc w:val="both"/>
        <w:rPr>
          <w:rFonts w:ascii="仿宋_GB2312" w:hAnsi="仿宋" w:eastAsia="仿宋_GB2312" w:cs="仿宋"/>
          <w:sz w:val="32"/>
          <w:szCs w:val="32"/>
        </w:rPr>
      </w:pPr>
      <w:r>
        <w:rPr>
          <w:rFonts w:hint="eastAsia" w:ascii="仿宋_GB2312" w:hAnsi="仿宋" w:eastAsia="仿宋_GB2312" w:cs="仿宋"/>
          <w:sz w:val="32"/>
          <w:szCs w:val="32"/>
        </w:rPr>
        <w:t>3.批复03表-部门支出总体情况表</w:t>
      </w:r>
    </w:p>
    <w:p>
      <w:pPr>
        <w:spacing w:after="0" w:line="560" w:lineRule="exact"/>
        <w:ind w:firstLine="640" w:firstLineChars="200"/>
        <w:jc w:val="both"/>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4.批复04表-财政拨款收支总体情况表</w:t>
      </w:r>
    </w:p>
    <w:p>
      <w:pPr>
        <w:spacing w:after="0" w:line="560" w:lineRule="exact"/>
        <w:ind w:firstLine="640" w:firstLineChars="200"/>
        <w:jc w:val="both"/>
        <w:rPr>
          <w:rFonts w:ascii="仿宋_GB2312" w:hAnsi="仿宋_GB2312" w:eastAsia="仿宋_GB2312" w:cs="仿宋_GB2312"/>
          <w:bCs/>
          <w:sz w:val="32"/>
          <w:szCs w:val="32"/>
        </w:rPr>
      </w:pPr>
      <w:r>
        <w:rPr>
          <w:rFonts w:hint="eastAsia" w:ascii="仿宋_GB2312" w:hAnsi="仿宋_GB2312" w:eastAsia="仿宋_GB2312" w:cs="仿宋_GB2312"/>
          <w:bCs/>
          <w:sz w:val="32"/>
          <w:szCs w:val="32"/>
        </w:rPr>
        <w:t>5.批复05表-一般公共预算支出情况表（按功能分类科目）</w:t>
      </w:r>
    </w:p>
    <w:p>
      <w:pPr>
        <w:spacing w:after="0" w:line="560" w:lineRule="exact"/>
        <w:ind w:firstLine="640" w:firstLineChars="200"/>
        <w:jc w:val="both"/>
        <w:rPr>
          <w:rFonts w:ascii="仿宋_GB2312" w:hAnsi="仿宋_GB2312" w:eastAsia="仿宋_GB2312" w:cs="仿宋_GB2312"/>
          <w:bCs/>
          <w:sz w:val="32"/>
          <w:szCs w:val="32"/>
        </w:rPr>
      </w:pPr>
      <w:r>
        <w:rPr>
          <w:rFonts w:hint="eastAsia" w:ascii="仿宋_GB2312" w:hAnsi="仿宋_GB2312" w:eastAsia="仿宋_GB2312" w:cs="仿宋_GB2312"/>
          <w:bCs/>
          <w:sz w:val="32"/>
          <w:szCs w:val="32"/>
        </w:rPr>
        <w:t>6.批复06表-一般公共预算基本支出情况表（按经济分类科目）</w:t>
      </w:r>
    </w:p>
    <w:p>
      <w:pPr>
        <w:spacing w:after="0" w:line="560" w:lineRule="exact"/>
        <w:ind w:firstLine="640" w:firstLineChars="200"/>
        <w:jc w:val="both"/>
        <w:rPr>
          <w:rFonts w:ascii="仿宋_GB2312" w:hAnsi="仿宋_GB2312" w:eastAsia="仿宋_GB2312" w:cs="仿宋_GB2312"/>
          <w:bCs/>
          <w:sz w:val="32"/>
          <w:szCs w:val="32"/>
        </w:rPr>
      </w:pPr>
      <w:r>
        <w:rPr>
          <w:rFonts w:hint="eastAsia" w:ascii="仿宋_GB2312" w:hAnsi="仿宋_GB2312" w:eastAsia="仿宋_GB2312" w:cs="仿宋_GB2312"/>
          <w:bCs/>
          <w:sz w:val="32"/>
          <w:szCs w:val="32"/>
        </w:rPr>
        <w:t>7.批复07表-一般公共预算“三公”经费及会议费、培训费支出情况表</w:t>
      </w:r>
    </w:p>
    <w:p>
      <w:pPr>
        <w:spacing w:after="0" w:line="560" w:lineRule="exact"/>
        <w:ind w:firstLine="640" w:firstLineChars="200"/>
        <w:jc w:val="both"/>
        <w:rPr>
          <w:rFonts w:ascii="仿宋_GB2312" w:hAnsi="仿宋_GB2312" w:eastAsia="仿宋_GB2312" w:cs="仿宋_GB2312"/>
          <w:bCs/>
          <w:sz w:val="32"/>
          <w:szCs w:val="32"/>
        </w:rPr>
      </w:pPr>
      <w:r>
        <w:rPr>
          <w:rFonts w:hint="eastAsia" w:ascii="仿宋_GB2312" w:hAnsi="仿宋_GB2312" w:eastAsia="仿宋_GB2312" w:cs="仿宋_GB2312"/>
          <w:bCs/>
          <w:sz w:val="32"/>
          <w:szCs w:val="32"/>
        </w:rPr>
        <w:t>8.批复08表-政府性基金预算收支情况表</w:t>
      </w:r>
    </w:p>
    <w:p>
      <w:pPr>
        <w:spacing w:after="0" w:line="560" w:lineRule="exact"/>
        <w:ind w:firstLine="640" w:firstLineChars="200"/>
        <w:jc w:val="both"/>
        <w:rPr>
          <w:rFonts w:ascii="仿宋_GB2312" w:hAnsi="仿宋_GB2312" w:eastAsia="仿宋_GB2312" w:cs="仿宋_GB2312"/>
          <w:bCs/>
          <w:sz w:val="32"/>
          <w:szCs w:val="32"/>
        </w:rPr>
      </w:pPr>
      <w:r>
        <w:rPr>
          <w:rFonts w:hint="eastAsia" w:ascii="仿宋_GB2312" w:hAnsi="仿宋_GB2312" w:eastAsia="仿宋_GB2312" w:cs="仿宋_GB2312"/>
          <w:bCs/>
          <w:sz w:val="32"/>
          <w:szCs w:val="32"/>
        </w:rPr>
        <w:t>9.批复09表-政府采购情况表</w:t>
      </w:r>
    </w:p>
    <w:p>
      <w:pPr>
        <w:spacing w:after="0" w:line="560" w:lineRule="exact"/>
        <w:ind w:firstLine="640" w:firstLineChars="200"/>
        <w:jc w:val="both"/>
        <w:rPr>
          <w:rFonts w:ascii="仿宋_GB2312" w:hAnsi="仿宋_GB2312" w:eastAsia="仿宋_GB2312" w:cs="仿宋_GB2312"/>
          <w:bCs/>
          <w:sz w:val="32"/>
          <w:szCs w:val="32"/>
        </w:rPr>
      </w:pPr>
    </w:p>
    <w:p>
      <w:pPr>
        <w:spacing w:line="576" w:lineRule="exact"/>
        <w:ind w:right="330" w:rightChars="150"/>
        <w:rPr>
          <w:rFonts w:ascii="仿宋_GB2312" w:eastAsia="仿宋_GB2312"/>
        </w:rPr>
      </w:pPr>
    </w:p>
    <w:p>
      <w:pPr>
        <w:spacing w:line="220" w:lineRule="atLeast"/>
      </w:pPr>
    </w:p>
    <w:sectPr>
      <w:footerReference r:id="rId5" w:type="default"/>
      <w:footerReference r:id="rId6" w:type="even"/>
      <w:pgSz w:w="11906" w:h="16838"/>
      <w:pgMar w:top="1701" w:right="1531" w:bottom="1134" w:left="1531" w:header="851" w:footer="567" w:gutter="0"/>
      <w:cols w:space="720" w:num="1"/>
      <w:docGrid w:type="lines" w:linePitch="579"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altName w:val="方正舒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2368" w:wrap="around" w:vAnchor="text" w:hAnchor="margin" w:xAlign="outside" w:y="2"/>
      <w:rPr>
        <w:rStyle w:val="10"/>
        <w:rFonts w:ascii="宋体" w:hAnsi="宋体"/>
        <w:sz w:val="28"/>
        <w:szCs w:val="28"/>
      </w:rPr>
    </w:pPr>
  </w:p>
  <w:p>
    <w:pPr>
      <w:pStyle w:val="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DA7668"/>
    <w:multiLevelType w:val="singleLevel"/>
    <w:tmpl w:val="F0DA766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OTM3NmI3ZTE1ZTYyNTljN2NjOTVmNGFiZmYyMDkyMWEifQ=="/>
  </w:docVars>
  <w:rsids>
    <w:rsidRoot w:val="00D31D50"/>
    <w:rsid w:val="00030D54"/>
    <w:rsid w:val="0006174A"/>
    <w:rsid w:val="0012209B"/>
    <w:rsid w:val="001333B2"/>
    <w:rsid w:val="00220900"/>
    <w:rsid w:val="00236394"/>
    <w:rsid w:val="00251D27"/>
    <w:rsid w:val="00290928"/>
    <w:rsid w:val="00323B43"/>
    <w:rsid w:val="003D37D8"/>
    <w:rsid w:val="00426133"/>
    <w:rsid w:val="004358AB"/>
    <w:rsid w:val="004A023A"/>
    <w:rsid w:val="00583A14"/>
    <w:rsid w:val="006F26BC"/>
    <w:rsid w:val="007F63C1"/>
    <w:rsid w:val="008B13F5"/>
    <w:rsid w:val="008B7726"/>
    <w:rsid w:val="00BF6172"/>
    <w:rsid w:val="00D31D50"/>
    <w:rsid w:val="00D41ED9"/>
    <w:rsid w:val="00D873A1"/>
    <w:rsid w:val="00E17B3C"/>
    <w:rsid w:val="00EB6EF4"/>
    <w:rsid w:val="086E6E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uiPriority w:val="99"/>
    <w:pPr>
      <w:spacing w:after="0"/>
    </w:pPr>
    <w:rPr>
      <w:sz w:val="18"/>
      <w:szCs w:val="18"/>
    </w:rPr>
  </w:style>
  <w:style w:type="paragraph" w:styleId="3">
    <w:name w:val="footer"/>
    <w:basedOn w:val="1"/>
    <w:link w:val="12"/>
    <w:unhideWhenUsed/>
    <w:uiPriority w:val="0"/>
    <w:pPr>
      <w:tabs>
        <w:tab w:val="center" w:pos="4153"/>
        <w:tab w:val="right" w:pos="8306"/>
      </w:tabs>
    </w:pPr>
    <w:rPr>
      <w:sz w:val="18"/>
      <w:szCs w:val="18"/>
    </w:rPr>
  </w:style>
  <w:style w:type="paragraph" w:styleId="4">
    <w:name w:val="header"/>
    <w:basedOn w:val="1"/>
    <w:link w:val="11"/>
    <w:semiHidden/>
    <w:unhideWhenUsed/>
    <w:uiPriority w:val="99"/>
    <w:pPr>
      <w:pBdr>
        <w:bottom w:val="single" w:color="auto" w:sz="6" w:space="1"/>
      </w:pBdr>
      <w:tabs>
        <w:tab w:val="center" w:pos="4153"/>
        <w:tab w:val="right" w:pos="8306"/>
      </w:tabs>
      <w:jc w:val="center"/>
    </w:pPr>
    <w:rPr>
      <w:sz w:val="18"/>
      <w:szCs w:val="18"/>
    </w:rPr>
  </w:style>
  <w:style w:type="paragraph" w:styleId="5">
    <w:name w:val="Normal (Web)"/>
    <w:basedOn w:val="1"/>
    <w:qFormat/>
    <w:uiPriority w:val="99"/>
    <w:pPr>
      <w:adjustRightInd/>
      <w:snapToGrid/>
      <w:spacing w:before="100" w:beforeAutospacing="1" w:after="100" w:afterAutospacing="1"/>
    </w:pPr>
    <w:rPr>
      <w:rFonts w:ascii="宋体" w:hAnsi="宋体" w:eastAsia="宋体" w:cs="宋体"/>
      <w:sz w:val="24"/>
      <w:szCs w:val="24"/>
    </w:rPr>
  </w:style>
  <w:style w:type="table" w:styleId="7">
    <w:name w:val="Table Grid"/>
    <w:basedOn w:val="6"/>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qFormat/>
    <w:uiPriority w:val="22"/>
    <w:rPr>
      <w:b/>
      <w:bCs/>
    </w:rPr>
  </w:style>
  <w:style w:type="character" w:styleId="10">
    <w:name w:val="page number"/>
    <w:basedOn w:val="8"/>
    <w:uiPriority w:val="0"/>
  </w:style>
  <w:style w:type="character" w:customStyle="1" w:styleId="11">
    <w:name w:val="页眉 Char"/>
    <w:basedOn w:val="8"/>
    <w:link w:val="4"/>
    <w:semiHidden/>
    <w:uiPriority w:val="99"/>
    <w:rPr>
      <w:rFonts w:ascii="Tahoma" w:hAnsi="Tahoma"/>
      <w:sz w:val="18"/>
      <w:szCs w:val="18"/>
    </w:rPr>
  </w:style>
  <w:style w:type="character" w:customStyle="1" w:styleId="12">
    <w:name w:val="页脚 Char"/>
    <w:basedOn w:val="8"/>
    <w:link w:val="3"/>
    <w:semiHidden/>
    <w:uiPriority w:val="99"/>
    <w:rPr>
      <w:rFonts w:ascii="Tahoma" w:hAnsi="Tahoma"/>
      <w:sz w:val="18"/>
      <w:szCs w:val="18"/>
    </w:rPr>
  </w:style>
  <w:style w:type="character" w:customStyle="1" w:styleId="13">
    <w:name w:val="批注框文本 Char"/>
    <w:basedOn w:val="8"/>
    <w:link w:val="2"/>
    <w:semiHidden/>
    <w:uiPriority w:val="99"/>
    <w:rPr>
      <w:rFonts w:ascii="Tahoma" w:hAnsi="Tahoma"/>
      <w:sz w:val="18"/>
      <w:szCs w:val="18"/>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5.bin"/></Relationships>
</file>

<file path=word/charts/_rels/chart2.xml.rels><?xml version="1.0" encoding="UTF-8" standalone="yes"?>
<Relationships xmlns="http://schemas.openxmlformats.org/package/2006/relationships"><Relationship Id="rId1" Type="http://schemas.openxmlformats.org/officeDocument/2006/relationships/oleObject" Target="../embeddings/oleObject4.bin"/></Relationships>
</file>

<file path=word/charts/_rels/chart3.xml.rels><?xml version="1.0" encoding="UTF-8" standalone="yes"?>
<Relationships xmlns="http://schemas.openxmlformats.org/package/2006/relationships"><Relationship Id="rId1" Type="http://schemas.openxmlformats.org/officeDocument/2006/relationships/oleObject" Target="../embeddings/oleObject2.bin"/></Relationships>
</file>

<file path=word/charts/_rels/chart4.xml.rels><?xml version="1.0" encoding="UTF-8" standalone="yes"?>
<Relationships xmlns="http://schemas.openxmlformats.org/package/2006/relationships"><Relationship Id="rId1" Type="http://schemas.openxmlformats.org/officeDocument/2006/relationships/oleObject" Target="../embeddings/oleObject3.bin"/></Relationships>
</file>

<file path=word/charts/_rels/chart5.xml.rels><?xml version="1.0" encoding="UTF-8" standalone="yes"?>
<Relationships xmlns="http://schemas.openxmlformats.org/package/2006/relationships"><Relationship Id="rId1" Type="http://schemas.openxmlformats.org/officeDocument/2006/relationships/oleObject" Target="../embeddings/oleObject6.bin"/></Relationships>
</file>

<file path=word/charts/_rels/chart6.xml.rels><?xml version="1.0" encoding="UTF-8" standalone="yes"?>
<Relationships xmlns="http://schemas.openxmlformats.org/package/2006/relationships"><Relationship Id="rId1" Type="http://schemas.openxmlformats.org/officeDocument/2006/relationships/oleObject" Target="../embeddings/oleObject1.bin"/></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收入</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2"/>
                <c:pt idx="0">
                  <c:v>2017年</c:v>
                </c:pt>
                <c:pt idx="1">
                  <c:v>2018年</c:v>
                </c:pt>
              </c:strCache>
            </c:strRef>
          </c:cat>
          <c:val>
            <c:numRef>
              <c:f>Sheet1!$B$2:$B$5</c:f>
              <c:numCache>
                <c:formatCode>General</c:formatCode>
                <c:ptCount val="4"/>
                <c:pt idx="0">
                  <c:v>78.8</c:v>
                </c:pt>
                <c:pt idx="1">
                  <c:v>90.51</c:v>
                </c:pt>
              </c:numCache>
            </c:numRef>
          </c:val>
        </c:ser>
        <c:dLbls>
          <c:showLegendKey val="0"/>
          <c:showVal val="1"/>
          <c:showCatName val="0"/>
          <c:showSerName val="0"/>
          <c:showPercent val="0"/>
          <c:showBubbleSize val="0"/>
        </c:dLbls>
        <c:gapWidth val="150"/>
        <c:axId val="192130048"/>
        <c:axId val="192205568"/>
      </c:barChart>
      <c:catAx>
        <c:axId val="192130048"/>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2205568"/>
        <c:crosses val="autoZero"/>
        <c:auto val="1"/>
        <c:lblAlgn val="ctr"/>
        <c:lblOffset val="100"/>
        <c:noMultiLvlLbl val="0"/>
      </c:catAx>
      <c:valAx>
        <c:axId val="192205568"/>
        <c:scaling>
          <c:orientation val="minMax"/>
        </c:scaling>
        <c:delete val="0"/>
        <c:axPos val="l"/>
        <c:majorGridlines>
          <c:spPr>
            <a:ln w="9525" cap="flat" cmpd="sng" algn="ctr">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olid"/>
              <a:round/>
            </a:ln>
          </c:spPr>
        </c:majorGridlines>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2130048"/>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2018年</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2"/>
                <c:pt idx="0">
                  <c:v>实际收入</c:v>
                </c:pt>
                <c:pt idx="1">
                  <c:v>预算收入</c:v>
                </c:pt>
              </c:strCache>
            </c:strRef>
          </c:cat>
          <c:val>
            <c:numRef>
              <c:f>Sheet1!$B$2:$B$5</c:f>
              <c:numCache>
                <c:formatCode>General</c:formatCode>
                <c:ptCount val="4"/>
                <c:pt idx="0">
                  <c:v>90.51</c:v>
                </c:pt>
                <c:pt idx="1">
                  <c:v>63.4</c:v>
                </c:pt>
              </c:numCache>
            </c:numRef>
          </c:val>
        </c:ser>
        <c:dLbls>
          <c:showLegendKey val="0"/>
          <c:showVal val="1"/>
          <c:showCatName val="0"/>
          <c:showSerName val="0"/>
          <c:showPercent val="0"/>
          <c:showBubbleSize val="0"/>
        </c:dLbls>
        <c:gapWidth val="150"/>
        <c:axId val="225837440"/>
        <c:axId val="225838976"/>
      </c:barChart>
      <c:catAx>
        <c:axId val="22583744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25838976"/>
        <c:crosses val="autoZero"/>
        <c:auto val="1"/>
        <c:lblAlgn val="ctr"/>
        <c:lblOffset val="100"/>
        <c:noMultiLvlLbl val="0"/>
      </c:catAx>
      <c:valAx>
        <c:axId val="22583897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25837440"/>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支出</a:t>
            </a:r>
            <a:endParaRPr lang="zh-CN" altLang="en-US"/>
          </a:p>
        </c:rich>
      </c:tx>
      <c:layout/>
      <c:overlay val="0"/>
    </c:title>
    <c:autoTitleDeleted val="0"/>
    <c:plotArea>
      <c:layout/>
      <c:barChart>
        <c:barDir val="col"/>
        <c:grouping val="clustered"/>
        <c:varyColors val="0"/>
        <c:ser>
          <c:idx val="0"/>
          <c:order val="0"/>
          <c:tx>
            <c:strRef>
              <c:f>Sheet1!$B$1</c:f>
              <c:strCache>
                <c:ptCount val="1"/>
                <c:pt idx="0">
                  <c:v>支出</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2"/>
                <c:pt idx="0">
                  <c:v>2017年</c:v>
                </c:pt>
                <c:pt idx="1">
                  <c:v>2018年</c:v>
                </c:pt>
              </c:strCache>
            </c:strRef>
          </c:cat>
          <c:val>
            <c:numRef>
              <c:f>Sheet1!$B$2:$B$5</c:f>
              <c:numCache>
                <c:formatCode>General</c:formatCode>
                <c:ptCount val="4"/>
                <c:pt idx="0">
                  <c:v>78.8</c:v>
                </c:pt>
                <c:pt idx="1">
                  <c:v>90.51</c:v>
                </c:pt>
              </c:numCache>
            </c:numRef>
          </c:val>
        </c:ser>
        <c:dLbls>
          <c:showLegendKey val="0"/>
          <c:showVal val="1"/>
          <c:showCatName val="0"/>
          <c:showSerName val="0"/>
          <c:showPercent val="0"/>
          <c:showBubbleSize val="0"/>
        </c:dLbls>
        <c:gapWidth val="150"/>
        <c:axId val="226470912"/>
        <c:axId val="227554048"/>
      </c:barChart>
      <c:catAx>
        <c:axId val="226470912"/>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27554048"/>
        <c:crosses val="autoZero"/>
        <c:auto val="1"/>
        <c:lblAlgn val="ctr"/>
        <c:lblOffset val="100"/>
        <c:noMultiLvlLbl val="0"/>
      </c:catAx>
      <c:valAx>
        <c:axId val="227554048"/>
        <c:scaling>
          <c:orientation val="minMax"/>
        </c:scaling>
        <c:delete val="0"/>
        <c:axPos val="l"/>
        <c:majorGridlines>
          <c:spPr>
            <a:ln w="9525" cap="flat" cmpd="sng" algn="ctr">
              <a:gradFill>
                <a:gsLst>
                  <a:gs pos="0">
                    <a:schemeClr val="accent1">
                      <a:tint val="66000"/>
                      <a:satMod val="160000"/>
                    </a:schemeClr>
                  </a:gs>
                  <a:gs pos="50000">
                    <a:schemeClr val="accent1">
                      <a:tint val="44500"/>
                      <a:satMod val="160000"/>
                    </a:schemeClr>
                  </a:gs>
                  <a:gs pos="100000">
                    <a:schemeClr val="accent1">
                      <a:tint val="23500"/>
                      <a:satMod val="160000"/>
                    </a:schemeClr>
                  </a:gs>
                </a:gsLst>
                <a:lin ang="5400000" scaled="0"/>
              </a:gradFill>
              <a:prstDash val="solid"/>
              <a:round/>
            </a:ln>
          </c:spPr>
        </c:majorGridlines>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2647091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2018年</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2"/>
                <c:pt idx="0">
                  <c:v>实际支出</c:v>
                </c:pt>
                <c:pt idx="1">
                  <c:v>预算支出</c:v>
                </c:pt>
              </c:strCache>
            </c:strRef>
          </c:cat>
          <c:val>
            <c:numRef>
              <c:f>Sheet1!$B$2:$B$5</c:f>
              <c:numCache>
                <c:formatCode>General</c:formatCode>
                <c:ptCount val="4"/>
                <c:pt idx="0">
                  <c:v>90.51</c:v>
                </c:pt>
                <c:pt idx="1">
                  <c:v>63.4</c:v>
                </c:pt>
              </c:numCache>
            </c:numRef>
          </c:val>
        </c:ser>
        <c:dLbls>
          <c:showLegendKey val="0"/>
          <c:showVal val="1"/>
          <c:showCatName val="0"/>
          <c:showSerName val="0"/>
          <c:showPercent val="0"/>
          <c:showBubbleSize val="0"/>
        </c:dLbls>
        <c:gapWidth val="150"/>
        <c:axId val="195560192"/>
        <c:axId val="195561728"/>
      </c:barChart>
      <c:catAx>
        <c:axId val="19556019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5561728"/>
        <c:crosses val="autoZero"/>
        <c:auto val="1"/>
        <c:lblAlgn val="ctr"/>
        <c:lblOffset val="100"/>
        <c:noMultiLvlLbl val="0"/>
      </c:catAx>
      <c:valAx>
        <c:axId val="19556172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556019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培训费</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2017年</c:v>
                </c:pt>
                <c:pt idx="1">
                  <c:v>2018年</c:v>
                </c:pt>
              </c:strCache>
            </c:strRef>
          </c:cat>
          <c:val>
            <c:numRef>
              <c:f>Sheet1!$B$2:$B$3</c:f>
              <c:numCache>
                <c:formatCode>General</c:formatCode>
                <c:ptCount val="2"/>
                <c:pt idx="0">
                  <c:v>8.47500000000001</c:v>
                </c:pt>
                <c:pt idx="1">
                  <c:v>9.5</c:v>
                </c:pt>
              </c:numCache>
            </c:numRef>
          </c:val>
        </c:ser>
        <c:dLbls>
          <c:showLegendKey val="0"/>
          <c:showVal val="1"/>
          <c:showCatName val="0"/>
          <c:showSerName val="0"/>
          <c:showPercent val="0"/>
          <c:showBubbleSize val="0"/>
        </c:dLbls>
        <c:gapWidth val="150"/>
        <c:axId val="196311296"/>
        <c:axId val="196313088"/>
      </c:barChart>
      <c:catAx>
        <c:axId val="19631129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6313088"/>
        <c:crosses val="autoZero"/>
        <c:auto val="1"/>
        <c:lblAlgn val="ctr"/>
        <c:lblOffset val="100"/>
        <c:noMultiLvlLbl val="0"/>
      </c:catAx>
      <c:valAx>
        <c:axId val="19631308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631129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会议费</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2017年</c:v>
                </c:pt>
                <c:pt idx="1">
                  <c:v>2018年</c:v>
                </c:pt>
              </c:strCache>
            </c:strRef>
          </c:cat>
          <c:val>
            <c:numRef>
              <c:f>Sheet1!$B$2:$B$3</c:f>
              <c:numCache>
                <c:formatCode>General</c:formatCode>
                <c:ptCount val="2"/>
                <c:pt idx="0">
                  <c:v>6</c:v>
                </c:pt>
                <c:pt idx="1">
                  <c:v>6</c:v>
                </c:pt>
              </c:numCache>
            </c:numRef>
          </c:val>
        </c:ser>
        <c:dLbls>
          <c:showLegendKey val="0"/>
          <c:showVal val="1"/>
          <c:showCatName val="0"/>
          <c:showSerName val="0"/>
          <c:showPercent val="0"/>
          <c:showBubbleSize val="0"/>
        </c:dLbls>
        <c:gapWidth val="150"/>
        <c:axId val="196325376"/>
        <c:axId val="196326912"/>
      </c:barChart>
      <c:catAx>
        <c:axId val="19632537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6326912"/>
        <c:crosses val="autoZero"/>
        <c:auto val="1"/>
        <c:lblAlgn val="ctr"/>
        <c:lblOffset val="100"/>
        <c:noMultiLvlLbl val="0"/>
      </c:catAx>
      <c:valAx>
        <c:axId val="19632691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632537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551</Words>
  <Characters>3143</Characters>
  <Lines>26</Lines>
  <Paragraphs>7</Paragraphs>
  <TotalTime>58</TotalTime>
  <ScaleCrop>false</ScaleCrop>
  <LinksUpToDate>false</LinksUpToDate>
  <CharactersWithSpaces>3687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dyt</dc:creator>
  <cp:lastModifiedBy>Otomi</cp:lastModifiedBy>
  <dcterms:modified xsi:type="dcterms:W3CDTF">2023-08-01T09:10:06Z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9B646A1D2A054D379E7F383B769C595C_12</vt:lpwstr>
  </property>
</Properties>
</file>