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ind w:firstLine="301" w:firstLineChars="100"/>
        <w:jc w:val="left"/>
        <w:rPr>
          <w:rFonts w:ascii="宋体" w:hAnsi="宋体" w:cs="宋体"/>
          <w:sz w:val="30"/>
          <w:szCs w:val="30"/>
        </w:rPr>
      </w:pPr>
      <w:r>
        <w:rPr>
          <w:rFonts w:hint="eastAsia" w:ascii="宋体" w:hAnsi="宋体" w:cs="宋体"/>
          <w:b/>
          <w:sz w:val="30"/>
          <w:szCs w:val="30"/>
        </w:rPr>
        <w:t>项目编号：SXSJHT2020-304</w:t>
      </w:r>
    </w:p>
    <w:p>
      <w:pPr>
        <w:spacing w:line="360" w:lineRule="auto"/>
        <w:rPr>
          <w:rFonts w:ascii="宋体" w:hAnsi="宋体" w:cs="宋体"/>
          <w:sz w:val="52"/>
          <w:szCs w:val="52"/>
        </w:rPr>
      </w:pPr>
    </w:p>
    <w:p>
      <w:pPr>
        <w:pStyle w:val="3"/>
        <w:spacing w:line="360" w:lineRule="auto"/>
        <w:rPr>
          <w:rFonts w:ascii="宋体" w:hAnsi="宋体" w:cs="宋体"/>
        </w:rPr>
      </w:pPr>
    </w:p>
    <w:p>
      <w:pPr>
        <w:pStyle w:val="3"/>
        <w:spacing w:line="360" w:lineRule="auto"/>
        <w:jc w:val="center"/>
        <w:rPr>
          <w:rFonts w:ascii="宋体" w:hAnsi="宋体" w:cs="宋体"/>
          <w:b/>
          <w:bCs/>
        </w:rPr>
      </w:pPr>
      <w:r>
        <w:rPr>
          <w:rFonts w:hint="eastAsia" w:ascii="宋体" w:hAnsi="宋体" w:cs="宋体"/>
          <w:b/>
          <w:bCs/>
          <w:sz w:val="48"/>
          <w:szCs w:val="48"/>
        </w:rPr>
        <w:t>西安市阎良区西飞第一中学智慧校园综合管理平台建设项目</w:t>
      </w:r>
    </w:p>
    <w:p>
      <w:pPr>
        <w:pStyle w:val="3"/>
        <w:spacing w:line="360" w:lineRule="auto"/>
        <w:rPr>
          <w:rFonts w:ascii="宋体" w:hAnsi="宋体" w:cs="宋体"/>
        </w:rPr>
      </w:pPr>
    </w:p>
    <w:p>
      <w:pPr>
        <w:spacing w:line="360" w:lineRule="auto"/>
        <w:jc w:val="center"/>
        <w:rPr>
          <w:rFonts w:ascii="宋体" w:hAnsi="宋体" w:cs="宋体"/>
          <w:kern w:val="0"/>
          <w:sz w:val="44"/>
          <w:szCs w:val="44"/>
        </w:rPr>
      </w:pPr>
      <w:r>
        <w:rPr>
          <w:rFonts w:hint="eastAsia" w:ascii="宋体" w:hAnsi="宋体" w:cs="宋体"/>
          <w:spacing w:val="20"/>
          <w:kern w:val="0"/>
          <w:sz w:val="72"/>
          <w:szCs w:val="72"/>
        </w:rPr>
        <w:t>竞争性磋商文件</w:t>
      </w:r>
    </w:p>
    <w:p>
      <w:pPr>
        <w:spacing w:line="360" w:lineRule="auto"/>
        <w:rPr>
          <w:rFonts w:ascii="宋体" w:hAnsi="宋体" w:cs="宋体"/>
        </w:rPr>
      </w:pPr>
    </w:p>
    <w:p>
      <w:pPr>
        <w:spacing w:line="360" w:lineRule="auto"/>
        <w:jc w:val="center"/>
        <w:rPr>
          <w:rFonts w:ascii="宋体" w:hAnsi="宋体" w:cs="宋体"/>
          <w:sz w:val="32"/>
        </w:rPr>
      </w:pPr>
      <w:r>
        <w:rPr>
          <w:rFonts w:hint="eastAsia" w:ascii="宋体" w:hAnsi="宋体" w:cs="宋体"/>
          <w:sz w:val="32"/>
        </w:rPr>
        <w:drawing>
          <wp:inline distT="0" distB="0" distL="114300" distR="114300">
            <wp:extent cx="1809115" cy="1797685"/>
            <wp:effectExtent l="0" t="0" r="0" b="12700"/>
            <wp:docPr id="7" name="图片 1" descr="微信图片_201907091703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1" descr="微信图片_20190709170310"/>
                    <pic:cNvPicPr>
                      <a:picLocks noChangeAspect="1"/>
                    </pic:cNvPicPr>
                  </pic:nvPicPr>
                  <pic:blipFill>
                    <a:blip r:embed="rId14" cstate="print"/>
                    <a:srcRect l="33212" t="10117" r="33409" b="53838"/>
                    <a:stretch>
                      <a:fillRect/>
                    </a:stretch>
                  </pic:blipFill>
                  <pic:spPr>
                    <a:xfrm>
                      <a:off x="0" y="0"/>
                      <a:ext cx="1809115" cy="1797685"/>
                    </a:xfrm>
                    <a:prstGeom prst="rect">
                      <a:avLst/>
                    </a:prstGeom>
                    <a:noFill/>
                    <a:ln>
                      <a:noFill/>
                    </a:ln>
                  </pic:spPr>
                </pic:pic>
              </a:graphicData>
            </a:graphic>
          </wp:inline>
        </w:drawing>
      </w:r>
    </w:p>
    <w:p>
      <w:pPr>
        <w:spacing w:line="360" w:lineRule="auto"/>
        <w:rPr>
          <w:rFonts w:ascii="宋体" w:hAnsi="宋体" w:cs="宋体"/>
          <w:b/>
          <w:sz w:val="36"/>
          <w:szCs w:val="36"/>
        </w:rPr>
      </w:pPr>
    </w:p>
    <w:p>
      <w:pPr>
        <w:spacing w:line="360" w:lineRule="auto"/>
        <w:jc w:val="center"/>
        <w:rPr>
          <w:rFonts w:ascii="宋体" w:hAnsi="宋体" w:cs="宋体"/>
          <w:b/>
          <w:sz w:val="36"/>
          <w:szCs w:val="36"/>
        </w:rPr>
      </w:pPr>
    </w:p>
    <w:p>
      <w:pPr>
        <w:spacing w:line="360" w:lineRule="auto"/>
        <w:jc w:val="center"/>
        <w:rPr>
          <w:rFonts w:ascii="宋体" w:hAnsi="宋体" w:cs="宋体"/>
          <w:b/>
          <w:sz w:val="36"/>
          <w:szCs w:val="36"/>
        </w:rPr>
      </w:pPr>
      <w:r>
        <w:rPr>
          <w:rFonts w:hint="eastAsia" w:ascii="宋体" w:hAnsi="宋体" w:cs="宋体"/>
          <w:b/>
          <w:sz w:val="36"/>
          <w:szCs w:val="36"/>
        </w:rPr>
        <w:t>陕西盛世嘉和招标有限公司</w:t>
      </w:r>
    </w:p>
    <w:p>
      <w:pPr>
        <w:spacing w:line="360" w:lineRule="auto"/>
        <w:jc w:val="center"/>
        <w:rPr>
          <w:rFonts w:ascii="宋体" w:hAnsi="宋体" w:cs="宋体"/>
        </w:rPr>
        <w:sectPr>
          <w:headerReference r:id="rId4" w:type="first"/>
          <w:headerReference r:id="rId3" w:type="default"/>
          <w:footerReference r:id="rId5" w:type="default"/>
          <w:pgSz w:w="11907" w:h="16840"/>
          <w:pgMar w:top="1247" w:right="1304" w:bottom="1247" w:left="1304" w:header="907" w:footer="533" w:gutter="0"/>
          <w:pgNumType w:start="1"/>
          <w:cols w:space="720" w:num="1"/>
          <w:rtlGutter w:val="1"/>
          <w:docGrid w:linePitch="326" w:charSpace="0"/>
        </w:sectPr>
      </w:pPr>
      <w:r>
        <w:rPr>
          <w:rFonts w:hint="eastAsia" w:ascii="宋体" w:hAnsi="宋体" w:cs="宋体"/>
          <w:b/>
          <w:sz w:val="36"/>
          <w:szCs w:val="36"/>
        </w:rPr>
        <w:t>二零二零年十二月</w:t>
      </w:r>
    </w:p>
    <w:p>
      <w:pPr>
        <w:rPr>
          <w:rFonts w:ascii="宋体" w:hAnsi="宋体" w:cs="宋体"/>
          <w:b/>
          <w:sz w:val="36"/>
          <w:szCs w:val="36"/>
        </w:rPr>
      </w:pPr>
    </w:p>
    <w:p>
      <w:pPr>
        <w:jc w:val="center"/>
        <w:rPr>
          <w:rFonts w:ascii="宋体" w:hAnsi="宋体" w:cs="宋体"/>
          <w:b/>
          <w:sz w:val="44"/>
          <w:szCs w:val="44"/>
        </w:rPr>
      </w:pPr>
      <w:r>
        <w:rPr>
          <w:rFonts w:hint="eastAsia" w:ascii="宋体" w:hAnsi="宋体" w:cs="宋体"/>
          <w:b/>
          <w:sz w:val="44"/>
          <w:szCs w:val="44"/>
        </w:rPr>
        <w:t>目   录</w:t>
      </w:r>
    </w:p>
    <w:p>
      <w:pPr>
        <w:pStyle w:val="3"/>
        <w:rPr>
          <w:rFonts w:ascii="宋体" w:hAnsi="宋体" w:cs="宋体"/>
        </w:rPr>
      </w:pPr>
    </w:p>
    <w:p>
      <w:pPr>
        <w:jc w:val="center"/>
        <w:rPr>
          <w:rFonts w:ascii="宋体" w:hAnsi="宋体" w:cs="宋体"/>
          <w:b/>
          <w:sz w:val="36"/>
          <w:szCs w:val="36"/>
        </w:rPr>
      </w:pPr>
    </w:p>
    <w:p>
      <w:pPr>
        <w:pStyle w:val="16"/>
        <w:tabs>
          <w:tab w:val="right" w:leader="dot" w:pos="9299"/>
          <w:tab w:val="clear" w:pos="8760"/>
        </w:tabs>
        <w:spacing w:line="1000" w:lineRule="exact"/>
        <w:rPr>
          <w:b/>
          <w:bCs/>
          <w:sz w:val="32"/>
          <w:szCs w:val="32"/>
        </w:rPr>
      </w:pPr>
      <w:r>
        <w:rPr>
          <w:rFonts w:hint="eastAsia" w:ascii="宋体" w:hAnsi="宋体" w:cs="宋体"/>
          <w:b/>
          <w:bCs/>
          <w:sz w:val="32"/>
          <w:szCs w:val="32"/>
        </w:rPr>
        <w:fldChar w:fldCharType="begin"/>
      </w:r>
      <w:r>
        <w:rPr>
          <w:rFonts w:hint="eastAsia" w:ascii="宋体" w:hAnsi="宋体" w:cs="宋体"/>
          <w:b/>
          <w:bCs/>
          <w:sz w:val="32"/>
          <w:szCs w:val="32"/>
        </w:rPr>
        <w:instrText xml:space="preserve"> TOC \o "1-1" \h \z \u </w:instrText>
      </w:r>
      <w:r>
        <w:rPr>
          <w:rFonts w:hint="eastAsia" w:ascii="宋体" w:hAnsi="宋体" w:cs="宋体"/>
          <w:b/>
          <w:bCs/>
          <w:sz w:val="32"/>
          <w:szCs w:val="32"/>
        </w:rPr>
        <w:fldChar w:fldCharType="separate"/>
      </w:r>
      <w:r>
        <w:fldChar w:fldCharType="begin"/>
      </w:r>
      <w:r>
        <w:instrText xml:space="preserve"> HYPERLINK \l "_Toc2925" </w:instrText>
      </w:r>
      <w:r>
        <w:fldChar w:fldCharType="separate"/>
      </w:r>
      <w:r>
        <w:rPr>
          <w:rFonts w:hint="eastAsia" w:ascii="宋体" w:hAnsi="宋体" w:cs="宋体"/>
          <w:b/>
          <w:bCs/>
          <w:sz w:val="32"/>
          <w:szCs w:val="32"/>
        </w:rPr>
        <w:t>第一部分 磋商公告</w:t>
      </w:r>
      <w:r>
        <w:rPr>
          <w:b/>
          <w:bCs/>
          <w:sz w:val="32"/>
          <w:szCs w:val="32"/>
        </w:rPr>
        <w:tab/>
      </w:r>
      <w:r>
        <w:rPr>
          <w:b/>
          <w:bCs/>
          <w:sz w:val="32"/>
          <w:szCs w:val="32"/>
        </w:rPr>
        <w:fldChar w:fldCharType="begin"/>
      </w:r>
      <w:r>
        <w:rPr>
          <w:b/>
          <w:bCs/>
          <w:sz w:val="32"/>
          <w:szCs w:val="32"/>
        </w:rPr>
        <w:instrText xml:space="preserve"> PAGEREF _Toc2925 </w:instrText>
      </w:r>
      <w:r>
        <w:rPr>
          <w:b/>
          <w:bCs/>
          <w:sz w:val="32"/>
          <w:szCs w:val="32"/>
        </w:rPr>
        <w:fldChar w:fldCharType="separate"/>
      </w:r>
      <w:r>
        <w:rPr>
          <w:b/>
          <w:bCs/>
          <w:sz w:val="32"/>
          <w:szCs w:val="32"/>
        </w:rPr>
        <w:t>1</w:t>
      </w:r>
      <w:r>
        <w:rPr>
          <w:b/>
          <w:bCs/>
          <w:sz w:val="32"/>
          <w:szCs w:val="32"/>
        </w:rPr>
        <w:fldChar w:fldCharType="end"/>
      </w:r>
      <w:r>
        <w:rPr>
          <w:b/>
          <w:bCs/>
          <w:sz w:val="32"/>
          <w:szCs w:val="32"/>
        </w:rPr>
        <w:fldChar w:fldCharType="end"/>
      </w:r>
    </w:p>
    <w:p>
      <w:pPr>
        <w:pStyle w:val="16"/>
        <w:tabs>
          <w:tab w:val="right" w:leader="dot" w:pos="9299"/>
          <w:tab w:val="clear" w:pos="8760"/>
        </w:tabs>
        <w:spacing w:line="1000" w:lineRule="exact"/>
        <w:rPr>
          <w:b/>
          <w:bCs/>
          <w:sz w:val="32"/>
          <w:szCs w:val="32"/>
        </w:rPr>
      </w:pPr>
      <w:r>
        <w:fldChar w:fldCharType="begin"/>
      </w:r>
      <w:r>
        <w:instrText xml:space="preserve"> HYPERLINK \l "_Toc25677" </w:instrText>
      </w:r>
      <w:r>
        <w:fldChar w:fldCharType="separate"/>
      </w:r>
      <w:r>
        <w:rPr>
          <w:rFonts w:hint="eastAsia" w:ascii="宋体" w:hAnsi="宋体" w:cs="宋体"/>
          <w:b/>
          <w:bCs/>
          <w:sz w:val="32"/>
          <w:szCs w:val="32"/>
        </w:rPr>
        <w:t>第二部分 供应商须知</w:t>
      </w:r>
      <w:r>
        <w:rPr>
          <w:b/>
          <w:bCs/>
          <w:sz w:val="32"/>
          <w:szCs w:val="32"/>
        </w:rPr>
        <w:tab/>
      </w:r>
      <w:r>
        <w:rPr>
          <w:b/>
          <w:bCs/>
          <w:sz w:val="32"/>
          <w:szCs w:val="32"/>
        </w:rPr>
        <w:fldChar w:fldCharType="begin"/>
      </w:r>
      <w:r>
        <w:rPr>
          <w:b/>
          <w:bCs/>
          <w:sz w:val="32"/>
          <w:szCs w:val="32"/>
        </w:rPr>
        <w:instrText xml:space="preserve"> PAGEREF _Toc25677 </w:instrText>
      </w:r>
      <w:r>
        <w:rPr>
          <w:b/>
          <w:bCs/>
          <w:sz w:val="32"/>
          <w:szCs w:val="32"/>
        </w:rPr>
        <w:fldChar w:fldCharType="separate"/>
      </w:r>
      <w:r>
        <w:rPr>
          <w:b/>
          <w:bCs/>
          <w:sz w:val="32"/>
          <w:szCs w:val="32"/>
        </w:rPr>
        <w:t>4</w:t>
      </w:r>
      <w:r>
        <w:rPr>
          <w:b/>
          <w:bCs/>
          <w:sz w:val="32"/>
          <w:szCs w:val="32"/>
        </w:rPr>
        <w:fldChar w:fldCharType="end"/>
      </w:r>
      <w:r>
        <w:rPr>
          <w:b/>
          <w:bCs/>
          <w:sz w:val="32"/>
          <w:szCs w:val="32"/>
        </w:rPr>
        <w:fldChar w:fldCharType="end"/>
      </w:r>
    </w:p>
    <w:p>
      <w:pPr>
        <w:pStyle w:val="16"/>
        <w:tabs>
          <w:tab w:val="right" w:leader="dot" w:pos="9299"/>
          <w:tab w:val="clear" w:pos="8760"/>
        </w:tabs>
        <w:spacing w:line="1000" w:lineRule="exact"/>
        <w:rPr>
          <w:b/>
          <w:bCs/>
          <w:sz w:val="32"/>
          <w:szCs w:val="32"/>
        </w:rPr>
      </w:pPr>
      <w:r>
        <w:fldChar w:fldCharType="begin"/>
      </w:r>
      <w:r>
        <w:instrText xml:space="preserve"> HYPERLINK \l "_Toc29145" </w:instrText>
      </w:r>
      <w:r>
        <w:fldChar w:fldCharType="separate"/>
      </w:r>
      <w:r>
        <w:rPr>
          <w:rFonts w:hint="eastAsia" w:ascii="宋体" w:hAnsi="宋体" w:cs="宋体"/>
          <w:b/>
          <w:bCs/>
          <w:sz w:val="32"/>
          <w:szCs w:val="32"/>
        </w:rPr>
        <w:t>第三部分 技术参数及要求</w:t>
      </w:r>
      <w:r>
        <w:rPr>
          <w:b/>
          <w:bCs/>
          <w:sz w:val="32"/>
          <w:szCs w:val="32"/>
        </w:rPr>
        <w:tab/>
      </w:r>
      <w:r>
        <w:rPr>
          <w:b/>
          <w:bCs/>
          <w:sz w:val="32"/>
          <w:szCs w:val="32"/>
        </w:rPr>
        <w:fldChar w:fldCharType="begin"/>
      </w:r>
      <w:r>
        <w:rPr>
          <w:b/>
          <w:bCs/>
          <w:sz w:val="32"/>
          <w:szCs w:val="32"/>
        </w:rPr>
        <w:instrText xml:space="preserve"> PAGEREF _Toc29145 </w:instrText>
      </w:r>
      <w:r>
        <w:rPr>
          <w:b/>
          <w:bCs/>
          <w:sz w:val="32"/>
          <w:szCs w:val="32"/>
        </w:rPr>
        <w:fldChar w:fldCharType="separate"/>
      </w:r>
      <w:r>
        <w:rPr>
          <w:b/>
          <w:bCs/>
          <w:sz w:val="32"/>
          <w:szCs w:val="32"/>
        </w:rPr>
        <w:t>24</w:t>
      </w:r>
      <w:r>
        <w:rPr>
          <w:b/>
          <w:bCs/>
          <w:sz w:val="32"/>
          <w:szCs w:val="32"/>
        </w:rPr>
        <w:fldChar w:fldCharType="end"/>
      </w:r>
      <w:r>
        <w:rPr>
          <w:b/>
          <w:bCs/>
          <w:sz w:val="32"/>
          <w:szCs w:val="32"/>
        </w:rPr>
        <w:fldChar w:fldCharType="end"/>
      </w:r>
    </w:p>
    <w:p>
      <w:pPr>
        <w:pStyle w:val="16"/>
        <w:tabs>
          <w:tab w:val="right" w:leader="dot" w:pos="9299"/>
          <w:tab w:val="clear" w:pos="8760"/>
        </w:tabs>
        <w:spacing w:line="1000" w:lineRule="exact"/>
        <w:rPr>
          <w:b/>
          <w:bCs/>
          <w:sz w:val="32"/>
          <w:szCs w:val="32"/>
        </w:rPr>
      </w:pPr>
      <w:r>
        <w:fldChar w:fldCharType="begin"/>
      </w:r>
      <w:r>
        <w:instrText xml:space="preserve"> HYPERLINK \l "_Toc23839" </w:instrText>
      </w:r>
      <w:r>
        <w:fldChar w:fldCharType="separate"/>
      </w:r>
      <w:r>
        <w:rPr>
          <w:rFonts w:hint="eastAsia" w:ascii="宋体" w:hAnsi="宋体" w:cs="宋体"/>
          <w:b/>
          <w:bCs/>
          <w:sz w:val="32"/>
          <w:szCs w:val="32"/>
        </w:rPr>
        <w:t>第四部分 合同主要条款及格式</w:t>
      </w:r>
      <w:r>
        <w:rPr>
          <w:b/>
          <w:bCs/>
          <w:sz w:val="32"/>
          <w:szCs w:val="32"/>
        </w:rPr>
        <w:tab/>
      </w:r>
      <w:r>
        <w:rPr>
          <w:b/>
          <w:bCs/>
          <w:sz w:val="32"/>
          <w:szCs w:val="32"/>
        </w:rPr>
        <w:fldChar w:fldCharType="begin"/>
      </w:r>
      <w:r>
        <w:rPr>
          <w:b/>
          <w:bCs/>
          <w:sz w:val="32"/>
          <w:szCs w:val="32"/>
        </w:rPr>
        <w:instrText xml:space="preserve"> PAGEREF _Toc23839 </w:instrText>
      </w:r>
      <w:r>
        <w:rPr>
          <w:b/>
          <w:bCs/>
          <w:sz w:val="32"/>
          <w:szCs w:val="32"/>
        </w:rPr>
        <w:fldChar w:fldCharType="separate"/>
      </w:r>
      <w:r>
        <w:rPr>
          <w:b/>
          <w:bCs/>
          <w:sz w:val="32"/>
          <w:szCs w:val="32"/>
        </w:rPr>
        <w:t>33</w:t>
      </w:r>
      <w:r>
        <w:rPr>
          <w:b/>
          <w:bCs/>
          <w:sz w:val="32"/>
          <w:szCs w:val="32"/>
        </w:rPr>
        <w:fldChar w:fldCharType="end"/>
      </w:r>
      <w:r>
        <w:rPr>
          <w:b/>
          <w:bCs/>
          <w:sz w:val="32"/>
          <w:szCs w:val="32"/>
        </w:rPr>
        <w:fldChar w:fldCharType="end"/>
      </w:r>
    </w:p>
    <w:p>
      <w:pPr>
        <w:pStyle w:val="16"/>
        <w:tabs>
          <w:tab w:val="right" w:leader="dot" w:pos="9299"/>
          <w:tab w:val="clear" w:pos="8760"/>
        </w:tabs>
        <w:spacing w:line="1000" w:lineRule="exact"/>
        <w:rPr>
          <w:b/>
          <w:bCs/>
          <w:sz w:val="32"/>
          <w:szCs w:val="32"/>
        </w:rPr>
      </w:pPr>
      <w:r>
        <w:fldChar w:fldCharType="begin"/>
      </w:r>
      <w:r>
        <w:instrText xml:space="preserve"> HYPERLINK \l "_Toc2620" </w:instrText>
      </w:r>
      <w:r>
        <w:fldChar w:fldCharType="separate"/>
      </w:r>
      <w:r>
        <w:rPr>
          <w:rFonts w:hint="eastAsia" w:ascii="宋体" w:hAnsi="宋体" w:cs="宋体"/>
          <w:b/>
          <w:bCs/>
          <w:sz w:val="32"/>
          <w:szCs w:val="32"/>
        </w:rPr>
        <w:t>第五部分 竞争性磋商响应文件格式</w:t>
      </w:r>
      <w:r>
        <w:rPr>
          <w:b/>
          <w:bCs/>
          <w:sz w:val="32"/>
          <w:szCs w:val="32"/>
        </w:rPr>
        <w:tab/>
      </w:r>
      <w:r>
        <w:rPr>
          <w:b/>
          <w:bCs/>
          <w:sz w:val="32"/>
          <w:szCs w:val="32"/>
        </w:rPr>
        <w:fldChar w:fldCharType="begin"/>
      </w:r>
      <w:r>
        <w:rPr>
          <w:b/>
          <w:bCs/>
          <w:sz w:val="32"/>
          <w:szCs w:val="32"/>
        </w:rPr>
        <w:instrText xml:space="preserve"> PAGEREF _Toc2620 </w:instrText>
      </w:r>
      <w:r>
        <w:rPr>
          <w:b/>
          <w:bCs/>
          <w:sz w:val="32"/>
          <w:szCs w:val="32"/>
        </w:rPr>
        <w:fldChar w:fldCharType="separate"/>
      </w:r>
      <w:r>
        <w:rPr>
          <w:b/>
          <w:bCs/>
          <w:sz w:val="32"/>
          <w:szCs w:val="32"/>
        </w:rPr>
        <w:t>37</w:t>
      </w:r>
      <w:r>
        <w:rPr>
          <w:b/>
          <w:bCs/>
          <w:sz w:val="32"/>
          <w:szCs w:val="32"/>
        </w:rPr>
        <w:fldChar w:fldCharType="end"/>
      </w:r>
      <w:r>
        <w:rPr>
          <w:b/>
          <w:bCs/>
          <w:sz w:val="32"/>
          <w:szCs w:val="32"/>
        </w:rPr>
        <w:fldChar w:fldCharType="end"/>
      </w:r>
    </w:p>
    <w:p>
      <w:pPr>
        <w:pStyle w:val="16"/>
        <w:tabs>
          <w:tab w:val="right" w:leader="dot" w:pos="9299"/>
          <w:tab w:val="clear" w:pos="8760"/>
        </w:tabs>
        <w:spacing w:line="1000" w:lineRule="exact"/>
        <w:rPr>
          <w:b/>
          <w:bCs/>
          <w:sz w:val="32"/>
          <w:szCs w:val="32"/>
        </w:rPr>
      </w:pPr>
      <w:r>
        <w:fldChar w:fldCharType="begin"/>
      </w:r>
      <w:r>
        <w:instrText xml:space="preserve"> HYPERLINK \l "_Toc30216" </w:instrText>
      </w:r>
      <w:r>
        <w:fldChar w:fldCharType="separate"/>
      </w:r>
      <w:r>
        <w:rPr>
          <w:rFonts w:hint="eastAsia" w:ascii="宋体" w:hAnsi="宋体" w:cs="宋体"/>
          <w:b/>
          <w:bCs/>
          <w:sz w:val="32"/>
          <w:szCs w:val="32"/>
        </w:rPr>
        <w:t>第六部分 封袋正面标识式样</w:t>
      </w:r>
      <w:r>
        <w:rPr>
          <w:b/>
          <w:bCs/>
          <w:sz w:val="32"/>
          <w:szCs w:val="32"/>
        </w:rPr>
        <w:tab/>
      </w:r>
      <w:r>
        <w:rPr>
          <w:b/>
          <w:bCs/>
          <w:sz w:val="32"/>
          <w:szCs w:val="32"/>
        </w:rPr>
        <w:fldChar w:fldCharType="begin"/>
      </w:r>
      <w:r>
        <w:rPr>
          <w:b/>
          <w:bCs/>
          <w:sz w:val="32"/>
          <w:szCs w:val="32"/>
        </w:rPr>
        <w:instrText xml:space="preserve"> PAGEREF _Toc30216 </w:instrText>
      </w:r>
      <w:r>
        <w:rPr>
          <w:b/>
          <w:bCs/>
          <w:sz w:val="32"/>
          <w:szCs w:val="32"/>
        </w:rPr>
        <w:fldChar w:fldCharType="separate"/>
      </w:r>
      <w:r>
        <w:rPr>
          <w:b/>
          <w:bCs/>
          <w:sz w:val="32"/>
          <w:szCs w:val="32"/>
        </w:rPr>
        <w:t>60</w:t>
      </w:r>
      <w:r>
        <w:rPr>
          <w:b/>
          <w:bCs/>
          <w:sz w:val="32"/>
          <w:szCs w:val="32"/>
        </w:rPr>
        <w:fldChar w:fldCharType="end"/>
      </w:r>
      <w:r>
        <w:rPr>
          <w:b/>
          <w:bCs/>
          <w:sz w:val="32"/>
          <w:szCs w:val="32"/>
        </w:rPr>
        <w:fldChar w:fldCharType="end"/>
      </w:r>
    </w:p>
    <w:p>
      <w:pPr>
        <w:pStyle w:val="31"/>
        <w:spacing w:line="1000" w:lineRule="exact"/>
        <w:rPr>
          <w:rFonts w:ascii="宋体" w:hAnsi="宋体" w:cs="宋体"/>
          <w:bCs/>
          <w:sz w:val="32"/>
          <w:szCs w:val="44"/>
        </w:rPr>
      </w:pPr>
      <w:r>
        <w:rPr>
          <w:rFonts w:hint="eastAsia" w:ascii="宋体" w:hAnsi="宋体" w:cs="宋体"/>
          <w:b/>
          <w:bCs/>
          <w:sz w:val="32"/>
          <w:szCs w:val="32"/>
        </w:rPr>
        <w:fldChar w:fldCharType="end"/>
      </w:r>
    </w:p>
    <w:p>
      <w:pPr>
        <w:pStyle w:val="31"/>
        <w:rPr>
          <w:rFonts w:ascii="宋体" w:hAnsi="宋体" w:cs="宋体"/>
          <w:b/>
          <w:bCs/>
          <w:sz w:val="32"/>
          <w:szCs w:val="44"/>
        </w:rPr>
        <w:sectPr>
          <w:footerReference r:id="rId8" w:type="first"/>
          <w:headerReference r:id="rId6" w:type="default"/>
          <w:footerReference r:id="rId7" w:type="default"/>
          <w:pgSz w:w="11907" w:h="16840"/>
          <w:pgMar w:top="1247" w:right="1304" w:bottom="1247" w:left="1304" w:header="907" w:footer="533" w:gutter="0"/>
          <w:cols w:space="720" w:num="1"/>
          <w:rtlGutter w:val="1"/>
          <w:docGrid w:linePitch="326" w:charSpace="0"/>
        </w:sectPr>
      </w:pPr>
    </w:p>
    <w:p>
      <w:pPr>
        <w:spacing w:line="460" w:lineRule="exact"/>
        <w:jc w:val="center"/>
        <w:rPr>
          <w:rStyle w:val="32"/>
          <w:rFonts w:ascii="宋体" w:hAnsi="宋体" w:cs="宋体"/>
        </w:rPr>
      </w:pPr>
      <w:bookmarkStart w:id="0" w:name="_Toc14691_WPSOffice_Level1"/>
      <w:bookmarkStart w:id="1" w:name="_Toc2925"/>
      <w:r>
        <w:rPr>
          <w:rStyle w:val="32"/>
          <w:rFonts w:hint="eastAsia" w:ascii="宋体" w:hAnsi="宋体" w:cs="宋体"/>
        </w:rPr>
        <w:t>第一部分 磋商公告</w:t>
      </w:r>
      <w:bookmarkEnd w:id="0"/>
    </w:p>
    <w:bookmarkEnd w:id="1"/>
    <w:p>
      <w:pPr>
        <w:pBdr>
          <w:top w:val="single" w:color="auto" w:sz="4" w:space="1"/>
          <w:left w:val="single" w:color="auto" w:sz="4" w:space="4"/>
          <w:bottom w:val="single" w:color="auto" w:sz="4" w:space="1"/>
          <w:right w:val="single" w:color="auto" w:sz="4" w:space="4"/>
        </w:pBdr>
        <w:spacing w:line="360" w:lineRule="auto"/>
        <w:ind w:firstLine="480" w:firstLineChars="200"/>
        <w:rPr>
          <w:rFonts w:ascii="宋体" w:hAnsi="宋体" w:cs="仿宋_GB2312"/>
          <w:sz w:val="24"/>
        </w:rPr>
      </w:pPr>
      <w:r>
        <w:rPr>
          <w:rFonts w:hint="eastAsia" w:ascii="宋体" w:hAnsi="宋体" w:cs="宋体"/>
          <w:sz w:val="24"/>
        </w:rPr>
        <w:t xml:space="preserve"> </w:t>
      </w:r>
      <w:r>
        <w:rPr>
          <w:rFonts w:hint="eastAsia" w:ascii="宋体" w:hAnsi="宋体" w:cs="仿宋_GB2312"/>
          <w:sz w:val="24"/>
        </w:rPr>
        <w:t>项目概况</w:t>
      </w:r>
    </w:p>
    <w:p>
      <w:pPr>
        <w:pBdr>
          <w:top w:val="single" w:color="auto" w:sz="4" w:space="1"/>
          <w:left w:val="single" w:color="auto" w:sz="4" w:space="4"/>
          <w:bottom w:val="single" w:color="auto" w:sz="4" w:space="1"/>
          <w:right w:val="single" w:color="auto" w:sz="4" w:space="4"/>
        </w:pBdr>
        <w:spacing w:line="360" w:lineRule="auto"/>
        <w:ind w:firstLine="480" w:firstLineChars="200"/>
        <w:rPr>
          <w:color w:val="auto"/>
        </w:rPr>
      </w:pPr>
      <w:r>
        <w:rPr>
          <w:rFonts w:hint="eastAsia" w:ascii="宋体" w:hAnsi="宋体" w:cs="宋体"/>
          <w:sz w:val="24"/>
          <w:u w:val="single"/>
        </w:rPr>
        <w:t xml:space="preserve"> 西安市阎良区西飞第一中学智慧校园综合管理</w:t>
      </w:r>
      <w:r>
        <w:rPr>
          <w:rFonts w:hint="eastAsia" w:ascii="宋体" w:hAnsi="宋体" w:cs="宋体"/>
          <w:color w:val="auto"/>
          <w:sz w:val="24"/>
          <w:u w:val="single"/>
        </w:rPr>
        <w:t xml:space="preserve">平台建设项目  </w:t>
      </w:r>
      <w:r>
        <w:rPr>
          <w:rFonts w:hint="eastAsia" w:ascii="宋体" w:hAnsi="宋体" w:cs="仿宋_GB2312"/>
          <w:color w:val="auto"/>
          <w:sz w:val="24"/>
        </w:rPr>
        <w:t>的潜在投标人应在</w:t>
      </w:r>
      <w:r>
        <w:rPr>
          <w:rFonts w:hint="eastAsia" w:ascii="宋体" w:hAnsi="宋体" w:cs="仿宋_GB2312"/>
          <w:color w:val="auto"/>
          <w:sz w:val="24"/>
          <w:u w:val="single"/>
        </w:rPr>
        <w:t xml:space="preserve"> </w:t>
      </w:r>
      <w:r>
        <w:rPr>
          <w:rFonts w:hint="eastAsia" w:ascii="宋体" w:hAnsi="宋体"/>
          <w:color w:val="auto"/>
          <w:sz w:val="24"/>
          <w:u w:val="single"/>
        </w:rPr>
        <w:t xml:space="preserve">陕西省西安市莲湖区南二环西段财富中心I期A座802室 </w:t>
      </w:r>
      <w:r>
        <w:rPr>
          <w:rFonts w:hint="eastAsia" w:ascii="宋体" w:hAnsi="宋体" w:cs="仿宋_GB2312"/>
          <w:color w:val="auto"/>
          <w:sz w:val="24"/>
        </w:rPr>
        <w:t>获取采购文件，并于</w:t>
      </w:r>
      <w:r>
        <w:rPr>
          <w:rFonts w:hint="eastAsia" w:ascii="宋体" w:hAnsi="宋体" w:cs="仿宋_GB2312"/>
          <w:color w:val="auto"/>
          <w:sz w:val="24"/>
          <w:u w:val="single"/>
        </w:rPr>
        <w:t>2020年</w:t>
      </w:r>
      <w:r>
        <w:rPr>
          <w:rFonts w:hint="eastAsia" w:ascii="宋体" w:hAnsi="宋体" w:cs="仿宋_GB2312"/>
          <w:color w:val="auto"/>
          <w:sz w:val="24"/>
          <w:u w:val="single"/>
          <w:lang w:val="en-US" w:eastAsia="zh-CN"/>
        </w:rPr>
        <w:t>12</w:t>
      </w:r>
      <w:r>
        <w:rPr>
          <w:rFonts w:hint="eastAsia" w:ascii="宋体" w:hAnsi="宋体" w:cs="仿宋_GB2312"/>
          <w:color w:val="auto"/>
          <w:sz w:val="24"/>
          <w:u w:val="single"/>
        </w:rPr>
        <w:t>月2</w:t>
      </w:r>
      <w:r>
        <w:rPr>
          <w:rFonts w:hint="eastAsia" w:ascii="宋体" w:hAnsi="宋体" w:cs="仿宋_GB2312"/>
          <w:color w:val="auto"/>
          <w:sz w:val="24"/>
          <w:u w:val="single"/>
          <w:lang w:val="en-US" w:eastAsia="zh-CN"/>
        </w:rPr>
        <w:t>5</w:t>
      </w:r>
      <w:r>
        <w:rPr>
          <w:rFonts w:hint="eastAsia" w:ascii="宋体" w:hAnsi="宋体" w:cs="仿宋_GB2312"/>
          <w:color w:val="auto"/>
          <w:sz w:val="24"/>
          <w:u w:val="single"/>
        </w:rPr>
        <w:t>日</w:t>
      </w:r>
      <w:r>
        <w:rPr>
          <w:rFonts w:hint="eastAsia" w:ascii="宋体" w:hAnsi="宋体" w:cs="仿宋_GB2312"/>
          <w:bCs/>
          <w:color w:val="auto"/>
          <w:sz w:val="24"/>
          <w:u w:val="single"/>
        </w:rPr>
        <w:t>14点30分</w:t>
      </w:r>
      <w:r>
        <w:rPr>
          <w:rFonts w:hint="eastAsia" w:ascii="宋体" w:hAnsi="宋体" w:cs="仿宋_GB2312"/>
          <w:bCs/>
          <w:color w:val="auto"/>
          <w:sz w:val="24"/>
        </w:rPr>
        <w:t>（北京时间）前提交响应文件</w:t>
      </w:r>
      <w:r>
        <w:rPr>
          <w:rFonts w:hint="eastAsia" w:ascii="宋体" w:hAnsi="宋体" w:cs="仿宋_GB2312"/>
          <w:color w:val="auto"/>
          <w:sz w:val="24"/>
        </w:rPr>
        <w:t>。</w:t>
      </w:r>
    </w:p>
    <w:p>
      <w:pPr>
        <w:spacing w:line="420" w:lineRule="exact"/>
        <w:rPr>
          <w:rFonts w:ascii="宋体" w:hAnsi="宋体" w:cs="宋体"/>
          <w:b/>
          <w:sz w:val="24"/>
        </w:rPr>
      </w:pPr>
      <w:r>
        <w:rPr>
          <w:rFonts w:hint="eastAsia" w:ascii="宋体" w:hAnsi="宋体" w:cs="宋体"/>
          <w:b/>
          <w:sz w:val="24"/>
        </w:rPr>
        <w:t>一、项目基本情况</w:t>
      </w:r>
    </w:p>
    <w:p>
      <w:pPr>
        <w:spacing w:line="420" w:lineRule="exact"/>
        <w:rPr>
          <w:rFonts w:ascii="宋体" w:hAnsi="宋体" w:cs="宋体"/>
          <w:sz w:val="24"/>
        </w:rPr>
      </w:pPr>
      <w:r>
        <w:rPr>
          <w:rFonts w:hint="eastAsia" w:ascii="宋体" w:hAnsi="宋体" w:cs="宋体"/>
          <w:b/>
          <w:bCs/>
          <w:sz w:val="24"/>
        </w:rPr>
        <w:t>项目编号：</w:t>
      </w:r>
      <w:r>
        <w:rPr>
          <w:rFonts w:hint="eastAsia" w:ascii="宋体" w:hAnsi="宋体" w:cs="宋体"/>
          <w:sz w:val="24"/>
        </w:rPr>
        <w:t>SXSJHT2020-304</w:t>
      </w:r>
    </w:p>
    <w:p>
      <w:pPr>
        <w:pStyle w:val="2"/>
        <w:spacing w:line="420" w:lineRule="exact"/>
        <w:ind w:firstLine="0" w:firstLineChars="0"/>
        <w:rPr>
          <w:rFonts w:ascii="宋体" w:hAnsi="宋体" w:cs="宋体"/>
          <w:sz w:val="24"/>
        </w:rPr>
      </w:pPr>
      <w:r>
        <w:rPr>
          <w:rFonts w:hint="eastAsia" w:ascii="宋体" w:hAnsi="宋体" w:cs="宋体"/>
          <w:b/>
          <w:bCs/>
          <w:sz w:val="24"/>
        </w:rPr>
        <w:t>项目名称</w:t>
      </w:r>
      <w:r>
        <w:rPr>
          <w:rFonts w:hint="eastAsia" w:ascii="宋体" w:hAnsi="宋体" w:cs="宋体"/>
          <w:sz w:val="24"/>
        </w:rPr>
        <w:t xml:space="preserve">：西安市阎良区西飞第一中学智慧校园综合管理平台建设项目 </w:t>
      </w:r>
    </w:p>
    <w:p>
      <w:pPr>
        <w:pStyle w:val="2"/>
        <w:spacing w:line="420" w:lineRule="exact"/>
        <w:ind w:firstLine="0" w:firstLineChars="0"/>
        <w:rPr>
          <w:rFonts w:ascii="宋体" w:hAnsi="宋体" w:cs="宋体"/>
          <w:sz w:val="24"/>
        </w:rPr>
      </w:pPr>
      <w:r>
        <w:rPr>
          <w:rFonts w:hint="eastAsia" w:ascii="宋体" w:hAnsi="宋体" w:cs="宋体"/>
          <w:b/>
          <w:sz w:val="24"/>
        </w:rPr>
        <w:t>采购方式：</w:t>
      </w:r>
      <w:r>
        <w:rPr>
          <w:rFonts w:hint="eastAsia" w:ascii="宋体" w:hAnsi="宋体" w:cs="宋体"/>
          <w:sz w:val="24"/>
        </w:rPr>
        <w:t>□公开招标  □竞争性谈判  ☑竞争性磋商  □询价</w:t>
      </w:r>
    </w:p>
    <w:p>
      <w:pPr>
        <w:pStyle w:val="2"/>
        <w:spacing w:line="420" w:lineRule="exact"/>
        <w:ind w:firstLine="0" w:firstLineChars="0"/>
        <w:rPr>
          <w:rFonts w:ascii="宋体" w:hAnsi="宋体" w:cs="宋体"/>
          <w:color w:val="000000"/>
          <w:sz w:val="24"/>
        </w:rPr>
      </w:pPr>
      <w:r>
        <w:rPr>
          <w:rFonts w:hint="eastAsia" w:ascii="宋体" w:hAnsi="宋体" w:cs="宋体"/>
          <w:b/>
          <w:sz w:val="24"/>
        </w:rPr>
        <w:t>预算金额：</w:t>
      </w:r>
      <w:r>
        <w:rPr>
          <w:rFonts w:hint="eastAsia" w:ascii="宋体" w:hAnsi="宋体" w:cs="宋体"/>
          <w:color w:val="000000"/>
          <w:sz w:val="24"/>
        </w:rPr>
        <w:t>1,332,610.00元</w:t>
      </w:r>
    </w:p>
    <w:p>
      <w:pPr>
        <w:pStyle w:val="2"/>
        <w:spacing w:line="420" w:lineRule="exact"/>
        <w:ind w:firstLine="0" w:firstLineChars="0"/>
        <w:rPr>
          <w:rFonts w:ascii="宋体" w:hAnsi="宋体" w:cs="宋体"/>
          <w:color w:val="000000"/>
          <w:sz w:val="24"/>
        </w:rPr>
      </w:pPr>
      <w:r>
        <w:rPr>
          <w:rFonts w:hint="eastAsia" w:ascii="宋体" w:hAnsi="宋体" w:cs="宋体"/>
          <w:sz w:val="24"/>
        </w:rPr>
        <w:t>采购需求：</w:t>
      </w:r>
      <w:r>
        <w:rPr>
          <w:rFonts w:hint="eastAsia" w:ascii="宋体" w:hAnsi="宋体" w:cs="宋体"/>
          <w:color w:val="000000"/>
          <w:sz w:val="24"/>
        </w:rPr>
        <w:t>本采购内容包括对</w:t>
      </w:r>
      <w:r>
        <w:rPr>
          <w:rFonts w:hint="eastAsia" w:ascii="宋体" w:hAnsi="宋体" w:cs="宋体"/>
          <w:sz w:val="24"/>
        </w:rPr>
        <w:t>智慧校园综合管理平台</w:t>
      </w:r>
      <w:r>
        <w:rPr>
          <w:rFonts w:hint="eastAsia" w:ascii="宋体" w:hAnsi="宋体" w:cs="宋体"/>
          <w:color w:val="000000"/>
          <w:sz w:val="24"/>
        </w:rPr>
        <w:t>设备采购</w:t>
      </w:r>
      <w:r>
        <w:rPr>
          <w:rFonts w:hint="eastAsia" w:ascii="宋体" w:hAnsi="宋体" w:cs="宋体"/>
          <w:sz w:val="24"/>
        </w:rPr>
        <w:t>，主要内容有摄像机、交换机等，具体内容详见磋商文件技术参数及要求</w:t>
      </w:r>
      <w:r>
        <w:rPr>
          <w:rFonts w:hint="eastAsia" w:ascii="宋体" w:hAnsi="宋体" w:cs="宋体"/>
          <w:color w:val="000000"/>
          <w:sz w:val="24"/>
        </w:rPr>
        <w:t>。</w:t>
      </w:r>
    </w:p>
    <w:p>
      <w:pPr>
        <w:pStyle w:val="2"/>
        <w:spacing w:line="420" w:lineRule="exact"/>
        <w:ind w:firstLine="0" w:firstLineChars="0"/>
        <w:rPr>
          <w:rFonts w:ascii="宋体" w:hAnsi="宋体" w:cs="宋体"/>
          <w:color w:val="000000"/>
          <w:sz w:val="24"/>
        </w:rPr>
      </w:pPr>
      <w:r>
        <w:rPr>
          <w:rFonts w:hint="eastAsia" w:ascii="宋体" w:hAnsi="宋体" w:cs="宋体"/>
          <w:color w:val="000000"/>
          <w:sz w:val="24"/>
        </w:rPr>
        <w:t>合同履行期限：2020年12月</w:t>
      </w:r>
      <w:r>
        <w:rPr>
          <w:rFonts w:hint="eastAsia" w:ascii="宋体" w:hAnsi="宋体" w:cs="宋体"/>
          <w:color w:val="000000"/>
          <w:sz w:val="24"/>
          <w:lang w:val="en-US" w:eastAsia="zh-CN"/>
        </w:rPr>
        <w:t>25</w:t>
      </w:r>
      <w:r>
        <w:rPr>
          <w:rFonts w:hint="eastAsia" w:ascii="宋体" w:hAnsi="宋体" w:cs="宋体"/>
          <w:color w:val="000000"/>
          <w:sz w:val="24"/>
        </w:rPr>
        <w:t>日至2021年1</w:t>
      </w:r>
      <w:r>
        <w:rPr>
          <w:rFonts w:hint="eastAsia" w:ascii="宋体" w:hAnsi="宋体" w:cs="宋体"/>
          <w:color w:val="000000"/>
          <w:sz w:val="24"/>
          <w:lang w:val="en-US" w:eastAsia="zh-CN"/>
        </w:rPr>
        <w:t>2</w:t>
      </w:r>
      <w:r>
        <w:rPr>
          <w:rFonts w:hint="eastAsia" w:ascii="宋体" w:hAnsi="宋体" w:cs="宋体"/>
          <w:color w:val="000000"/>
          <w:sz w:val="24"/>
        </w:rPr>
        <w:t>月</w:t>
      </w:r>
      <w:r>
        <w:rPr>
          <w:rFonts w:hint="eastAsia" w:ascii="宋体" w:hAnsi="宋体" w:cs="宋体"/>
          <w:color w:val="000000"/>
          <w:sz w:val="24"/>
          <w:lang w:val="en-US" w:eastAsia="zh-CN"/>
        </w:rPr>
        <w:t>25</w:t>
      </w:r>
      <w:r>
        <w:rPr>
          <w:rFonts w:hint="eastAsia" w:ascii="宋体" w:hAnsi="宋体" w:cs="宋体"/>
          <w:color w:val="000000"/>
          <w:sz w:val="24"/>
        </w:rPr>
        <w:t>日（具体服务起止日期可随合同签订时间相应顺延）。</w:t>
      </w:r>
    </w:p>
    <w:p>
      <w:pPr>
        <w:pStyle w:val="2"/>
        <w:spacing w:line="420" w:lineRule="exact"/>
        <w:ind w:firstLine="0" w:firstLineChars="0"/>
        <w:rPr>
          <w:rFonts w:ascii="宋体" w:hAnsi="宋体" w:cs="宋体"/>
          <w:color w:val="000000"/>
          <w:sz w:val="24"/>
        </w:rPr>
      </w:pPr>
      <w:r>
        <w:rPr>
          <w:rFonts w:hint="eastAsia" w:ascii="宋体" w:hAnsi="宋体" w:cs="宋体"/>
          <w:color w:val="000000"/>
          <w:sz w:val="24"/>
        </w:rPr>
        <w:t>本项目不接受联合体。</w:t>
      </w:r>
    </w:p>
    <w:p>
      <w:pPr>
        <w:pStyle w:val="2"/>
        <w:spacing w:line="420" w:lineRule="exact"/>
        <w:ind w:firstLine="0" w:firstLineChars="0"/>
        <w:rPr>
          <w:rFonts w:ascii="宋体" w:hAnsi="宋体" w:cs="宋体"/>
          <w:b/>
          <w:color w:val="000000"/>
          <w:sz w:val="24"/>
        </w:rPr>
      </w:pPr>
      <w:r>
        <w:rPr>
          <w:rFonts w:hint="eastAsia" w:ascii="宋体" w:hAnsi="宋体" w:cs="宋体"/>
          <w:b/>
          <w:color w:val="000000"/>
          <w:sz w:val="24"/>
        </w:rPr>
        <w:t>二、申请人的资格要求</w:t>
      </w:r>
    </w:p>
    <w:p>
      <w:pPr>
        <w:pStyle w:val="2"/>
        <w:spacing w:line="420" w:lineRule="exact"/>
        <w:ind w:firstLine="0" w:firstLineChars="0"/>
        <w:rPr>
          <w:rFonts w:ascii="宋体" w:hAnsi="宋体" w:cs="宋体"/>
          <w:color w:val="000000"/>
          <w:sz w:val="24"/>
        </w:rPr>
      </w:pPr>
      <w:r>
        <w:rPr>
          <w:rFonts w:hint="eastAsia" w:ascii="宋体" w:hAnsi="宋体" w:cs="宋体"/>
          <w:color w:val="000000"/>
          <w:sz w:val="24"/>
        </w:rPr>
        <w:t>1.满足《中华人民共和国政府采购法》第二十二条规定；</w:t>
      </w:r>
    </w:p>
    <w:p>
      <w:pPr>
        <w:pStyle w:val="2"/>
        <w:spacing w:line="420" w:lineRule="exact"/>
        <w:ind w:firstLine="0" w:firstLineChars="0"/>
        <w:rPr>
          <w:rFonts w:ascii="宋体" w:hAnsi="宋体" w:cs="宋体"/>
          <w:color w:val="000000"/>
          <w:sz w:val="24"/>
        </w:rPr>
      </w:pPr>
      <w:r>
        <w:rPr>
          <w:rFonts w:hint="eastAsia" w:ascii="宋体" w:hAnsi="宋体" w:cs="宋体"/>
          <w:color w:val="000000"/>
          <w:sz w:val="24"/>
        </w:rPr>
        <w:t>2.落实政府采购政策需满足的资格要求：</w:t>
      </w:r>
    </w:p>
    <w:p>
      <w:pPr>
        <w:spacing w:line="420" w:lineRule="exact"/>
        <w:ind w:firstLine="480" w:firstLineChars="200"/>
        <w:rPr>
          <w:rFonts w:ascii="宋体" w:hAnsi="宋体" w:cs="宋体"/>
          <w:sz w:val="24"/>
        </w:rPr>
      </w:pPr>
      <w:r>
        <w:rPr>
          <w:rFonts w:hint="eastAsia" w:ascii="宋体" w:hAnsi="宋体" w:cs="宋体"/>
          <w:sz w:val="24"/>
        </w:rPr>
        <w:t xml:space="preserve">①《政府采购促进中小企业发展暂行办法》（财库〔2011〕181号）； </w:t>
      </w:r>
    </w:p>
    <w:p>
      <w:pPr>
        <w:spacing w:line="420" w:lineRule="exact"/>
        <w:ind w:firstLine="480" w:firstLineChars="200"/>
        <w:rPr>
          <w:rFonts w:ascii="宋体" w:hAnsi="宋体" w:cs="宋体"/>
          <w:sz w:val="24"/>
        </w:rPr>
      </w:pPr>
      <w:r>
        <w:rPr>
          <w:rFonts w:hint="eastAsia" w:ascii="宋体" w:hAnsi="宋体" w:cs="宋体"/>
          <w:sz w:val="24"/>
        </w:rPr>
        <w:t xml:space="preserve">②《财政部司法部关于政府采购支持监狱企业发展有关问题的通知》（财库〔2014〕68号）； </w:t>
      </w:r>
    </w:p>
    <w:p>
      <w:pPr>
        <w:spacing w:line="420" w:lineRule="exact"/>
        <w:ind w:firstLine="480" w:firstLineChars="200"/>
        <w:rPr>
          <w:rFonts w:ascii="宋体" w:hAnsi="宋体" w:cs="宋体"/>
          <w:sz w:val="24"/>
        </w:rPr>
      </w:pPr>
      <w:r>
        <w:rPr>
          <w:rFonts w:hint="eastAsia" w:ascii="MS Mincho" w:hAnsi="MS Mincho" w:cs="MS Mincho"/>
          <w:sz w:val="24"/>
        </w:rPr>
        <w:t>③</w:t>
      </w:r>
      <w:r>
        <w:rPr>
          <w:rFonts w:hint="eastAsia" w:ascii="宋体" w:hAnsi="宋体" w:cs="宋体"/>
          <w:sz w:val="24"/>
        </w:rPr>
        <w:t xml:space="preserve">《国务院办公厅关于建立政府强制采购节能产品制度的通知》（国办发〔2007〕51号）； </w:t>
      </w:r>
    </w:p>
    <w:p>
      <w:pPr>
        <w:spacing w:line="420" w:lineRule="exact"/>
        <w:ind w:firstLine="480" w:firstLineChars="200"/>
        <w:rPr>
          <w:rFonts w:ascii="宋体" w:hAnsi="宋体" w:cs="宋体"/>
          <w:sz w:val="24"/>
        </w:rPr>
      </w:pPr>
      <w:r>
        <w:rPr>
          <w:rFonts w:hint="eastAsia" w:ascii="宋体" w:hAnsi="宋体" w:cs="宋体"/>
          <w:sz w:val="24"/>
        </w:rPr>
        <w:t xml:space="preserve">④《财政部环保总局关于环境标志产品政府采购实施的意见》（财库[2006]90号）； </w:t>
      </w:r>
    </w:p>
    <w:p>
      <w:pPr>
        <w:spacing w:line="420" w:lineRule="exact"/>
        <w:ind w:firstLine="480" w:firstLineChars="200"/>
        <w:rPr>
          <w:rFonts w:ascii="宋体" w:hAnsi="宋体" w:cs="宋体"/>
          <w:sz w:val="24"/>
        </w:rPr>
      </w:pPr>
      <w:r>
        <w:rPr>
          <w:rFonts w:hint="eastAsia" w:ascii="宋体" w:hAnsi="宋体" w:cs="宋体"/>
          <w:sz w:val="24"/>
        </w:rPr>
        <w:t>⑤《财政部国家发展改革委关于印发〈节能产品政府采购实施意见〉的通知》（财库〔2004〕185号）；</w:t>
      </w:r>
    </w:p>
    <w:p>
      <w:pPr>
        <w:pStyle w:val="2"/>
        <w:spacing w:line="420" w:lineRule="exact"/>
        <w:ind w:firstLine="480" w:firstLineChars="200"/>
        <w:rPr>
          <w:rFonts w:ascii="宋体" w:hAnsi="宋体" w:cs="宋体"/>
          <w:sz w:val="24"/>
        </w:rPr>
      </w:pPr>
      <w:r>
        <w:rPr>
          <w:rFonts w:hint="eastAsia" w:ascii="宋体" w:hAnsi="宋体" w:cs="宋体"/>
          <w:sz w:val="24"/>
        </w:rPr>
        <w:t>⑥《三部门联合发布关于促进残疾人就业政府采购政策的通知》（财库〔2017〕141号）。</w:t>
      </w:r>
    </w:p>
    <w:p>
      <w:pPr>
        <w:pStyle w:val="2"/>
        <w:spacing w:line="420" w:lineRule="exact"/>
        <w:ind w:firstLine="0" w:firstLineChars="0"/>
        <w:rPr>
          <w:rFonts w:ascii="宋体" w:hAnsi="宋体" w:cs="宋体"/>
          <w:sz w:val="24"/>
        </w:rPr>
      </w:pPr>
      <w:r>
        <w:rPr>
          <w:rFonts w:hint="eastAsia" w:ascii="宋体" w:hAnsi="宋体" w:cs="宋体"/>
          <w:sz w:val="24"/>
        </w:rPr>
        <w:t>3.本项目的特定资格要求：</w:t>
      </w:r>
    </w:p>
    <w:p>
      <w:pPr>
        <w:spacing w:line="420" w:lineRule="exact"/>
        <w:ind w:firstLine="480" w:firstLineChars="200"/>
        <w:rPr>
          <w:rFonts w:ascii="宋体" w:hAnsi="宋体" w:cs="宋体"/>
          <w:sz w:val="24"/>
        </w:rPr>
      </w:pPr>
      <w:r>
        <w:rPr>
          <w:rFonts w:hint="eastAsia" w:ascii="宋体" w:hAnsi="宋体" w:cs="宋体"/>
          <w:kern w:val="0"/>
          <w:sz w:val="24"/>
          <w:szCs w:val="20"/>
        </w:rPr>
        <w:t>（1）</w:t>
      </w:r>
      <w:r>
        <w:rPr>
          <w:rFonts w:hint="eastAsia" w:ascii="宋体" w:hAnsi="宋体" w:cs="宋体"/>
          <w:bCs/>
          <w:color w:val="000000"/>
          <w:sz w:val="24"/>
        </w:rPr>
        <w:t>提供合格有效的法人或者其他组织的营业执照等证明文件或自然人的身份证明</w:t>
      </w:r>
      <w:r>
        <w:rPr>
          <w:rFonts w:hint="eastAsia" w:ascii="宋体" w:hAnsi="宋体" w:cs="宋体"/>
          <w:sz w:val="24"/>
        </w:rPr>
        <w:t>；</w:t>
      </w:r>
    </w:p>
    <w:p>
      <w:pPr>
        <w:spacing w:line="420" w:lineRule="exact"/>
        <w:ind w:firstLine="480" w:firstLineChars="200"/>
        <w:rPr>
          <w:rFonts w:ascii="宋体" w:hAnsi="宋体" w:cs="宋体"/>
          <w:sz w:val="24"/>
        </w:rPr>
      </w:pPr>
      <w:r>
        <w:rPr>
          <w:rFonts w:hint="eastAsia" w:ascii="宋体" w:hAnsi="宋体" w:cs="宋体"/>
          <w:kern w:val="0"/>
          <w:sz w:val="24"/>
          <w:szCs w:val="20"/>
        </w:rPr>
        <w:t>（2）</w:t>
      </w:r>
      <w:r>
        <w:rPr>
          <w:rFonts w:hint="eastAsia" w:ascii="宋体" w:hAnsi="宋体" w:cs="宋体"/>
          <w:sz w:val="24"/>
        </w:rPr>
        <w:t>财务状况报告：提供2018年度至今任一年的财务审计报告或其招标前三个月内其基本存款账户开户银行出具的资信证明及基本存款账户开户许可证；</w:t>
      </w:r>
    </w:p>
    <w:p>
      <w:pPr>
        <w:spacing w:line="420" w:lineRule="exact"/>
        <w:ind w:firstLine="480" w:firstLineChars="200"/>
        <w:rPr>
          <w:rFonts w:ascii="宋体" w:hAnsi="宋体" w:cs="宋体"/>
          <w:color w:val="auto"/>
          <w:sz w:val="24"/>
        </w:rPr>
      </w:pPr>
      <w:r>
        <w:rPr>
          <w:rFonts w:hint="eastAsia" w:ascii="宋体" w:hAnsi="宋体" w:cs="宋体"/>
          <w:kern w:val="0"/>
          <w:sz w:val="24"/>
          <w:szCs w:val="20"/>
        </w:rPr>
        <w:t>（3）</w:t>
      </w:r>
      <w:r>
        <w:rPr>
          <w:rFonts w:hint="eastAsia" w:ascii="宋体" w:hAnsi="宋体" w:cs="宋体"/>
          <w:sz w:val="24"/>
        </w:rPr>
        <w:t>税收缴纳证明：</w:t>
      </w:r>
      <w:r>
        <w:rPr>
          <w:rFonts w:hint="eastAsia" w:ascii="宋体" w:hAnsi="宋体" w:cs="宋体"/>
          <w:color w:val="auto"/>
          <w:sz w:val="24"/>
        </w:rPr>
        <w:t>提供招标截止日前一年内已缴纳的至少三个月的纳税证明或完税证明，依法免税的单位应提供相关证明材料；</w:t>
      </w:r>
    </w:p>
    <w:p>
      <w:pPr>
        <w:spacing w:line="420" w:lineRule="exact"/>
        <w:ind w:firstLine="480" w:firstLineChars="200"/>
        <w:rPr>
          <w:rFonts w:ascii="宋体" w:hAnsi="宋体" w:cs="宋体"/>
          <w:color w:val="auto"/>
          <w:sz w:val="24"/>
        </w:rPr>
      </w:pPr>
      <w:r>
        <w:rPr>
          <w:rFonts w:hint="eastAsia" w:ascii="宋体" w:hAnsi="宋体" w:cs="宋体"/>
          <w:color w:val="auto"/>
          <w:kern w:val="0"/>
          <w:sz w:val="24"/>
          <w:szCs w:val="20"/>
        </w:rPr>
        <w:t>（4）</w:t>
      </w:r>
      <w:r>
        <w:rPr>
          <w:rFonts w:hint="eastAsia" w:ascii="宋体" w:hAnsi="宋体" w:cs="宋体"/>
          <w:color w:val="auto"/>
          <w:sz w:val="24"/>
        </w:rPr>
        <w:t>社会保障资金缴纳证明：提供招标截止日前一年内已缴存的至少一个月的社会保障资金缴存单据或社保机构开具的社会保险参保缴费情况证明，依法不需要缴纳社会保障资金的单位应提供相关证明材料；</w:t>
      </w:r>
    </w:p>
    <w:p>
      <w:pPr>
        <w:spacing w:line="420" w:lineRule="exact"/>
        <w:ind w:firstLine="480" w:firstLineChars="200"/>
        <w:rPr>
          <w:rFonts w:ascii="宋体" w:hAnsi="宋体" w:cs="宋体"/>
          <w:sz w:val="24"/>
        </w:rPr>
      </w:pPr>
      <w:r>
        <w:rPr>
          <w:rFonts w:hint="eastAsia" w:ascii="宋体" w:hAnsi="宋体" w:cs="宋体"/>
          <w:color w:val="auto"/>
          <w:kern w:val="0"/>
          <w:sz w:val="24"/>
          <w:szCs w:val="20"/>
        </w:rPr>
        <w:t>（5）</w:t>
      </w:r>
      <w:r>
        <w:rPr>
          <w:rFonts w:hint="eastAsia" w:ascii="宋体" w:hAnsi="宋体" w:cs="宋体"/>
          <w:color w:val="auto"/>
          <w:sz w:val="24"/>
        </w:rPr>
        <w:t>出具参加本次政府采购活动前三年</w:t>
      </w:r>
      <w:r>
        <w:rPr>
          <w:rFonts w:hint="eastAsia" w:ascii="宋体" w:hAnsi="宋体" w:cs="宋体"/>
          <w:sz w:val="24"/>
        </w:rPr>
        <w:t>内在经营活动中没有重大违法记录的书面声明；</w:t>
      </w:r>
    </w:p>
    <w:p>
      <w:pPr>
        <w:spacing w:line="420" w:lineRule="exact"/>
        <w:ind w:firstLine="480" w:firstLineChars="200"/>
        <w:rPr>
          <w:rFonts w:ascii="宋体" w:hAnsi="宋体" w:cs="宋体"/>
          <w:sz w:val="24"/>
        </w:rPr>
      </w:pPr>
      <w:r>
        <w:rPr>
          <w:rFonts w:hint="eastAsia" w:ascii="宋体" w:hAnsi="宋体" w:cs="宋体"/>
          <w:sz w:val="24"/>
        </w:rPr>
        <w:t>（6）具备履行合同所必需的设备和专业技术能力的证明材料(由投标人根据项目需求提供说明材料或者承诺)；</w:t>
      </w:r>
    </w:p>
    <w:p>
      <w:pPr>
        <w:spacing w:line="420" w:lineRule="exact"/>
        <w:ind w:firstLine="480" w:firstLineChars="200"/>
        <w:rPr>
          <w:rFonts w:ascii="宋体" w:hAnsi="宋体" w:cs="宋体"/>
          <w:sz w:val="24"/>
        </w:rPr>
      </w:pPr>
      <w:r>
        <w:rPr>
          <w:rFonts w:hint="eastAsia" w:ascii="宋体" w:hAnsi="宋体" w:cs="宋体"/>
          <w:sz w:val="24"/>
        </w:rPr>
        <w:t>（7）投标人应授权合法的人员参加招标全过程，其中法定代表人直接参加投标的，须出具法人身份证(原件)，并与营业执照上信息一致。法定代表人授权代表参加投标的，须出具法定代表人授权书及授权代表身份证(原件)；</w:t>
      </w:r>
    </w:p>
    <w:p>
      <w:pPr>
        <w:spacing w:line="420" w:lineRule="exact"/>
        <w:ind w:firstLine="480" w:firstLineChars="200"/>
        <w:rPr>
          <w:rFonts w:ascii="宋体" w:hAnsi="宋体" w:cs="宋体"/>
          <w:bCs/>
          <w:color w:val="000000"/>
          <w:sz w:val="24"/>
        </w:rPr>
      </w:pPr>
      <w:r>
        <w:rPr>
          <w:rFonts w:hint="eastAsia" w:ascii="宋体" w:hAnsi="宋体" w:cs="宋体" w:eastAsiaTheme="majorEastAsia"/>
          <w:sz w:val="24"/>
        </w:rPr>
        <w:t>（8）</w:t>
      </w:r>
      <w:r>
        <w:rPr>
          <w:rFonts w:hint="eastAsia" w:asciiTheme="majorEastAsia" w:hAnsiTheme="majorEastAsia" w:eastAsiaTheme="majorEastAsia" w:cstheme="majorEastAsia"/>
          <w:sz w:val="24"/>
        </w:rPr>
        <w:t>投标人不得为“信用中国”网站（www.creditchina.gov.cn ）中列入失信被执行人和重大税收违法案件当事人名单的供应商，不得为中国政府采购网（www.ccgp.gov.cn ）政府采购严重违法失信行为记录名单中被财政部门禁止参加政府采购活动的供应商；</w:t>
      </w:r>
    </w:p>
    <w:p>
      <w:pPr>
        <w:spacing w:line="420" w:lineRule="exact"/>
        <w:ind w:firstLine="480" w:firstLineChars="200"/>
        <w:rPr>
          <w:rFonts w:ascii="宋体" w:hAnsi="宋体" w:cs="宋体"/>
          <w:bCs/>
          <w:color w:val="000000"/>
          <w:sz w:val="24"/>
        </w:rPr>
      </w:pPr>
      <w:r>
        <w:rPr>
          <w:rFonts w:hint="eastAsia" w:ascii="宋体" w:hAnsi="宋体" w:cs="宋体" w:eastAsiaTheme="majorEastAsia"/>
          <w:sz w:val="24"/>
        </w:rPr>
        <w:t>（9）</w:t>
      </w:r>
      <w:r>
        <w:rPr>
          <w:rFonts w:hint="eastAsia" w:asciiTheme="majorEastAsia" w:hAnsiTheme="majorEastAsia" w:eastAsiaTheme="majorEastAsia" w:cstheme="majorEastAsia"/>
          <w:sz w:val="24"/>
        </w:rPr>
        <w:t>本项目不接受联合体投标。</w:t>
      </w:r>
    </w:p>
    <w:p>
      <w:pPr>
        <w:pStyle w:val="2"/>
        <w:spacing w:line="420" w:lineRule="exact"/>
        <w:ind w:firstLine="0" w:firstLineChars="0"/>
        <w:rPr>
          <w:rFonts w:ascii="宋体" w:hAnsi="宋体" w:cs="宋体"/>
          <w:b/>
          <w:sz w:val="24"/>
        </w:rPr>
      </w:pPr>
      <w:bookmarkStart w:id="2" w:name="_Toc35393800"/>
      <w:bookmarkStart w:id="3" w:name="_Toc35393631"/>
      <w:r>
        <w:rPr>
          <w:rFonts w:hint="eastAsia" w:ascii="宋体" w:hAnsi="宋体" w:cs="宋体"/>
          <w:b/>
          <w:sz w:val="24"/>
        </w:rPr>
        <w:t>三、获取采购文件</w:t>
      </w:r>
      <w:bookmarkEnd w:id="2"/>
      <w:bookmarkEnd w:id="3"/>
    </w:p>
    <w:p>
      <w:pPr>
        <w:pStyle w:val="2"/>
        <w:spacing w:line="420" w:lineRule="exact"/>
        <w:ind w:firstLine="480" w:firstLineChars="200"/>
        <w:rPr>
          <w:rFonts w:ascii="宋体" w:hAnsi="宋体" w:cs="宋体"/>
          <w:sz w:val="24"/>
        </w:rPr>
      </w:pPr>
      <w:r>
        <w:rPr>
          <w:rFonts w:hint="eastAsia" w:ascii="宋体" w:hAnsi="宋体" w:cs="宋体"/>
          <w:sz w:val="24"/>
        </w:rPr>
        <w:t>1.时间：</w:t>
      </w:r>
      <w:r>
        <w:rPr>
          <w:rFonts w:hint="eastAsia" w:ascii="宋体" w:hAnsi="宋体" w:cs="宋体"/>
          <w:sz w:val="24"/>
          <w:u w:val="single"/>
        </w:rPr>
        <w:t>2020年12月14日</w:t>
      </w:r>
      <w:r>
        <w:rPr>
          <w:rFonts w:hint="eastAsia" w:ascii="宋体" w:hAnsi="宋体" w:cs="宋体"/>
          <w:sz w:val="24"/>
        </w:rPr>
        <w:t>至</w:t>
      </w:r>
      <w:r>
        <w:rPr>
          <w:rFonts w:hint="eastAsia" w:ascii="宋体" w:hAnsi="宋体" w:cs="宋体"/>
          <w:sz w:val="24"/>
          <w:u w:val="single"/>
        </w:rPr>
        <w:t xml:space="preserve"> 2020年12月</w:t>
      </w:r>
      <w:r>
        <w:rPr>
          <w:rFonts w:hint="eastAsia" w:ascii="宋体" w:hAnsi="宋体" w:cs="宋体"/>
          <w:sz w:val="24"/>
          <w:u w:val="single"/>
          <w:lang w:val="en-US" w:eastAsia="zh-CN"/>
        </w:rPr>
        <w:t>21</w:t>
      </w:r>
      <w:r>
        <w:rPr>
          <w:rFonts w:hint="eastAsia" w:ascii="宋体" w:hAnsi="宋体" w:cs="宋体"/>
          <w:sz w:val="24"/>
          <w:u w:val="single"/>
        </w:rPr>
        <w:t>日</w:t>
      </w:r>
      <w:r>
        <w:rPr>
          <w:rFonts w:hint="eastAsia" w:ascii="宋体" w:hAnsi="宋体" w:cs="宋体"/>
          <w:sz w:val="24"/>
        </w:rPr>
        <w:t>（上午9：00至下午17:00，北京时间，节假日除外）。</w:t>
      </w:r>
    </w:p>
    <w:p>
      <w:pPr>
        <w:spacing w:line="360" w:lineRule="auto"/>
        <w:ind w:firstLine="480" w:firstLineChars="200"/>
        <w:rPr>
          <w:rFonts w:ascii="宋体" w:hAnsi="宋体" w:cs="宋体"/>
          <w:sz w:val="24"/>
        </w:rPr>
      </w:pPr>
      <w:r>
        <w:rPr>
          <w:rFonts w:hint="eastAsia" w:ascii="宋体" w:hAnsi="宋体" w:cs="宋体"/>
          <w:sz w:val="24"/>
        </w:rPr>
        <w:t>2.获取地点：</w:t>
      </w:r>
      <w:r>
        <w:rPr>
          <w:rFonts w:hint="eastAsia" w:ascii="宋体" w:hAnsi="宋体" w:cs="宋体"/>
          <w:color w:val="000000"/>
          <w:kern w:val="0"/>
          <w:sz w:val="24"/>
        </w:rPr>
        <w:t>陕西省西安市莲湖区南二环西段财富中心</w:t>
      </w:r>
      <w:r>
        <w:rPr>
          <w:rFonts w:hint="eastAsia" w:ascii="宋体" w:hAnsi="宋体" w:cs="宋体"/>
          <w:sz w:val="24"/>
        </w:rPr>
        <w:t>I期</w:t>
      </w:r>
      <w:r>
        <w:rPr>
          <w:rFonts w:hint="eastAsia" w:ascii="宋体" w:hAnsi="宋体" w:cs="宋体"/>
          <w:color w:val="000000"/>
          <w:kern w:val="0"/>
          <w:sz w:val="24"/>
        </w:rPr>
        <w:t>A座802室</w:t>
      </w:r>
      <w:r>
        <w:rPr>
          <w:rFonts w:hint="eastAsia" w:ascii="宋体" w:hAnsi="宋体" w:cs="宋体"/>
          <w:sz w:val="24"/>
        </w:rPr>
        <w:t>。</w:t>
      </w:r>
    </w:p>
    <w:p>
      <w:pPr>
        <w:spacing w:line="360" w:lineRule="auto"/>
        <w:ind w:firstLine="480" w:firstLineChars="200"/>
        <w:rPr>
          <w:rFonts w:ascii="宋体" w:hAnsi="宋体" w:cs="宋体"/>
          <w:sz w:val="24"/>
        </w:rPr>
      </w:pPr>
      <w:r>
        <w:rPr>
          <w:rFonts w:hint="eastAsia" w:ascii="宋体" w:hAnsi="宋体" w:cs="宋体"/>
          <w:sz w:val="24"/>
        </w:rPr>
        <w:t>3.文件售价：免费赠送。</w:t>
      </w:r>
    </w:p>
    <w:p>
      <w:pPr>
        <w:spacing w:line="360" w:lineRule="auto"/>
        <w:ind w:firstLine="482" w:firstLineChars="200"/>
        <w:rPr>
          <w:rFonts w:ascii="宋体" w:hAnsi="宋体" w:cs="宋体"/>
          <w:sz w:val="24"/>
        </w:rPr>
      </w:pPr>
      <w:r>
        <w:rPr>
          <w:rFonts w:hint="eastAsia" w:ascii="宋体" w:hAnsi="宋体" w:cs="宋体"/>
          <w:b/>
          <w:bCs/>
          <w:sz w:val="24"/>
        </w:rPr>
        <w:t>注：获取磋商文件请携带单位介绍信原件、经办人身份证原件及复印件加盖公章。（现场获取，谢绝邮寄。）</w:t>
      </w:r>
    </w:p>
    <w:p>
      <w:pPr>
        <w:pStyle w:val="2"/>
        <w:spacing w:line="420" w:lineRule="exact"/>
        <w:ind w:firstLine="0" w:firstLineChars="0"/>
        <w:rPr>
          <w:rFonts w:ascii="宋体" w:hAnsi="宋体" w:cs="宋体"/>
          <w:b/>
          <w:sz w:val="24"/>
        </w:rPr>
      </w:pPr>
      <w:r>
        <w:rPr>
          <w:rFonts w:hint="eastAsia" w:ascii="黑体" w:hAnsi="黑体" w:cs="宋体"/>
          <w:b/>
          <w:sz w:val="28"/>
          <w:szCs w:val="28"/>
        </w:rPr>
        <w:t>四、响应文件提交</w:t>
      </w:r>
    </w:p>
    <w:p>
      <w:pPr>
        <w:pStyle w:val="2"/>
        <w:spacing w:line="420" w:lineRule="exact"/>
        <w:ind w:firstLine="480" w:firstLineChars="200"/>
        <w:rPr>
          <w:rFonts w:ascii="宋体" w:hAnsi="宋体" w:cs="宋体"/>
          <w:sz w:val="24"/>
        </w:rPr>
      </w:pPr>
      <w:r>
        <w:rPr>
          <w:rFonts w:hint="eastAsia" w:ascii="宋体" w:hAnsi="宋体" w:cs="宋体"/>
          <w:sz w:val="24"/>
        </w:rPr>
        <w:t>截止时间：</w:t>
      </w:r>
      <w:r>
        <w:rPr>
          <w:rFonts w:hint="eastAsia" w:ascii="宋体" w:hAnsi="宋体" w:cs="宋体"/>
          <w:sz w:val="24"/>
          <w:u w:val="single"/>
        </w:rPr>
        <w:t>2020年12月</w:t>
      </w:r>
      <w:r>
        <w:rPr>
          <w:rFonts w:hint="eastAsia" w:ascii="宋体" w:hAnsi="宋体" w:cs="宋体"/>
          <w:sz w:val="24"/>
          <w:u w:val="single"/>
          <w:lang w:val="en-US" w:eastAsia="zh-CN"/>
        </w:rPr>
        <w:t>25</w:t>
      </w:r>
      <w:r>
        <w:rPr>
          <w:rFonts w:hint="eastAsia" w:ascii="宋体" w:hAnsi="宋体" w:cs="宋体"/>
          <w:sz w:val="24"/>
          <w:u w:val="single"/>
        </w:rPr>
        <w:t xml:space="preserve">日14:30 </w:t>
      </w:r>
      <w:r>
        <w:rPr>
          <w:rFonts w:hint="eastAsia" w:ascii="宋体" w:hAnsi="宋体" w:cs="宋体"/>
          <w:sz w:val="24"/>
        </w:rPr>
        <w:t>（北京时间）。</w:t>
      </w:r>
    </w:p>
    <w:p>
      <w:pPr>
        <w:pStyle w:val="2"/>
        <w:spacing w:line="420" w:lineRule="exact"/>
        <w:ind w:firstLine="480" w:firstLineChars="200"/>
        <w:rPr>
          <w:rFonts w:ascii="宋体" w:hAnsi="宋体" w:cs="宋体"/>
          <w:sz w:val="24"/>
        </w:rPr>
      </w:pPr>
      <w:r>
        <w:rPr>
          <w:rFonts w:hint="eastAsia" w:ascii="宋体" w:hAnsi="宋体" w:cs="宋体"/>
          <w:sz w:val="24"/>
        </w:rPr>
        <w:t>地点：</w:t>
      </w:r>
      <w:r>
        <w:rPr>
          <w:rFonts w:hint="eastAsia" w:ascii="宋体" w:hAnsi="宋体" w:cs="宋体"/>
          <w:color w:val="000000"/>
          <w:sz w:val="24"/>
        </w:rPr>
        <w:t>陕西省西安市莲湖区南二环西段财富中心</w:t>
      </w:r>
      <w:r>
        <w:rPr>
          <w:rFonts w:hint="eastAsia" w:ascii="宋体" w:hAnsi="宋体" w:cs="宋体"/>
          <w:sz w:val="24"/>
        </w:rPr>
        <w:t>I期</w:t>
      </w:r>
      <w:r>
        <w:rPr>
          <w:rFonts w:hint="eastAsia" w:ascii="宋体" w:hAnsi="宋体" w:cs="宋体"/>
          <w:color w:val="000000"/>
          <w:sz w:val="24"/>
        </w:rPr>
        <w:t>A座802室</w:t>
      </w:r>
      <w:r>
        <w:rPr>
          <w:rFonts w:hint="eastAsia" w:ascii="宋体" w:hAnsi="宋体" w:cs="宋体"/>
          <w:sz w:val="24"/>
        </w:rPr>
        <w:t>。</w:t>
      </w:r>
    </w:p>
    <w:p>
      <w:pPr>
        <w:pStyle w:val="2"/>
        <w:spacing w:line="420" w:lineRule="exact"/>
        <w:ind w:firstLine="0" w:firstLineChars="0"/>
        <w:rPr>
          <w:rFonts w:ascii="宋体" w:hAnsi="宋体" w:cs="宋体"/>
          <w:b/>
          <w:sz w:val="24"/>
        </w:rPr>
      </w:pPr>
      <w:r>
        <w:rPr>
          <w:rFonts w:hint="eastAsia" w:ascii="黑体" w:hAnsi="黑体" w:cs="宋体"/>
          <w:b/>
          <w:sz w:val="28"/>
          <w:szCs w:val="28"/>
        </w:rPr>
        <w:t>五、开启</w:t>
      </w:r>
    </w:p>
    <w:p>
      <w:pPr>
        <w:pStyle w:val="2"/>
        <w:spacing w:line="420" w:lineRule="exact"/>
        <w:ind w:firstLine="480" w:firstLineChars="200"/>
        <w:rPr>
          <w:rFonts w:ascii="宋体" w:hAnsi="宋体" w:cs="宋体"/>
          <w:sz w:val="24"/>
        </w:rPr>
      </w:pPr>
      <w:r>
        <w:rPr>
          <w:rFonts w:hint="eastAsia" w:ascii="宋体" w:hAnsi="宋体" w:cs="宋体"/>
          <w:sz w:val="24"/>
        </w:rPr>
        <w:t>时间：</w:t>
      </w:r>
      <w:r>
        <w:rPr>
          <w:rFonts w:hint="eastAsia" w:ascii="宋体" w:hAnsi="宋体" w:cs="宋体"/>
          <w:sz w:val="24"/>
          <w:u w:val="single"/>
        </w:rPr>
        <w:t>2020年12月</w:t>
      </w:r>
      <w:r>
        <w:rPr>
          <w:rFonts w:hint="eastAsia" w:ascii="宋体" w:hAnsi="宋体" w:cs="宋体"/>
          <w:sz w:val="24"/>
          <w:u w:val="single"/>
          <w:lang w:val="en-US" w:eastAsia="zh-CN"/>
        </w:rPr>
        <w:t>25</w:t>
      </w:r>
      <w:r>
        <w:rPr>
          <w:rFonts w:hint="eastAsia" w:ascii="宋体" w:hAnsi="宋体" w:cs="宋体"/>
          <w:sz w:val="24"/>
          <w:u w:val="single"/>
        </w:rPr>
        <w:t xml:space="preserve">日14:30 </w:t>
      </w:r>
      <w:r>
        <w:rPr>
          <w:rFonts w:hint="eastAsia" w:ascii="宋体" w:hAnsi="宋体" w:cs="宋体"/>
          <w:sz w:val="24"/>
        </w:rPr>
        <w:t>（北京时间）。</w:t>
      </w:r>
    </w:p>
    <w:p>
      <w:pPr>
        <w:pStyle w:val="2"/>
        <w:spacing w:line="420" w:lineRule="exact"/>
        <w:ind w:firstLine="480" w:firstLineChars="200"/>
        <w:rPr>
          <w:rFonts w:ascii="宋体" w:hAnsi="宋体" w:cs="宋体"/>
          <w:sz w:val="24"/>
        </w:rPr>
      </w:pPr>
      <w:r>
        <w:rPr>
          <w:rFonts w:hint="eastAsia" w:ascii="宋体" w:hAnsi="宋体" w:cs="宋体"/>
          <w:sz w:val="24"/>
        </w:rPr>
        <w:t>地点：</w:t>
      </w:r>
      <w:r>
        <w:rPr>
          <w:rFonts w:hint="eastAsia" w:ascii="宋体" w:hAnsi="宋体" w:cs="宋体"/>
          <w:color w:val="000000"/>
          <w:sz w:val="24"/>
        </w:rPr>
        <w:t>陕西省西安市莲湖区南二环西段财富中心</w:t>
      </w:r>
      <w:r>
        <w:rPr>
          <w:rFonts w:hint="eastAsia" w:ascii="宋体" w:hAnsi="宋体" w:cs="宋体"/>
          <w:sz w:val="24"/>
        </w:rPr>
        <w:t>I期</w:t>
      </w:r>
      <w:r>
        <w:rPr>
          <w:rFonts w:hint="eastAsia" w:ascii="宋体" w:hAnsi="宋体" w:cs="宋体"/>
          <w:color w:val="000000"/>
          <w:sz w:val="24"/>
        </w:rPr>
        <w:t>A座802室</w:t>
      </w:r>
      <w:r>
        <w:rPr>
          <w:rFonts w:hint="eastAsia" w:ascii="宋体" w:hAnsi="宋体" w:cs="宋体"/>
          <w:sz w:val="24"/>
        </w:rPr>
        <w:t>。</w:t>
      </w:r>
    </w:p>
    <w:p>
      <w:pPr>
        <w:pStyle w:val="2"/>
        <w:spacing w:line="420" w:lineRule="exact"/>
        <w:ind w:firstLine="0" w:firstLineChars="0"/>
        <w:rPr>
          <w:rFonts w:ascii="宋体" w:hAnsi="宋体" w:cs="宋体"/>
          <w:b/>
          <w:sz w:val="24"/>
        </w:rPr>
      </w:pPr>
      <w:r>
        <w:rPr>
          <w:rFonts w:hint="eastAsia" w:ascii="宋体" w:hAnsi="宋体" w:cs="宋体"/>
          <w:b/>
          <w:sz w:val="24"/>
        </w:rPr>
        <w:t>六、公告期限</w:t>
      </w:r>
    </w:p>
    <w:p>
      <w:pPr>
        <w:pStyle w:val="2"/>
        <w:spacing w:line="420" w:lineRule="exact"/>
        <w:ind w:firstLine="480" w:firstLineChars="200"/>
        <w:rPr>
          <w:rFonts w:ascii="宋体" w:hAnsi="宋体" w:cs="宋体"/>
          <w:sz w:val="24"/>
        </w:rPr>
      </w:pPr>
      <w:r>
        <w:rPr>
          <w:rFonts w:hint="eastAsia" w:ascii="宋体" w:hAnsi="宋体" w:cs="宋体"/>
          <w:sz w:val="24"/>
        </w:rPr>
        <w:t>自本公告发布之日起3个工作日。</w:t>
      </w:r>
    </w:p>
    <w:p>
      <w:pPr>
        <w:pStyle w:val="2"/>
        <w:spacing w:line="420" w:lineRule="exact"/>
        <w:ind w:firstLine="0" w:firstLineChars="0"/>
        <w:rPr>
          <w:rFonts w:ascii="宋体" w:hAnsi="宋体" w:cs="宋体"/>
          <w:b/>
          <w:sz w:val="24"/>
        </w:rPr>
      </w:pPr>
      <w:bookmarkStart w:id="4" w:name="_Toc35393804"/>
      <w:bookmarkStart w:id="5" w:name="_Toc35393635"/>
      <w:r>
        <w:rPr>
          <w:rFonts w:hint="eastAsia" w:ascii="黑体" w:hAnsi="黑体" w:cs="宋体"/>
          <w:b/>
          <w:sz w:val="28"/>
          <w:szCs w:val="28"/>
        </w:rPr>
        <w:t>七、其他补充事宜</w:t>
      </w:r>
      <w:bookmarkEnd w:id="4"/>
      <w:bookmarkEnd w:id="5"/>
    </w:p>
    <w:p>
      <w:pPr>
        <w:pStyle w:val="2"/>
        <w:spacing w:line="420" w:lineRule="exact"/>
        <w:ind w:firstLine="480" w:firstLineChars="200"/>
        <w:rPr>
          <w:rFonts w:ascii="宋体" w:hAnsi="宋体" w:cs="宋体"/>
          <w:sz w:val="24"/>
        </w:rPr>
      </w:pPr>
    </w:p>
    <w:p>
      <w:pPr>
        <w:pStyle w:val="2"/>
        <w:spacing w:line="420" w:lineRule="exact"/>
        <w:ind w:firstLine="0" w:firstLineChars="0"/>
        <w:rPr>
          <w:rFonts w:ascii="黑体" w:hAnsi="黑体" w:cs="宋体"/>
          <w:sz w:val="28"/>
          <w:szCs w:val="28"/>
        </w:rPr>
      </w:pPr>
      <w:r>
        <w:rPr>
          <w:rFonts w:hint="eastAsia" w:ascii="宋体" w:hAnsi="宋体" w:cs="宋体"/>
          <w:b/>
          <w:sz w:val="24"/>
        </w:rPr>
        <w:t>八、</w:t>
      </w:r>
      <w:r>
        <w:rPr>
          <w:rFonts w:hint="eastAsia" w:ascii="黑体" w:hAnsi="黑体" w:cs="宋体"/>
          <w:b/>
          <w:sz w:val="28"/>
          <w:szCs w:val="28"/>
        </w:rPr>
        <w:t>凡对本次采购提出询问，请按</w:t>
      </w:r>
      <w:r>
        <w:rPr>
          <w:rFonts w:ascii="黑体" w:hAnsi="黑体" w:cs="宋体"/>
          <w:b/>
          <w:sz w:val="28"/>
          <w:szCs w:val="28"/>
        </w:rPr>
        <w:t>以下方式</w:t>
      </w:r>
      <w:r>
        <w:rPr>
          <w:rFonts w:hint="eastAsia" w:ascii="黑体" w:hAnsi="黑体" w:cs="宋体"/>
          <w:b/>
          <w:sz w:val="28"/>
          <w:szCs w:val="28"/>
        </w:rPr>
        <w:t>联系：</w:t>
      </w:r>
    </w:p>
    <w:p>
      <w:pPr>
        <w:spacing w:line="420" w:lineRule="exact"/>
        <w:ind w:firstLine="480" w:firstLineChars="200"/>
        <w:rPr>
          <w:rFonts w:ascii="宋体" w:hAnsi="宋体" w:cs="宋体"/>
          <w:color w:val="000000"/>
          <w:kern w:val="0"/>
          <w:sz w:val="24"/>
        </w:rPr>
      </w:pPr>
      <w:r>
        <w:rPr>
          <w:rFonts w:hint="eastAsia" w:ascii="宋体" w:hAnsi="宋体" w:cs="宋体"/>
          <w:color w:val="000000"/>
          <w:kern w:val="0"/>
          <w:sz w:val="24"/>
        </w:rPr>
        <w:t>1.采购人信息</w:t>
      </w:r>
    </w:p>
    <w:p>
      <w:pPr>
        <w:spacing w:line="420" w:lineRule="exact"/>
        <w:ind w:firstLine="480" w:firstLineChars="200"/>
        <w:rPr>
          <w:rFonts w:ascii="宋体" w:hAnsi="宋体" w:cs="宋体"/>
          <w:color w:val="000000"/>
          <w:kern w:val="0"/>
          <w:sz w:val="24"/>
        </w:rPr>
      </w:pPr>
      <w:r>
        <w:rPr>
          <w:rFonts w:hint="eastAsia" w:ascii="宋体" w:hAnsi="宋体" w:cs="宋体"/>
          <w:color w:val="000000"/>
          <w:kern w:val="0"/>
          <w:sz w:val="24"/>
        </w:rPr>
        <w:t>名    称：</w:t>
      </w:r>
      <w:r>
        <w:rPr>
          <w:rFonts w:hint="eastAsia" w:ascii="宋体" w:hAnsi="宋体" w:cs="宋体"/>
          <w:color w:val="000000"/>
          <w:kern w:val="0"/>
          <w:sz w:val="24"/>
          <w:u w:val="single"/>
        </w:rPr>
        <w:t>西安市阎良区西飞第一中学</w:t>
      </w:r>
    </w:p>
    <w:p>
      <w:pPr>
        <w:spacing w:line="420" w:lineRule="exact"/>
        <w:ind w:firstLine="480" w:firstLineChars="200"/>
        <w:rPr>
          <w:rFonts w:ascii="宋体" w:hAnsi="宋体" w:cs="宋体"/>
          <w:color w:val="000000"/>
          <w:kern w:val="0"/>
          <w:sz w:val="24"/>
        </w:rPr>
      </w:pPr>
      <w:r>
        <w:rPr>
          <w:rFonts w:hint="eastAsia" w:ascii="宋体" w:hAnsi="宋体" w:cs="宋体"/>
          <w:color w:val="000000"/>
          <w:kern w:val="0"/>
          <w:sz w:val="24"/>
        </w:rPr>
        <w:t>地    址：</w:t>
      </w:r>
      <w:r>
        <w:rPr>
          <w:rFonts w:hint="eastAsia" w:ascii="宋体" w:hAnsi="宋体" w:cs="宋体"/>
          <w:sz w:val="24"/>
          <w:u w:val="single"/>
        </w:rPr>
        <w:t>西安市阎良区倚天中路</w:t>
      </w:r>
    </w:p>
    <w:p>
      <w:pPr>
        <w:pStyle w:val="2"/>
        <w:spacing w:line="420" w:lineRule="exact"/>
        <w:ind w:firstLine="480" w:firstLineChars="200"/>
        <w:rPr>
          <w:rFonts w:ascii="宋体" w:hAnsi="宋体" w:cs="宋体"/>
          <w:color w:val="000000"/>
          <w:sz w:val="24"/>
          <w:u w:val="single"/>
        </w:rPr>
      </w:pPr>
      <w:r>
        <w:rPr>
          <w:rFonts w:hint="eastAsia" w:ascii="宋体" w:hAnsi="宋体" w:cs="宋体"/>
          <w:color w:val="000000"/>
          <w:sz w:val="24"/>
        </w:rPr>
        <w:t>联系方式：</w:t>
      </w:r>
      <w:r>
        <w:rPr>
          <w:rFonts w:hint="eastAsia" w:ascii="宋体" w:hAnsi="宋体" w:cs="宋体"/>
          <w:kern w:val="0"/>
          <w:sz w:val="24"/>
          <w:u w:val="single"/>
        </w:rPr>
        <w:t>029</w:t>
      </w:r>
      <w:r>
        <w:rPr>
          <w:rFonts w:hint="eastAsia" w:ascii="宋体" w:hAnsi="宋体" w:cs="宋体"/>
          <w:kern w:val="0"/>
          <w:sz w:val="24"/>
          <w:u w:val="single"/>
          <w:lang w:val="en-US" w:eastAsia="zh-CN"/>
        </w:rPr>
        <w:t>-</w:t>
      </w:r>
      <w:r>
        <w:rPr>
          <w:rFonts w:hint="eastAsia" w:ascii="宋体" w:hAnsi="宋体" w:cs="宋体"/>
          <w:kern w:val="0"/>
          <w:sz w:val="24"/>
          <w:u w:val="single"/>
        </w:rPr>
        <w:t>81669737</w:t>
      </w:r>
    </w:p>
    <w:p>
      <w:pPr>
        <w:pStyle w:val="2"/>
        <w:spacing w:line="420" w:lineRule="exact"/>
        <w:ind w:firstLine="480" w:firstLineChars="200"/>
        <w:rPr>
          <w:rFonts w:ascii="宋体" w:hAnsi="宋体" w:cs="宋体"/>
          <w:color w:val="000000"/>
          <w:sz w:val="24"/>
        </w:rPr>
      </w:pPr>
      <w:r>
        <w:rPr>
          <w:rFonts w:hint="eastAsia" w:ascii="宋体" w:hAnsi="宋体" w:cs="宋体"/>
          <w:color w:val="000000"/>
          <w:sz w:val="24"/>
        </w:rPr>
        <w:t>2.采购代理机构信息</w:t>
      </w:r>
    </w:p>
    <w:p>
      <w:pPr>
        <w:spacing w:line="420" w:lineRule="exact"/>
        <w:ind w:firstLine="480" w:firstLineChars="200"/>
        <w:rPr>
          <w:rFonts w:ascii="宋体" w:hAnsi="宋体" w:cs="宋体"/>
          <w:sz w:val="24"/>
        </w:rPr>
      </w:pPr>
      <w:r>
        <w:rPr>
          <w:rFonts w:hint="eastAsia" w:ascii="宋体" w:hAnsi="宋体" w:cs="宋体"/>
          <w:sz w:val="24"/>
        </w:rPr>
        <w:t>名   称：</w:t>
      </w:r>
      <w:r>
        <w:rPr>
          <w:rFonts w:hint="eastAsia" w:ascii="宋体" w:hAnsi="宋体" w:cs="宋体"/>
          <w:sz w:val="24"/>
          <w:u w:val="single"/>
        </w:rPr>
        <w:t>陕西盛世嘉和招标有限公司</w:t>
      </w:r>
    </w:p>
    <w:p>
      <w:pPr>
        <w:spacing w:line="420" w:lineRule="exact"/>
        <w:ind w:firstLine="480" w:firstLineChars="200"/>
        <w:rPr>
          <w:rFonts w:ascii="宋体" w:hAnsi="宋体" w:cs="宋体"/>
          <w:sz w:val="24"/>
        </w:rPr>
      </w:pPr>
      <w:r>
        <w:rPr>
          <w:rFonts w:hint="eastAsia" w:ascii="宋体" w:hAnsi="宋体" w:cs="宋体"/>
          <w:sz w:val="24"/>
        </w:rPr>
        <w:t>地   址：</w:t>
      </w:r>
      <w:r>
        <w:rPr>
          <w:rFonts w:hint="eastAsia" w:ascii="宋体" w:hAnsi="宋体" w:cs="宋体"/>
          <w:color w:val="000000"/>
          <w:kern w:val="0"/>
          <w:sz w:val="24"/>
          <w:u w:val="single"/>
        </w:rPr>
        <w:t>陕西省西安市莲湖区南二环西段财富中心</w:t>
      </w:r>
      <w:r>
        <w:rPr>
          <w:rFonts w:hint="eastAsia" w:ascii="宋体" w:hAnsi="宋体" w:cs="宋体"/>
          <w:sz w:val="24"/>
          <w:u w:val="single"/>
        </w:rPr>
        <w:t>I期</w:t>
      </w:r>
      <w:r>
        <w:rPr>
          <w:rFonts w:hint="eastAsia" w:ascii="宋体" w:hAnsi="宋体" w:cs="宋体"/>
          <w:color w:val="000000"/>
          <w:kern w:val="0"/>
          <w:sz w:val="24"/>
          <w:u w:val="single"/>
        </w:rPr>
        <w:t>A座802室</w:t>
      </w:r>
      <w:r>
        <w:rPr>
          <w:rFonts w:hint="eastAsia" w:ascii="宋体" w:hAnsi="宋体" w:cs="宋体"/>
          <w:sz w:val="24"/>
        </w:rPr>
        <w:t xml:space="preserve"> </w:t>
      </w:r>
    </w:p>
    <w:p>
      <w:pPr>
        <w:pStyle w:val="2"/>
        <w:spacing w:line="420" w:lineRule="exact"/>
        <w:ind w:firstLine="480" w:firstLineChars="200"/>
        <w:rPr>
          <w:rFonts w:ascii="宋体" w:hAnsi="宋体" w:cs="宋体"/>
          <w:sz w:val="24"/>
        </w:rPr>
      </w:pPr>
      <w:r>
        <w:rPr>
          <w:rFonts w:hint="eastAsia" w:ascii="宋体" w:hAnsi="宋体" w:cs="宋体"/>
          <w:sz w:val="24"/>
        </w:rPr>
        <w:t>联系方式：</w:t>
      </w:r>
      <w:r>
        <w:rPr>
          <w:rFonts w:hint="eastAsia" w:ascii="宋体" w:hAnsi="宋体" w:cs="宋体"/>
          <w:sz w:val="24"/>
          <w:u w:val="single"/>
        </w:rPr>
        <w:t>029-88601068</w:t>
      </w:r>
    </w:p>
    <w:p>
      <w:pPr>
        <w:pStyle w:val="2"/>
        <w:spacing w:line="420" w:lineRule="exact"/>
        <w:ind w:firstLine="480" w:firstLineChars="200"/>
        <w:rPr>
          <w:rFonts w:ascii="宋体" w:hAnsi="宋体" w:cs="宋体"/>
          <w:sz w:val="24"/>
        </w:rPr>
      </w:pPr>
      <w:r>
        <w:rPr>
          <w:rFonts w:hint="eastAsia" w:ascii="宋体" w:hAnsi="宋体" w:cs="宋体"/>
          <w:sz w:val="24"/>
        </w:rPr>
        <w:t>3.项目联系方式</w:t>
      </w:r>
    </w:p>
    <w:p>
      <w:pPr>
        <w:pStyle w:val="2"/>
        <w:spacing w:line="420" w:lineRule="exact"/>
        <w:ind w:firstLine="480" w:firstLineChars="200"/>
        <w:rPr>
          <w:rFonts w:ascii="宋体" w:hAnsi="宋体" w:cs="宋体"/>
          <w:sz w:val="24"/>
          <w:u w:val="single"/>
        </w:rPr>
      </w:pPr>
      <w:r>
        <w:rPr>
          <w:rFonts w:hint="eastAsia" w:ascii="宋体" w:hAnsi="宋体" w:cs="宋体"/>
          <w:sz w:val="24"/>
        </w:rPr>
        <w:t>项目联系人：</w:t>
      </w:r>
      <w:r>
        <w:rPr>
          <w:rFonts w:hint="eastAsia" w:ascii="宋体" w:hAnsi="宋体" w:cs="宋体"/>
          <w:sz w:val="24"/>
          <w:u w:val="single"/>
        </w:rPr>
        <w:t xml:space="preserve">  熊浩森  贺培文  徐彦犀    </w:t>
      </w:r>
    </w:p>
    <w:p>
      <w:pPr>
        <w:pStyle w:val="2"/>
        <w:spacing w:line="420" w:lineRule="exact"/>
        <w:ind w:firstLine="480" w:firstLineChars="200"/>
        <w:rPr>
          <w:rFonts w:ascii="宋体" w:hAnsi="宋体" w:cs="宋体"/>
          <w:sz w:val="24"/>
          <w:u w:val="single"/>
        </w:rPr>
      </w:pPr>
      <w:r>
        <w:rPr>
          <w:rFonts w:hint="eastAsia" w:ascii="宋体" w:hAnsi="宋体" w:cs="宋体"/>
          <w:sz w:val="24"/>
        </w:rPr>
        <w:t>电      话：</w:t>
      </w:r>
      <w:r>
        <w:rPr>
          <w:rFonts w:hint="eastAsia" w:ascii="宋体" w:hAnsi="宋体" w:cs="宋体"/>
          <w:sz w:val="24"/>
          <w:u w:val="single"/>
        </w:rPr>
        <w:t>029-88601068</w:t>
      </w:r>
    </w:p>
    <w:p>
      <w:pPr>
        <w:spacing w:line="360" w:lineRule="auto"/>
        <w:ind w:firstLine="480" w:firstLineChars="200"/>
        <w:rPr>
          <w:rFonts w:ascii="宋体" w:hAnsi="宋体" w:cs="宋体"/>
          <w:sz w:val="24"/>
        </w:rPr>
      </w:pPr>
      <w:r>
        <w:rPr>
          <w:rFonts w:hint="eastAsia" w:ascii="宋体" w:hAnsi="宋体" w:cs="宋体"/>
          <w:sz w:val="24"/>
        </w:rPr>
        <w:t>电子邮件：</w:t>
      </w:r>
      <w:r>
        <w:rPr>
          <w:rFonts w:hint="eastAsia" w:ascii="宋体" w:hAnsi="宋体" w:cs="宋体"/>
          <w:sz w:val="24"/>
          <w:u w:val="single"/>
        </w:rPr>
        <w:t>ssjh0516@163.com</w:t>
      </w:r>
    </w:p>
    <w:p>
      <w:pPr>
        <w:spacing w:line="460" w:lineRule="exact"/>
        <w:jc w:val="right"/>
        <w:rPr>
          <w:rStyle w:val="32"/>
          <w:rFonts w:ascii="宋体" w:hAnsi="宋体" w:cs="宋体"/>
        </w:rPr>
        <w:sectPr>
          <w:footerReference r:id="rId11" w:type="first"/>
          <w:headerReference r:id="rId9" w:type="default"/>
          <w:footerReference r:id="rId10" w:type="default"/>
          <w:pgSz w:w="11906" w:h="16838"/>
          <w:pgMar w:top="1440" w:right="1134" w:bottom="1440" w:left="1134" w:header="1077" w:footer="907" w:gutter="0"/>
          <w:pgNumType w:start="1"/>
          <w:cols w:space="0" w:num="1"/>
          <w:titlePg/>
          <w:docGrid w:type="lines" w:linePitch="312" w:charSpace="0"/>
        </w:sectPr>
      </w:pPr>
      <w:r>
        <w:rPr>
          <w:rFonts w:hint="eastAsia" w:ascii="宋体" w:hAnsi="宋体" w:cs="宋体"/>
          <w:sz w:val="24"/>
        </w:rPr>
        <w:t xml:space="preserve">                                </w:t>
      </w:r>
      <w:bookmarkStart w:id="6" w:name="_Toc32178"/>
      <w:bookmarkStart w:id="7" w:name="_Toc24992"/>
      <w:bookmarkStart w:id="8" w:name="_Toc30528_WPSOffice_Level1"/>
      <w:bookmarkStart w:id="9" w:name="_Toc31684"/>
      <w:bookmarkStart w:id="10" w:name="_Toc12741"/>
      <w:bookmarkStart w:id="11" w:name="_Toc24991"/>
    </w:p>
    <w:p>
      <w:pPr>
        <w:spacing w:line="520" w:lineRule="exact"/>
        <w:jc w:val="center"/>
        <w:rPr>
          <w:rFonts w:ascii="宋体" w:hAnsi="宋体" w:cs="宋体"/>
        </w:rPr>
      </w:pPr>
      <w:bookmarkStart w:id="12" w:name="_Toc25677"/>
      <w:r>
        <w:rPr>
          <w:rStyle w:val="32"/>
          <w:rFonts w:hint="eastAsia" w:ascii="宋体" w:hAnsi="宋体" w:cs="宋体"/>
        </w:rPr>
        <w:t>第二部分 供应商须知</w:t>
      </w:r>
      <w:bookmarkEnd w:id="6"/>
      <w:bookmarkEnd w:id="7"/>
      <w:bookmarkEnd w:id="8"/>
      <w:bookmarkEnd w:id="9"/>
      <w:bookmarkEnd w:id="10"/>
      <w:bookmarkEnd w:id="11"/>
      <w:bookmarkEnd w:id="12"/>
    </w:p>
    <w:p>
      <w:pPr>
        <w:jc w:val="center"/>
        <w:rPr>
          <w:rFonts w:ascii="宋体" w:hAnsi="宋体" w:cs="宋体"/>
          <w:b/>
          <w:sz w:val="28"/>
          <w:szCs w:val="28"/>
        </w:rPr>
      </w:pPr>
      <w:r>
        <w:rPr>
          <w:rFonts w:hint="eastAsia" w:ascii="宋体" w:hAnsi="宋体" w:cs="宋体"/>
          <w:b/>
          <w:sz w:val="28"/>
          <w:szCs w:val="28"/>
        </w:rPr>
        <w:t>供应商须知前附表</w:t>
      </w:r>
    </w:p>
    <w:tbl>
      <w:tblPr>
        <w:tblStyle w:val="19"/>
        <w:tblW w:w="957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06"/>
        <w:gridCol w:w="1480"/>
        <w:gridCol w:w="718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1" w:hRule="atLeast"/>
          <w:jc w:val="center"/>
        </w:trPr>
        <w:tc>
          <w:tcPr>
            <w:tcW w:w="906" w:type="dxa"/>
            <w:noWrap/>
            <w:vAlign w:val="center"/>
          </w:tcPr>
          <w:p>
            <w:pPr>
              <w:spacing w:line="336" w:lineRule="auto"/>
              <w:jc w:val="center"/>
              <w:rPr>
                <w:rFonts w:ascii="宋体" w:hAnsi="宋体" w:cs="宋体"/>
                <w:sz w:val="24"/>
              </w:rPr>
            </w:pPr>
            <w:bookmarkStart w:id="13" w:name="_Toc29590"/>
            <w:r>
              <w:rPr>
                <w:rFonts w:hint="eastAsia" w:ascii="宋体" w:hAnsi="宋体" w:cs="宋体"/>
                <w:b/>
                <w:sz w:val="24"/>
              </w:rPr>
              <w:t>序号</w:t>
            </w:r>
          </w:p>
        </w:tc>
        <w:tc>
          <w:tcPr>
            <w:tcW w:w="1480" w:type="dxa"/>
            <w:noWrap/>
            <w:vAlign w:val="center"/>
          </w:tcPr>
          <w:p>
            <w:pPr>
              <w:spacing w:line="336" w:lineRule="auto"/>
              <w:jc w:val="center"/>
              <w:rPr>
                <w:rFonts w:ascii="宋体" w:hAnsi="宋体" w:cs="宋体"/>
                <w:sz w:val="24"/>
              </w:rPr>
            </w:pPr>
            <w:r>
              <w:rPr>
                <w:rFonts w:hint="eastAsia" w:ascii="宋体" w:hAnsi="宋体" w:cs="宋体"/>
                <w:b/>
                <w:sz w:val="24"/>
              </w:rPr>
              <w:t>条款名称</w:t>
            </w:r>
          </w:p>
        </w:tc>
        <w:tc>
          <w:tcPr>
            <w:tcW w:w="7187" w:type="dxa"/>
            <w:noWrap/>
            <w:vAlign w:val="center"/>
          </w:tcPr>
          <w:p>
            <w:pPr>
              <w:spacing w:line="336" w:lineRule="auto"/>
              <w:jc w:val="center"/>
              <w:rPr>
                <w:rFonts w:ascii="宋体" w:hAnsi="宋体" w:cs="宋体"/>
                <w:sz w:val="24"/>
              </w:rPr>
            </w:pPr>
            <w:r>
              <w:rPr>
                <w:rFonts w:hint="eastAsia" w:ascii="宋体" w:hAnsi="宋体" w:cs="宋体"/>
                <w:b/>
                <w:sz w:val="24"/>
              </w:rPr>
              <w:t>说明和要求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06" w:type="dxa"/>
            <w:noWrap/>
            <w:vAlign w:val="center"/>
          </w:tcPr>
          <w:p>
            <w:pPr>
              <w:jc w:val="center"/>
              <w:rPr>
                <w:rFonts w:ascii="宋体" w:hAnsi="宋体" w:cs="宋体"/>
                <w:sz w:val="24"/>
              </w:rPr>
            </w:pPr>
            <w:r>
              <w:rPr>
                <w:rFonts w:hint="eastAsia" w:ascii="宋体" w:hAnsi="宋体" w:cs="宋体"/>
                <w:sz w:val="24"/>
              </w:rPr>
              <w:t>1</w:t>
            </w:r>
          </w:p>
        </w:tc>
        <w:tc>
          <w:tcPr>
            <w:tcW w:w="1480" w:type="dxa"/>
            <w:noWrap/>
            <w:vAlign w:val="center"/>
          </w:tcPr>
          <w:p>
            <w:pPr>
              <w:spacing w:line="440" w:lineRule="exact"/>
              <w:jc w:val="center"/>
              <w:rPr>
                <w:rFonts w:ascii="宋体" w:hAnsi="宋体" w:cs="宋体"/>
                <w:sz w:val="24"/>
              </w:rPr>
            </w:pPr>
            <w:r>
              <w:rPr>
                <w:rFonts w:hint="eastAsia" w:ascii="宋体" w:hAnsi="宋体" w:cs="宋体"/>
                <w:sz w:val="24"/>
              </w:rPr>
              <w:t>采购人</w:t>
            </w:r>
          </w:p>
        </w:tc>
        <w:tc>
          <w:tcPr>
            <w:tcW w:w="7187" w:type="dxa"/>
            <w:noWrap/>
            <w:vAlign w:val="center"/>
          </w:tcPr>
          <w:p>
            <w:pPr>
              <w:spacing w:line="440" w:lineRule="exact"/>
              <w:rPr>
                <w:rFonts w:ascii="宋体" w:hAnsi="宋体" w:cs="宋体"/>
                <w:sz w:val="24"/>
              </w:rPr>
            </w:pPr>
            <w:r>
              <w:rPr>
                <w:rFonts w:hint="eastAsia" w:ascii="宋体" w:hAnsi="宋体" w:cs="宋体"/>
                <w:sz w:val="24"/>
              </w:rPr>
              <w:t>名称：西安市阎良区西飞第一中学</w:t>
            </w:r>
          </w:p>
          <w:p>
            <w:pPr>
              <w:spacing w:line="440" w:lineRule="exact"/>
              <w:rPr>
                <w:rFonts w:ascii="宋体" w:hAnsi="宋体" w:cs="宋体"/>
                <w:sz w:val="24"/>
              </w:rPr>
            </w:pPr>
            <w:r>
              <w:rPr>
                <w:rFonts w:hint="eastAsia" w:ascii="宋体" w:hAnsi="宋体" w:cs="宋体"/>
                <w:sz w:val="24"/>
              </w:rPr>
              <w:t>地址：西安市阎良区倚天中路</w:t>
            </w:r>
          </w:p>
          <w:p>
            <w:pPr>
              <w:spacing w:line="440" w:lineRule="exact"/>
              <w:rPr>
                <w:rFonts w:ascii="宋体" w:hAnsi="宋体" w:cs="宋体"/>
                <w:sz w:val="24"/>
              </w:rPr>
            </w:pPr>
            <w:r>
              <w:rPr>
                <w:rFonts w:hint="eastAsia" w:ascii="宋体" w:hAnsi="宋体" w:cs="宋体"/>
                <w:sz w:val="24"/>
              </w:rPr>
              <w:t>联系方式：029-81669737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06" w:type="dxa"/>
            <w:noWrap/>
            <w:vAlign w:val="center"/>
          </w:tcPr>
          <w:p>
            <w:pPr>
              <w:jc w:val="center"/>
              <w:rPr>
                <w:rFonts w:ascii="宋体" w:hAnsi="宋体" w:cs="宋体"/>
                <w:sz w:val="24"/>
              </w:rPr>
            </w:pPr>
            <w:r>
              <w:rPr>
                <w:rFonts w:hint="eastAsia" w:ascii="宋体" w:hAnsi="宋体" w:cs="宋体"/>
                <w:sz w:val="24"/>
              </w:rPr>
              <w:t>2</w:t>
            </w:r>
          </w:p>
        </w:tc>
        <w:tc>
          <w:tcPr>
            <w:tcW w:w="1480" w:type="dxa"/>
            <w:noWrap/>
            <w:vAlign w:val="center"/>
          </w:tcPr>
          <w:p>
            <w:pPr>
              <w:spacing w:line="440" w:lineRule="exact"/>
              <w:jc w:val="center"/>
              <w:rPr>
                <w:rFonts w:ascii="宋体" w:hAnsi="宋体" w:cs="宋体"/>
                <w:sz w:val="24"/>
              </w:rPr>
            </w:pPr>
            <w:r>
              <w:rPr>
                <w:rFonts w:hint="eastAsia" w:ascii="宋体" w:hAnsi="宋体" w:cs="宋体"/>
                <w:sz w:val="24"/>
              </w:rPr>
              <w:t>采购代理机构</w:t>
            </w:r>
          </w:p>
        </w:tc>
        <w:tc>
          <w:tcPr>
            <w:tcW w:w="7187" w:type="dxa"/>
            <w:noWrap/>
            <w:vAlign w:val="center"/>
          </w:tcPr>
          <w:p>
            <w:pPr>
              <w:spacing w:line="440" w:lineRule="exact"/>
              <w:rPr>
                <w:rFonts w:ascii="宋体" w:hAnsi="宋体" w:cs="宋体"/>
                <w:sz w:val="24"/>
              </w:rPr>
            </w:pPr>
            <w:r>
              <w:rPr>
                <w:rFonts w:hint="eastAsia" w:ascii="宋体" w:hAnsi="宋体" w:cs="宋体"/>
                <w:sz w:val="24"/>
              </w:rPr>
              <w:t>名称：陕西盛世嘉和招标有限公司</w:t>
            </w:r>
          </w:p>
          <w:p>
            <w:pPr>
              <w:spacing w:line="440" w:lineRule="exact"/>
              <w:rPr>
                <w:rFonts w:ascii="宋体" w:hAnsi="宋体" w:cs="宋体"/>
                <w:sz w:val="24"/>
              </w:rPr>
            </w:pPr>
            <w:r>
              <w:rPr>
                <w:rFonts w:hint="eastAsia" w:ascii="宋体" w:hAnsi="宋体" w:cs="宋体"/>
                <w:sz w:val="24"/>
              </w:rPr>
              <w:t xml:space="preserve">地址：陕西省西安市莲湖区南二环西段财富中心A座802室 </w:t>
            </w:r>
          </w:p>
          <w:p>
            <w:pPr>
              <w:spacing w:line="440" w:lineRule="exact"/>
              <w:rPr>
                <w:rFonts w:ascii="宋体" w:hAnsi="宋体" w:cs="宋体"/>
                <w:sz w:val="24"/>
              </w:rPr>
            </w:pPr>
            <w:r>
              <w:rPr>
                <w:rFonts w:hint="eastAsia" w:ascii="宋体" w:hAnsi="宋体" w:cs="宋体"/>
                <w:sz w:val="24"/>
              </w:rPr>
              <w:t>联系人：熊浩森  贺培文  徐彦犀</w:t>
            </w:r>
          </w:p>
          <w:p>
            <w:pPr>
              <w:spacing w:line="440" w:lineRule="exact"/>
              <w:rPr>
                <w:rFonts w:ascii="宋体" w:hAnsi="宋体" w:cs="宋体"/>
                <w:sz w:val="24"/>
              </w:rPr>
            </w:pPr>
            <w:r>
              <w:rPr>
                <w:rFonts w:hint="eastAsia" w:ascii="宋体" w:hAnsi="宋体" w:cs="宋体"/>
                <w:sz w:val="24"/>
              </w:rPr>
              <w:t>联系方式：029-88601068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906" w:type="dxa"/>
            <w:noWrap/>
            <w:vAlign w:val="center"/>
          </w:tcPr>
          <w:p>
            <w:pPr>
              <w:jc w:val="center"/>
              <w:rPr>
                <w:rFonts w:ascii="宋体" w:hAnsi="宋体" w:cs="宋体"/>
                <w:sz w:val="24"/>
              </w:rPr>
            </w:pPr>
            <w:r>
              <w:rPr>
                <w:rFonts w:hint="eastAsia" w:ascii="宋体" w:hAnsi="宋体" w:cs="宋体"/>
                <w:sz w:val="24"/>
              </w:rPr>
              <w:t>3</w:t>
            </w:r>
          </w:p>
        </w:tc>
        <w:tc>
          <w:tcPr>
            <w:tcW w:w="1480" w:type="dxa"/>
            <w:noWrap/>
            <w:vAlign w:val="center"/>
          </w:tcPr>
          <w:p>
            <w:pPr>
              <w:spacing w:line="440" w:lineRule="exact"/>
              <w:jc w:val="center"/>
              <w:rPr>
                <w:rFonts w:ascii="宋体" w:hAnsi="宋体" w:cs="宋体"/>
                <w:sz w:val="24"/>
              </w:rPr>
            </w:pPr>
            <w:r>
              <w:rPr>
                <w:rFonts w:hint="eastAsia" w:ascii="宋体" w:hAnsi="宋体" w:cs="宋体"/>
                <w:sz w:val="24"/>
              </w:rPr>
              <w:t>项目名称</w:t>
            </w:r>
          </w:p>
        </w:tc>
        <w:tc>
          <w:tcPr>
            <w:tcW w:w="7187" w:type="dxa"/>
            <w:noWrap/>
            <w:vAlign w:val="center"/>
          </w:tcPr>
          <w:p>
            <w:pPr>
              <w:spacing w:line="440" w:lineRule="exact"/>
              <w:rPr>
                <w:rFonts w:ascii="宋体" w:hAnsi="宋体" w:cs="宋体"/>
                <w:sz w:val="24"/>
              </w:rPr>
            </w:pPr>
            <w:r>
              <w:rPr>
                <w:rFonts w:hint="eastAsia" w:ascii="宋体" w:hAnsi="宋体" w:cs="宋体"/>
                <w:sz w:val="24"/>
              </w:rPr>
              <w:t>西安市阎良区西飞第一中学智慧校园综合管理平台建设项目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06" w:type="dxa"/>
            <w:noWrap/>
            <w:vAlign w:val="center"/>
          </w:tcPr>
          <w:p>
            <w:pPr>
              <w:jc w:val="center"/>
              <w:rPr>
                <w:rFonts w:ascii="宋体" w:hAnsi="宋体" w:cs="宋体"/>
                <w:sz w:val="24"/>
              </w:rPr>
            </w:pPr>
            <w:r>
              <w:rPr>
                <w:rFonts w:hint="eastAsia" w:ascii="宋体" w:hAnsi="宋体" w:cs="宋体"/>
                <w:sz w:val="24"/>
              </w:rPr>
              <w:t>4</w:t>
            </w:r>
          </w:p>
        </w:tc>
        <w:tc>
          <w:tcPr>
            <w:tcW w:w="1480" w:type="dxa"/>
            <w:noWrap/>
            <w:vAlign w:val="center"/>
          </w:tcPr>
          <w:p>
            <w:pPr>
              <w:spacing w:line="440" w:lineRule="exact"/>
              <w:jc w:val="center"/>
              <w:rPr>
                <w:rFonts w:ascii="宋体" w:hAnsi="宋体" w:cs="宋体"/>
                <w:sz w:val="24"/>
              </w:rPr>
            </w:pPr>
            <w:r>
              <w:rPr>
                <w:rFonts w:hint="eastAsia" w:ascii="宋体" w:hAnsi="宋体" w:cs="宋体"/>
                <w:sz w:val="24"/>
              </w:rPr>
              <w:t>项目编号</w:t>
            </w:r>
          </w:p>
        </w:tc>
        <w:tc>
          <w:tcPr>
            <w:tcW w:w="7187" w:type="dxa"/>
            <w:noWrap/>
            <w:vAlign w:val="center"/>
          </w:tcPr>
          <w:p>
            <w:pPr>
              <w:tabs>
                <w:tab w:val="left" w:pos="2331"/>
              </w:tabs>
              <w:spacing w:line="440" w:lineRule="exact"/>
              <w:rPr>
                <w:rFonts w:ascii="宋体" w:hAnsi="宋体" w:cs="宋体"/>
                <w:sz w:val="24"/>
              </w:rPr>
            </w:pPr>
            <w:r>
              <w:rPr>
                <w:rFonts w:hint="eastAsia" w:ascii="宋体" w:hAnsi="宋体" w:cs="宋体"/>
                <w:sz w:val="24"/>
              </w:rPr>
              <w:t>SXSJHT2020-304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06" w:type="dxa"/>
            <w:noWrap/>
            <w:vAlign w:val="center"/>
          </w:tcPr>
          <w:p>
            <w:pPr>
              <w:jc w:val="center"/>
              <w:rPr>
                <w:rFonts w:ascii="宋体" w:hAnsi="宋体" w:cs="宋体"/>
                <w:sz w:val="24"/>
              </w:rPr>
            </w:pPr>
            <w:r>
              <w:rPr>
                <w:rFonts w:hint="eastAsia" w:ascii="宋体" w:hAnsi="宋体" w:cs="宋体"/>
                <w:sz w:val="24"/>
              </w:rPr>
              <w:t>5</w:t>
            </w:r>
          </w:p>
        </w:tc>
        <w:tc>
          <w:tcPr>
            <w:tcW w:w="1480" w:type="dxa"/>
            <w:noWrap/>
            <w:vAlign w:val="center"/>
          </w:tcPr>
          <w:p>
            <w:pPr>
              <w:spacing w:line="440" w:lineRule="exact"/>
              <w:jc w:val="center"/>
              <w:rPr>
                <w:rFonts w:ascii="宋体" w:hAnsi="宋体" w:cs="宋体"/>
                <w:sz w:val="24"/>
              </w:rPr>
            </w:pPr>
            <w:r>
              <w:rPr>
                <w:rFonts w:hint="eastAsia" w:ascii="宋体" w:hAnsi="宋体" w:cs="宋体"/>
                <w:sz w:val="24"/>
              </w:rPr>
              <w:t>项目性质</w:t>
            </w:r>
          </w:p>
        </w:tc>
        <w:tc>
          <w:tcPr>
            <w:tcW w:w="7187" w:type="dxa"/>
            <w:noWrap/>
            <w:vAlign w:val="center"/>
          </w:tcPr>
          <w:p>
            <w:pPr>
              <w:spacing w:line="440" w:lineRule="exact"/>
              <w:rPr>
                <w:rFonts w:ascii="宋体" w:hAnsi="宋体" w:cs="宋体"/>
                <w:sz w:val="24"/>
              </w:rPr>
            </w:pPr>
            <w:r>
              <w:rPr>
                <w:rFonts w:hint="eastAsia" w:ascii="宋体" w:hAnsi="宋体" w:cs="宋体"/>
                <w:sz w:val="24"/>
              </w:rPr>
              <w:t>财政拨款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06" w:type="dxa"/>
            <w:noWrap/>
            <w:vAlign w:val="center"/>
          </w:tcPr>
          <w:p>
            <w:pPr>
              <w:jc w:val="center"/>
              <w:rPr>
                <w:rFonts w:ascii="宋体" w:hAnsi="宋体" w:cs="宋体"/>
                <w:sz w:val="24"/>
              </w:rPr>
            </w:pPr>
            <w:r>
              <w:rPr>
                <w:rFonts w:hint="eastAsia" w:ascii="宋体" w:hAnsi="宋体" w:cs="宋体"/>
                <w:sz w:val="24"/>
              </w:rPr>
              <w:t>6</w:t>
            </w:r>
          </w:p>
        </w:tc>
        <w:tc>
          <w:tcPr>
            <w:tcW w:w="1480" w:type="dxa"/>
            <w:noWrap/>
            <w:vAlign w:val="center"/>
          </w:tcPr>
          <w:p>
            <w:pPr>
              <w:spacing w:line="440" w:lineRule="exact"/>
              <w:jc w:val="center"/>
              <w:rPr>
                <w:rFonts w:ascii="宋体" w:hAnsi="宋体" w:cs="宋体"/>
                <w:sz w:val="24"/>
              </w:rPr>
            </w:pPr>
            <w:r>
              <w:rPr>
                <w:rFonts w:hint="eastAsia" w:ascii="宋体" w:hAnsi="宋体" w:cs="宋体"/>
                <w:sz w:val="24"/>
              </w:rPr>
              <w:t>资金落实情况</w:t>
            </w:r>
          </w:p>
        </w:tc>
        <w:tc>
          <w:tcPr>
            <w:tcW w:w="7187" w:type="dxa"/>
            <w:noWrap/>
            <w:vAlign w:val="center"/>
          </w:tcPr>
          <w:p>
            <w:pPr>
              <w:spacing w:line="440" w:lineRule="exact"/>
              <w:rPr>
                <w:rFonts w:ascii="宋体" w:hAnsi="宋体" w:cs="宋体"/>
                <w:sz w:val="24"/>
              </w:rPr>
            </w:pPr>
            <w:r>
              <w:rPr>
                <w:rFonts w:hint="eastAsia" w:ascii="宋体" w:hAnsi="宋体" w:cs="宋体"/>
                <w:sz w:val="24"/>
              </w:rPr>
              <w:t>已落实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06" w:type="dxa"/>
            <w:noWrap/>
            <w:vAlign w:val="center"/>
          </w:tcPr>
          <w:p>
            <w:pPr>
              <w:jc w:val="center"/>
              <w:rPr>
                <w:rFonts w:ascii="宋体" w:hAnsi="宋体" w:cs="宋体"/>
                <w:sz w:val="24"/>
              </w:rPr>
            </w:pPr>
            <w:r>
              <w:rPr>
                <w:rFonts w:hint="eastAsia" w:ascii="宋体" w:hAnsi="宋体" w:cs="宋体"/>
                <w:sz w:val="24"/>
              </w:rPr>
              <w:t>7</w:t>
            </w:r>
          </w:p>
        </w:tc>
        <w:tc>
          <w:tcPr>
            <w:tcW w:w="1480" w:type="dxa"/>
            <w:noWrap/>
            <w:vAlign w:val="center"/>
          </w:tcPr>
          <w:p>
            <w:pPr>
              <w:spacing w:line="440" w:lineRule="exact"/>
              <w:jc w:val="center"/>
              <w:rPr>
                <w:rFonts w:ascii="宋体" w:hAnsi="宋体" w:cs="宋体"/>
                <w:sz w:val="24"/>
              </w:rPr>
            </w:pPr>
            <w:r>
              <w:rPr>
                <w:rFonts w:hint="eastAsia" w:ascii="宋体" w:hAnsi="宋体" w:cs="宋体"/>
                <w:sz w:val="24"/>
              </w:rPr>
              <w:t>项目用途</w:t>
            </w:r>
          </w:p>
        </w:tc>
        <w:tc>
          <w:tcPr>
            <w:tcW w:w="7187" w:type="dxa"/>
            <w:noWrap/>
            <w:vAlign w:val="center"/>
          </w:tcPr>
          <w:p>
            <w:pPr>
              <w:spacing w:line="440" w:lineRule="exact"/>
              <w:rPr>
                <w:rFonts w:ascii="宋体" w:hAnsi="宋体" w:cs="宋体"/>
                <w:sz w:val="24"/>
              </w:rPr>
            </w:pPr>
            <w:r>
              <w:rPr>
                <w:rFonts w:hint="eastAsia" w:ascii="宋体" w:hAnsi="宋体" w:cs="宋体"/>
                <w:sz w:val="24"/>
              </w:rPr>
              <w:t>教学设施建设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06" w:type="dxa"/>
            <w:noWrap/>
            <w:vAlign w:val="center"/>
          </w:tcPr>
          <w:p>
            <w:pPr>
              <w:jc w:val="center"/>
              <w:rPr>
                <w:rFonts w:ascii="宋体" w:hAnsi="宋体" w:cs="宋体"/>
                <w:sz w:val="24"/>
              </w:rPr>
            </w:pPr>
            <w:r>
              <w:rPr>
                <w:rFonts w:hint="eastAsia" w:ascii="宋体" w:hAnsi="宋体" w:cs="宋体"/>
                <w:sz w:val="24"/>
              </w:rPr>
              <w:t>8</w:t>
            </w:r>
          </w:p>
        </w:tc>
        <w:tc>
          <w:tcPr>
            <w:tcW w:w="1480" w:type="dxa"/>
            <w:noWrap/>
            <w:vAlign w:val="center"/>
          </w:tcPr>
          <w:p>
            <w:pPr>
              <w:spacing w:line="440" w:lineRule="exact"/>
              <w:jc w:val="center"/>
              <w:rPr>
                <w:rFonts w:ascii="宋体" w:hAnsi="宋体" w:cs="宋体"/>
                <w:sz w:val="24"/>
              </w:rPr>
            </w:pPr>
            <w:r>
              <w:rPr>
                <w:rFonts w:hint="eastAsia" w:ascii="宋体" w:hAnsi="宋体" w:cs="宋体"/>
                <w:sz w:val="24"/>
              </w:rPr>
              <w:t>主要</w:t>
            </w:r>
          </w:p>
          <w:p>
            <w:pPr>
              <w:spacing w:line="440" w:lineRule="exact"/>
              <w:jc w:val="center"/>
              <w:rPr>
                <w:rFonts w:ascii="宋体" w:hAnsi="宋体" w:cs="宋体"/>
                <w:sz w:val="24"/>
              </w:rPr>
            </w:pPr>
            <w:r>
              <w:rPr>
                <w:rFonts w:hint="eastAsia" w:ascii="宋体" w:hAnsi="宋体" w:cs="宋体"/>
                <w:sz w:val="24"/>
              </w:rPr>
              <w:t>采购内容</w:t>
            </w:r>
          </w:p>
        </w:tc>
        <w:tc>
          <w:tcPr>
            <w:tcW w:w="7187" w:type="dxa"/>
            <w:noWrap/>
            <w:vAlign w:val="center"/>
          </w:tcPr>
          <w:p>
            <w:pPr>
              <w:spacing w:line="460" w:lineRule="exact"/>
              <w:rPr>
                <w:rFonts w:ascii="宋体" w:hAnsi="宋体" w:cs="宋体"/>
                <w:sz w:val="24"/>
              </w:rPr>
            </w:pPr>
            <w:r>
              <w:rPr>
                <w:rFonts w:hint="eastAsia" w:ascii="宋体" w:hAnsi="宋体" w:cs="宋体"/>
                <w:color w:val="000000"/>
                <w:sz w:val="24"/>
              </w:rPr>
              <w:t>本采购内容包括对</w:t>
            </w:r>
            <w:r>
              <w:rPr>
                <w:rFonts w:hint="eastAsia" w:ascii="宋体" w:hAnsi="宋体" w:cs="宋体"/>
                <w:sz w:val="24"/>
              </w:rPr>
              <w:t>智慧校园综合管理平台</w:t>
            </w:r>
            <w:r>
              <w:rPr>
                <w:rFonts w:hint="eastAsia" w:ascii="宋体" w:hAnsi="宋体" w:cs="宋体"/>
                <w:color w:val="000000"/>
                <w:sz w:val="24"/>
              </w:rPr>
              <w:t>设备采购</w:t>
            </w:r>
            <w:r>
              <w:rPr>
                <w:rFonts w:hint="eastAsia" w:ascii="宋体" w:hAnsi="宋体" w:cs="宋体"/>
                <w:sz w:val="24"/>
              </w:rPr>
              <w:t>，主要内容有摄像机、交换机等，具体内容详见磋商文件技术参数及要求</w:t>
            </w:r>
            <w:r>
              <w:rPr>
                <w:rFonts w:hint="eastAsia" w:ascii="宋体" w:hAnsi="宋体" w:cs="宋体"/>
                <w:color w:val="000000"/>
                <w:sz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06" w:type="dxa"/>
            <w:noWrap/>
            <w:vAlign w:val="center"/>
          </w:tcPr>
          <w:p>
            <w:pPr>
              <w:jc w:val="center"/>
              <w:rPr>
                <w:rFonts w:ascii="宋体" w:hAnsi="宋体" w:cs="宋体"/>
                <w:sz w:val="24"/>
              </w:rPr>
            </w:pPr>
            <w:r>
              <w:rPr>
                <w:rFonts w:hint="eastAsia" w:ascii="宋体" w:hAnsi="宋体" w:cs="宋体"/>
                <w:sz w:val="24"/>
              </w:rPr>
              <w:t>9</w:t>
            </w:r>
          </w:p>
        </w:tc>
        <w:tc>
          <w:tcPr>
            <w:tcW w:w="1480" w:type="dxa"/>
            <w:noWrap/>
            <w:vAlign w:val="center"/>
          </w:tcPr>
          <w:p>
            <w:pPr>
              <w:spacing w:line="440" w:lineRule="exact"/>
              <w:jc w:val="center"/>
              <w:rPr>
                <w:rFonts w:ascii="宋体" w:hAnsi="宋体" w:cs="宋体"/>
                <w:sz w:val="24"/>
              </w:rPr>
            </w:pPr>
            <w:r>
              <w:rPr>
                <w:rFonts w:hint="eastAsia" w:ascii="宋体" w:hAnsi="宋体" w:cs="宋体"/>
                <w:sz w:val="24"/>
              </w:rPr>
              <w:t>交货安装期、质保期、项目实施地点</w:t>
            </w:r>
          </w:p>
        </w:tc>
        <w:tc>
          <w:tcPr>
            <w:tcW w:w="7187" w:type="dxa"/>
            <w:noWrap/>
            <w:vAlign w:val="center"/>
          </w:tcPr>
          <w:p>
            <w:pPr>
              <w:spacing w:line="460" w:lineRule="exact"/>
              <w:rPr>
                <w:rFonts w:ascii="宋体" w:hAnsi="宋体" w:cs="宋体"/>
                <w:color w:val="auto"/>
                <w:sz w:val="24"/>
                <w:highlight w:val="none"/>
              </w:rPr>
            </w:pPr>
            <w:r>
              <w:rPr>
                <w:rFonts w:hint="eastAsia" w:ascii="宋体" w:hAnsi="宋体" w:cs="宋体"/>
                <w:sz w:val="24"/>
              </w:rPr>
              <w:t>交货</w:t>
            </w:r>
            <w:r>
              <w:rPr>
                <w:rFonts w:hint="eastAsia" w:ascii="宋体" w:hAnsi="宋体" w:cs="宋体"/>
                <w:color w:val="auto"/>
                <w:sz w:val="24"/>
                <w:highlight w:val="none"/>
              </w:rPr>
              <w:t>安装期：合同签订后30日历日内安装调试完成</w:t>
            </w:r>
          </w:p>
          <w:p>
            <w:pPr>
              <w:spacing w:line="460" w:lineRule="exact"/>
              <w:rPr>
                <w:rFonts w:ascii="宋体" w:hAnsi="宋体" w:cs="宋体"/>
                <w:color w:val="auto"/>
                <w:sz w:val="24"/>
                <w:highlight w:val="none"/>
              </w:rPr>
            </w:pPr>
            <w:r>
              <w:rPr>
                <w:rFonts w:hint="eastAsia" w:ascii="宋体" w:hAnsi="宋体" w:cs="宋体"/>
                <w:color w:val="auto"/>
                <w:sz w:val="24"/>
                <w:highlight w:val="none"/>
              </w:rPr>
              <w:t>质保期：</w:t>
            </w:r>
            <w:r>
              <w:rPr>
                <w:rFonts w:hint="eastAsia" w:ascii="宋体" w:hAnsi="宋体" w:cs="宋体"/>
                <w:bCs/>
                <w:color w:val="auto"/>
                <w:sz w:val="24"/>
                <w:highlight w:val="none"/>
              </w:rPr>
              <w:t>整体验收合格后质保贰年，质保期内免费维护、三年内免费升级</w:t>
            </w:r>
          </w:p>
          <w:p>
            <w:pPr>
              <w:spacing w:line="460" w:lineRule="exact"/>
              <w:rPr>
                <w:rFonts w:ascii="宋体" w:hAnsi="宋体" w:cs="宋体"/>
              </w:rPr>
            </w:pPr>
            <w:r>
              <w:rPr>
                <w:rFonts w:hint="eastAsia" w:ascii="宋体" w:hAnsi="宋体" w:cs="宋体"/>
                <w:sz w:val="24"/>
              </w:rPr>
              <w:t>项目实施地点：采购人指定地点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06" w:type="dxa"/>
            <w:noWrap/>
            <w:vAlign w:val="center"/>
          </w:tcPr>
          <w:p>
            <w:pPr>
              <w:jc w:val="center"/>
              <w:rPr>
                <w:rFonts w:ascii="宋体" w:hAnsi="宋体" w:cs="宋体"/>
                <w:sz w:val="24"/>
              </w:rPr>
            </w:pPr>
            <w:r>
              <w:rPr>
                <w:rFonts w:hint="eastAsia" w:ascii="宋体" w:hAnsi="宋体" w:cs="宋体"/>
                <w:sz w:val="24"/>
              </w:rPr>
              <w:t>10</w:t>
            </w:r>
          </w:p>
        </w:tc>
        <w:tc>
          <w:tcPr>
            <w:tcW w:w="1480" w:type="dxa"/>
            <w:noWrap/>
            <w:vAlign w:val="center"/>
          </w:tcPr>
          <w:p>
            <w:pPr>
              <w:spacing w:line="360" w:lineRule="auto"/>
              <w:jc w:val="center"/>
              <w:rPr>
                <w:rFonts w:ascii="宋体" w:hAnsi="宋体" w:cs="宋体"/>
                <w:sz w:val="24"/>
              </w:rPr>
            </w:pPr>
            <w:r>
              <w:rPr>
                <w:rFonts w:hint="eastAsia" w:ascii="宋体" w:hAnsi="宋体" w:cs="宋体"/>
                <w:sz w:val="24"/>
              </w:rPr>
              <w:t>磋商文件发售</w:t>
            </w:r>
          </w:p>
        </w:tc>
        <w:tc>
          <w:tcPr>
            <w:tcW w:w="7187" w:type="dxa"/>
            <w:noWrap/>
            <w:vAlign w:val="center"/>
          </w:tcPr>
          <w:p>
            <w:pPr>
              <w:spacing w:line="360" w:lineRule="auto"/>
              <w:rPr>
                <w:rFonts w:ascii="宋体" w:hAnsi="宋体" w:cs="宋体"/>
                <w:color w:val="000000"/>
                <w:kern w:val="0"/>
                <w:sz w:val="24"/>
              </w:rPr>
            </w:pPr>
            <w:r>
              <w:rPr>
                <w:rFonts w:hint="eastAsia" w:ascii="宋体" w:hAnsi="宋体" w:cs="宋体"/>
                <w:color w:val="000000"/>
                <w:kern w:val="0"/>
                <w:sz w:val="24"/>
              </w:rPr>
              <w:t>发售时间：</w:t>
            </w:r>
            <w:r>
              <w:rPr>
                <w:rFonts w:hint="eastAsia" w:ascii="宋体" w:hAnsi="宋体" w:cs="宋体"/>
                <w:sz w:val="24"/>
                <w:u w:val="single"/>
              </w:rPr>
              <w:t>2020年12月14日</w:t>
            </w:r>
            <w:r>
              <w:rPr>
                <w:rFonts w:hint="eastAsia" w:ascii="宋体" w:hAnsi="宋体" w:cs="宋体"/>
                <w:sz w:val="24"/>
              </w:rPr>
              <w:t>至</w:t>
            </w:r>
            <w:r>
              <w:rPr>
                <w:rFonts w:hint="eastAsia" w:ascii="宋体" w:hAnsi="宋体" w:cs="宋体"/>
                <w:sz w:val="24"/>
                <w:u w:val="single"/>
              </w:rPr>
              <w:t xml:space="preserve"> 2020年12月</w:t>
            </w:r>
            <w:r>
              <w:rPr>
                <w:rFonts w:hint="eastAsia" w:ascii="宋体" w:hAnsi="宋体" w:cs="宋体"/>
                <w:sz w:val="24"/>
                <w:u w:val="single"/>
                <w:lang w:val="en-US" w:eastAsia="zh-CN"/>
              </w:rPr>
              <w:t>21</w:t>
            </w:r>
            <w:r>
              <w:rPr>
                <w:rFonts w:hint="eastAsia" w:ascii="宋体" w:hAnsi="宋体" w:cs="宋体"/>
                <w:sz w:val="24"/>
                <w:u w:val="single"/>
              </w:rPr>
              <w:t>日</w:t>
            </w:r>
            <w:r>
              <w:rPr>
                <w:rFonts w:hint="eastAsia" w:ascii="宋体" w:hAnsi="宋体" w:cs="宋体"/>
                <w:sz w:val="24"/>
              </w:rPr>
              <w:t>（上午9：00至下午17:00，北京时间，节假日除外）</w:t>
            </w:r>
            <w:r>
              <w:rPr>
                <w:rFonts w:hint="eastAsia" w:ascii="宋体" w:hAnsi="宋体" w:cs="宋体"/>
                <w:color w:val="000000"/>
                <w:kern w:val="0"/>
                <w:sz w:val="24"/>
              </w:rPr>
              <w:t>。</w:t>
            </w:r>
          </w:p>
          <w:p>
            <w:pPr>
              <w:spacing w:line="360" w:lineRule="auto"/>
              <w:rPr>
                <w:rFonts w:ascii="宋体" w:hAnsi="宋体" w:cs="宋体"/>
                <w:sz w:val="24"/>
              </w:rPr>
            </w:pPr>
            <w:r>
              <w:rPr>
                <w:rFonts w:hint="eastAsia" w:ascii="宋体" w:hAnsi="宋体" w:cs="宋体"/>
                <w:sz w:val="24"/>
              </w:rPr>
              <w:t>发售地点：</w:t>
            </w:r>
            <w:r>
              <w:rPr>
                <w:rFonts w:hint="eastAsia" w:ascii="宋体" w:hAnsi="宋体" w:cs="宋体"/>
                <w:color w:val="000000"/>
                <w:kern w:val="0"/>
                <w:sz w:val="24"/>
              </w:rPr>
              <w:t>陕西省西安市莲湖区南二环西段财富中心</w:t>
            </w:r>
            <w:r>
              <w:rPr>
                <w:rFonts w:hint="eastAsia" w:ascii="宋体" w:hAnsi="宋体" w:cs="宋体"/>
                <w:sz w:val="24"/>
              </w:rPr>
              <w:t>I期</w:t>
            </w:r>
            <w:r>
              <w:rPr>
                <w:rFonts w:hint="eastAsia" w:ascii="宋体" w:hAnsi="宋体" w:cs="宋体"/>
                <w:color w:val="000000"/>
                <w:kern w:val="0"/>
                <w:sz w:val="24"/>
              </w:rPr>
              <w:t>A座802室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06" w:type="dxa"/>
            <w:noWrap/>
            <w:vAlign w:val="center"/>
          </w:tcPr>
          <w:p>
            <w:pPr>
              <w:jc w:val="center"/>
              <w:rPr>
                <w:rFonts w:ascii="宋体" w:hAnsi="宋体" w:cs="宋体"/>
                <w:sz w:val="24"/>
              </w:rPr>
            </w:pPr>
            <w:r>
              <w:rPr>
                <w:rFonts w:hint="eastAsia" w:ascii="宋体" w:hAnsi="宋体" w:cs="宋体"/>
                <w:sz w:val="24"/>
              </w:rPr>
              <w:t>11</w:t>
            </w:r>
          </w:p>
        </w:tc>
        <w:tc>
          <w:tcPr>
            <w:tcW w:w="1480" w:type="dxa"/>
            <w:noWrap/>
            <w:vAlign w:val="center"/>
          </w:tcPr>
          <w:p>
            <w:pPr>
              <w:spacing w:line="440" w:lineRule="exact"/>
              <w:jc w:val="center"/>
              <w:rPr>
                <w:rFonts w:ascii="宋体" w:hAnsi="宋体" w:cs="宋体"/>
                <w:sz w:val="24"/>
              </w:rPr>
            </w:pPr>
            <w:r>
              <w:rPr>
                <w:rFonts w:hint="eastAsia" w:ascii="宋体" w:hAnsi="宋体" w:cs="宋体"/>
                <w:sz w:val="24"/>
              </w:rPr>
              <w:t>联合体磋商</w:t>
            </w:r>
          </w:p>
        </w:tc>
        <w:tc>
          <w:tcPr>
            <w:tcW w:w="7187" w:type="dxa"/>
            <w:noWrap/>
            <w:vAlign w:val="center"/>
          </w:tcPr>
          <w:p>
            <w:pPr>
              <w:spacing w:line="440" w:lineRule="exact"/>
              <w:rPr>
                <w:rFonts w:ascii="宋体" w:hAnsi="宋体" w:cs="宋体"/>
                <w:sz w:val="24"/>
              </w:rPr>
            </w:pPr>
            <w:r>
              <w:rPr>
                <w:rFonts w:hint="eastAsia" w:ascii="宋体" w:hAnsi="宋体" w:cs="宋体"/>
                <w:sz w:val="24"/>
              </w:rPr>
              <w:t>不接受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06" w:type="dxa"/>
            <w:noWrap/>
            <w:vAlign w:val="center"/>
          </w:tcPr>
          <w:p>
            <w:pPr>
              <w:jc w:val="center"/>
              <w:rPr>
                <w:rFonts w:ascii="宋体" w:hAnsi="宋体" w:cs="宋体"/>
                <w:sz w:val="24"/>
              </w:rPr>
            </w:pPr>
            <w:r>
              <w:rPr>
                <w:rFonts w:hint="eastAsia" w:ascii="宋体" w:hAnsi="宋体" w:cs="宋体"/>
                <w:sz w:val="24"/>
              </w:rPr>
              <w:t>12</w:t>
            </w:r>
          </w:p>
        </w:tc>
        <w:tc>
          <w:tcPr>
            <w:tcW w:w="1480" w:type="dxa"/>
            <w:noWrap/>
            <w:vAlign w:val="center"/>
          </w:tcPr>
          <w:p>
            <w:pPr>
              <w:spacing w:line="440" w:lineRule="exact"/>
              <w:jc w:val="center"/>
              <w:rPr>
                <w:rFonts w:ascii="宋体" w:hAnsi="宋体" w:cs="宋体"/>
                <w:sz w:val="24"/>
              </w:rPr>
            </w:pPr>
            <w:r>
              <w:rPr>
                <w:rFonts w:hint="eastAsia" w:ascii="宋体" w:hAnsi="宋体" w:cs="宋体"/>
                <w:sz w:val="24"/>
                <w:lang w:val="zh-CN"/>
              </w:rPr>
              <w:t>考察现场、标前答疑会</w:t>
            </w:r>
          </w:p>
        </w:tc>
        <w:tc>
          <w:tcPr>
            <w:tcW w:w="7187" w:type="dxa"/>
            <w:noWrap/>
            <w:vAlign w:val="center"/>
          </w:tcPr>
          <w:p>
            <w:pPr>
              <w:spacing w:line="440" w:lineRule="exact"/>
              <w:rPr>
                <w:rFonts w:ascii="宋体" w:hAnsi="宋体" w:cs="宋体"/>
                <w:sz w:val="24"/>
              </w:rPr>
            </w:pPr>
            <w:r>
              <w:rPr>
                <w:rFonts w:hint="eastAsia" w:ascii="宋体" w:hAnsi="宋体" w:cs="宋体"/>
                <w:sz w:val="24"/>
                <w:lang w:val="zh-CN"/>
              </w:rPr>
              <w:t>不组织，可自行考察现场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06" w:type="dxa"/>
            <w:noWrap/>
            <w:vAlign w:val="center"/>
          </w:tcPr>
          <w:p>
            <w:pPr>
              <w:jc w:val="center"/>
              <w:rPr>
                <w:rFonts w:ascii="宋体" w:hAnsi="宋体" w:cs="宋体"/>
                <w:sz w:val="24"/>
              </w:rPr>
            </w:pPr>
            <w:r>
              <w:rPr>
                <w:rFonts w:hint="eastAsia" w:ascii="宋体" w:hAnsi="宋体" w:cs="宋体"/>
                <w:sz w:val="24"/>
              </w:rPr>
              <w:t>13</w:t>
            </w:r>
          </w:p>
        </w:tc>
        <w:tc>
          <w:tcPr>
            <w:tcW w:w="1480" w:type="dxa"/>
            <w:noWrap/>
            <w:vAlign w:val="center"/>
          </w:tcPr>
          <w:p>
            <w:pPr>
              <w:spacing w:line="440" w:lineRule="exact"/>
              <w:jc w:val="center"/>
              <w:rPr>
                <w:rFonts w:ascii="宋体" w:hAnsi="宋体" w:cs="宋体"/>
                <w:sz w:val="24"/>
              </w:rPr>
            </w:pPr>
            <w:r>
              <w:rPr>
                <w:rFonts w:hint="eastAsia" w:ascii="宋体" w:hAnsi="宋体" w:cs="宋体"/>
                <w:sz w:val="24"/>
              </w:rPr>
              <w:t>供应商对磋商文件提出问题的截止时间</w:t>
            </w:r>
          </w:p>
        </w:tc>
        <w:tc>
          <w:tcPr>
            <w:tcW w:w="7187" w:type="dxa"/>
            <w:noWrap/>
            <w:vAlign w:val="center"/>
          </w:tcPr>
          <w:p>
            <w:pPr>
              <w:spacing w:line="440" w:lineRule="exact"/>
              <w:rPr>
                <w:rFonts w:ascii="宋体" w:hAnsi="宋体" w:cs="宋体"/>
                <w:sz w:val="24"/>
              </w:rPr>
            </w:pPr>
            <w:r>
              <w:rPr>
                <w:rFonts w:hint="eastAsia" w:ascii="宋体" w:hAnsi="宋体" w:cs="宋体"/>
                <w:sz w:val="24"/>
              </w:rPr>
              <w:t>磋商截止时间两个工作日前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06" w:type="dxa"/>
            <w:noWrap/>
            <w:vAlign w:val="center"/>
          </w:tcPr>
          <w:p>
            <w:pPr>
              <w:jc w:val="center"/>
              <w:rPr>
                <w:rFonts w:ascii="宋体" w:hAnsi="宋体" w:cs="宋体"/>
                <w:sz w:val="24"/>
              </w:rPr>
            </w:pPr>
          </w:p>
        </w:tc>
        <w:tc>
          <w:tcPr>
            <w:tcW w:w="1480" w:type="dxa"/>
            <w:noWrap/>
            <w:vAlign w:val="center"/>
          </w:tcPr>
          <w:p>
            <w:pPr>
              <w:spacing w:line="360" w:lineRule="auto"/>
              <w:jc w:val="center"/>
              <w:rPr>
                <w:rFonts w:ascii="宋体" w:hAnsi="宋体" w:cs="宋体"/>
                <w:sz w:val="24"/>
              </w:rPr>
            </w:pPr>
            <w:r>
              <w:rPr>
                <w:rFonts w:hint="eastAsia" w:ascii="宋体" w:hAnsi="宋体" w:cs="宋体"/>
                <w:color w:val="000000"/>
                <w:sz w:val="24"/>
                <w:szCs w:val="22"/>
                <w:lang w:val="zh-CN"/>
              </w:rPr>
              <w:t>对</w:t>
            </w:r>
            <w:r>
              <w:rPr>
                <w:rFonts w:hint="eastAsia" w:ascii="宋体" w:hAnsi="宋体" w:cs="宋体"/>
                <w:color w:val="000000"/>
                <w:sz w:val="24"/>
                <w:szCs w:val="22"/>
              </w:rPr>
              <w:t>磋商文件澄清或修改的时间</w:t>
            </w:r>
          </w:p>
        </w:tc>
        <w:tc>
          <w:tcPr>
            <w:tcW w:w="7187" w:type="dxa"/>
            <w:noWrap/>
            <w:vAlign w:val="center"/>
          </w:tcPr>
          <w:p>
            <w:pPr>
              <w:spacing w:line="360" w:lineRule="auto"/>
              <w:jc w:val="left"/>
              <w:rPr>
                <w:rFonts w:ascii="宋体" w:hAnsi="宋体" w:cs="宋体"/>
                <w:sz w:val="24"/>
              </w:rPr>
            </w:pPr>
            <w:r>
              <w:rPr>
                <w:rFonts w:hint="eastAsia" w:ascii="宋体" w:hAnsi="宋体" w:cs="宋体"/>
                <w:color w:val="000000"/>
                <w:sz w:val="24"/>
                <w:szCs w:val="22"/>
              </w:rPr>
              <w:t>采购人或</w:t>
            </w:r>
            <w:r>
              <w:rPr>
                <w:rFonts w:hint="eastAsia" w:ascii="宋体" w:hAnsi="宋体" w:cs="宋体"/>
                <w:color w:val="000000"/>
                <w:sz w:val="24"/>
                <w:szCs w:val="22"/>
                <w:lang w:val="zh-CN"/>
              </w:rPr>
              <w:t>采购代理机构对已发出的磋商文件进行必要的澄清或者修改，应当在磋商文件要求提交磋商响应文件截止时间五日前，不足五日的应当顺延提交磋商响应文件的截止时间。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06" w:type="dxa"/>
            <w:noWrap/>
            <w:vAlign w:val="center"/>
          </w:tcPr>
          <w:p>
            <w:pPr>
              <w:jc w:val="center"/>
              <w:rPr>
                <w:rFonts w:ascii="宋体" w:hAnsi="宋体" w:cs="宋体"/>
                <w:sz w:val="24"/>
              </w:rPr>
            </w:pPr>
            <w:r>
              <w:rPr>
                <w:rFonts w:hint="eastAsia" w:ascii="宋体" w:hAnsi="宋体" w:cs="宋体"/>
                <w:sz w:val="24"/>
              </w:rPr>
              <w:t>14</w:t>
            </w:r>
          </w:p>
        </w:tc>
        <w:tc>
          <w:tcPr>
            <w:tcW w:w="1480" w:type="dxa"/>
            <w:noWrap/>
            <w:vAlign w:val="center"/>
          </w:tcPr>
          <w:p>
            <w:pPr>
              <w:spacing w:line="360" w:lineRule="auto"/>
              <w:jc w:val="center"/>
              <w:rPr>
                <w:rFonts w:ascii="宋体" w:hAnsi="宋体" w:cs="宋体"/>
                <w:color w:val="000000"/>
                <w:sz w:val="24"/>
                <w:szCs w:val="22"/>
                <w:lang w:val="zh-CN"/>
              </w:rPr>
            </w:pPr>
            <w:r>
              <w:rPr>
                <w:rFonts w:hint="eastAsia" w:ascii="宋体" w:hAnsi="宋体" w:cs="宋体"/>
                <w:color w:val="000000"/>
                <w:sz w:val="24"/>
                <w:szCs w:val="22"/>
                <w:lang w:val="zh-CN"/>
              </w:rPr>
              <w:t>采购代理机构答疑的时间</w:t>
            </w:r>
          </w:p>
        </w:tc>
        <w:tc>
          <w:tcPr>
            <w:tcW w:w="7187" w:type="dxa"/>
            <w:noWrap/>
            <w:vAlign w:val="center"/>
          </w:tcPr>
          <w:p>
            <w:pPr>
              <w:spacing w:line="360" w:lineRule="auto"/>
              <w:jc w:val="left"/>
              <w:rPr>
                <w:rFonts w:ascii="宋体" w:hAnsi="宋体" w:cs="宋体"/>
                <w:color w:val="000000"/>
                <w:sz w:val="24"/>
                <w:szCs w:val="22"/>
                <w:lang w:val="zh-CN"/>
              </w:rPr>
            </w:pPr>
            <w:r>
              <w:rPr>
                <w:rFonts w:hint="eastAsia" w:ascii="宋体" w:hAnsi="宋体" w:cs="宋体"/>
                <w:color w:val="000000"/>
                <w:sz w:val="24"/>
                <w:szCs w:val="22"/>
                <w:lang w:val="zh-CN"/>
              </w:rPr>
              <w:t>采购代理机构对收到的书面澄清将以书面形式在磋商截止期前予以答复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06" w:type="dxa"/>
            <w:noWrap/>
            <w:vAlign w:val="center"/>
          </w:tcPr>
          <w:p>
            <w:pPr>
              <w:jc w:val="center"/>
              <w:rPr>
                <w:rFonts w:ascii="宋体" w:hAnsi="宋体" w:cs="宋体"/>
                <w:sz w:val="24"/>
              </w:rPr>
            </w:pPr>
            <w:r>
              <w:rPr>
                <w:rFonts w:hint="eastAsia" w:ascii="宋体" w:hAnsi="宋体" w:cs="宋体"/>
                <w:sz w:val="24"/>
              </w:rPr>
              <w:t>15</w:t>
            </w:r>
          </w:p>
        </w:tc>
        <w:tc>
          <w:tcPr>
            <w:tcW w:w="1480" w:type="dxa"/>
            <w:noWrap/>
            <w:vAlign w:val="center"/>
          </w:tcPr>
          <w:p>
            <w:pPr>
              <w:spacing w:line="440" w:lineRule="exact"/>
              <w:jc w:val="center"/>
              <w:rPr>
                <w:rFonts w:ascii="宋体" w:hAnsi="宋体" w:cs="宋体"/>
                <w:sz w:val="24"/>
              </w:rPr>
            </w:pPr>
            <w:r>
              <w:rPr>
                <w:rFonts w:hint="eastAsia" w:ascii="宋体" w:hAnsi="宋体" w:cs="宋体"/>
                <w:sz w:val="24"/>
              </w:rPr>
              <w:t>构成磋商文件的其他文件</w:t>
            </w:r>
          </w:p>
        </w:tc>
        <w:tc>
          <w:tcPr>
            <w:tcW w:w="7187" w:type="dxa"/>
            <w:noWrap/>
            <w:vAlign w:val="center"/>
          </w:tcPr>
          <w:p>
            <w:pPr>
              <w:spacing w:line="440" w:lineRule="exact"/>
              <w:rPr>
                <w:rFonts w:ascii="宋体" w:hAnsi="宋体" w:cs="宋体"/>
                <w:sz w:val="24"/>
              </w:rPr>
            </w:pPr>
            <w:r>
              <w:rPr>
                <w:rFonts w:hint="eastAsia" w:ascii="宋体" w:hAnsi="宋体" w:cs="宋体"/>
                <w:sz w:val="24"/>
              </w:rPr>
              <w:t>磋商文件的澄清、修改书及有关补充通知为磋商文件的有效组成部分。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06" w:type="dxa"/>
            <w:noWrap/>
            <w:vAlign w:val="center"/>
          </w:tcPr>
          <w:p>
            <w:pPr>
              <w:jc w:val="center"/>
              <w:rPr>
                <w:rFonts w:ascii="宋体" w:hAnsi="宋体" w:cs="宋体"/>
                <w:sz w:val="24"/>
              </w:rPr>
            </w:pPr>
            <w:r>
              <w:rPr>
                <w:rFonts w:hint="eastAsia" w:ascii="宋体" w:hAnsi="宋体" w:cs="宋体"/>
                <w:sz w:val="24"/>
              </w:rPr>
              <w:t>16</w:t>
            </w:r>
          </w:p>
        </w:tc>
        <w:tc>
          <w:tcPr>
            <w:tcW w:w="1480" w:type="dxa"/>
            <w:noWrap/>
            <w:vAlign w:val="center"/>
          </w:tcPr>
          <w:p>
            <w:pPr>
              <w:pStyle w:val="33"/>
              <w:spacing w:line="440" w:lineRule="exact"/>
              <w:jc w:val="center"/>
              <w:rPr>
                <w:rFonts w:ascii="宋体" w:hAnsi="宋体" w:cs="宋体"/>
              </w:rPr>
            </w:pPr>
            <w:r>
              <w:rPr>
                <w:rFonts w:hint="eastAsia" w:ascii="宋体" w:hAnsi="宋体" w:cs="宋体"/>
              </w:rPr>
              <w:t>磋商文件递交截止时间和地点</w:t>
            </w:r>
          </w:p>
        </w:tc>
        <w:tc>
          <w:tcPr>
            <w:tcW w:w="7187" w:type="dxa"/>
            <w:noWrap/>
            <w:vAlign w:val="center"/>
          </w:tcPr>
          <w:p>
            <w:pPr>
              <w:spacing w:line="440" w:lineRule="exact"/>
              <w:rPr>
                <w:rFonts w:ascii="宋体" w:hAnsi="宋体" w:cs="宋体"/>
                <w:sz w:val="24"/>
              </w:rPr>
            </w:pPr>
            <w:r>
              <w:rPr>
                <w:rFonts w:hint="eastAsia" w:ascii="宋体" w:hAnsi="宋体" w:cs="宋体"/>
                <w:sz w:val="24"/>
              </w:rPr>
              <w:t>1.磋商文件截止时间：</w:t>
            </w:r>
            <w:r>
              <w:rPr>
                <w:rFonts w:hint="eastAsia" w:ascii="宋体" w:hAnsi="宋体" w:cs="宋体"/>
                <w:sz w:val="24"/>
                <w:u w:val="single"/>
              </w:rPr>
              <w:t>2020年12月2</w:t>
            </w:r>
            <w:r>
              <w:rPr>
                <w:rFonts w:hint="eastAsia" w:ascii="宋体" w:hAnsi="宋体" w:cs="宋体"/>
                <w:sz w:val="24"/>
                <w:u w:val="single"/>
                <w:lang w:val="en-US" w:eastAsia="zh-CN"/>
              </w:rPr>
              <w:t>5</w:t>
            </w:r>
            <w:r>
              <w:rPr>
                <w:rFonts w:hint="eastAsia" w:ascii="宋体" w:hAnsi="宋体" w:cs="宋体"/>
                <w:sz w:val="24"/>
                <w:u w:val="single"/>
              </w:rPr>
              <w:t xml:space="preserve">日14:30 </w:t>
            </w:r>
            <w:r>
              <w:rPr>
                <w:rFonts w:hint="eastAsia" w:ascii="宋体" w:hAnsi="宋体" w:cs="宋体"/>
                <w:sz w:val="24"/>
              </w:rPr>
              <w:t>（北京时间）；</w:t>
            </w:r>
          </w:p>
          <w:p>
            <w:pPr>
              <w:spacing w:line="440" w:lineRule="exact"/>
              <w:rPr>
                <w:rFonts w:ascii="宋体" w:hAnsi="宋体" w:cs="宋体"/>
                <w:sz w:val="24"/>
              </w:rPr>
            </w:pPr>
            <w:r>
              <w:rPr>
                <w:rFonts w:hint="eastAsia" w:ascii="宋体" w:hAnsi="宋体" w:cs="宋体"/>
                <w:sz w:val="24"/>
              </w:rPr>
              <w:t>2.磋商时间：</w:t>
            </w:r>
            <w:r>
              <w:rPr>
                <w:rFonts w:hint="eastAsia" w:ascii="宋体" w:hAnsi="宋体" w:cs="宋体"/>
                <w:sz w:val="24"/>
                <w:u w:val="single"/>
              </w:rPr>
              <w:t>2020年12月</w:t>
            </w:r>
            <w:r>
              <w:rPr>
                <w:rFonts w:hint="eastAsia" w:ascii="宋体" w:hAnsi="宋体" w:cs="宋体"/>
                <w:sz w:val="24"/>
                <w:u w:val="single"/>
                <w:lang w:val="en-US" w:eastAsia="zh-CN"/>
              </w:rPr>
              <w:t>25</w:t>
            </w:r>
            <w:r>
              <w:rPr>
                <w:rFonts w:hint="eastAsia" w:ascii="宋体" w:hAnsi="宋体" w:cs="宋体"/>
                <w:sz w:val="24"/>
                <w:u w:val="single"/>
              </w:rPr>
              <w:t xml:space="preserve">日14:30 </w:t>
            </w:r>
            <w:r>
              <w:rPr>
                <w:rFonts w:hint="eastAsia" w:ascii="宋体" w:hAnsi="宋体" w:cs="宋体"/>
                <w:sz w:val="24"/>
              </w:rPr>
              <w:t>（北京时间）；</w:t>
            </w:r>
          </w:p>
          <w:p>
            <w:pPr>
              <w:spacing w:line="440" w:lineRule="exact"/>
              <w:rPr>
                <w:rFonts w:ascii="宋体" w:hAnsi="宋体" w:cs="宋体"/>
                <w:sz w:val="24"/>
              </w:rPr>
            </w:pPr>
            <w:r>
              <w:rPr>
                <w:rFonts w:hint="eastAsia" w:ascii="宋体" w:hAnsi="宋体" w:cs="宋体"/>
                <w:sz w:val="24"/>
              </w:rPr>
              <w:t>3.磋商地点：</w:t>
            </w:r>
            <w:r>
              <w:rPr>
                <w:rFonts w:hint="eastAsia" w:ascii="宋体" w:hAnsi="宋体" w:cs="宋体"/>
                <w:kern w:val="0"/>
                <w:sz w:val="24"/>
              </w:rPr>
              <w:t>陕西省西安市莲湖区南二环西段财富中心I期A座802室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06" w:type="dxa"/>
            <w:noWrap/>
            <w:vAlign w:val="center"/>
          </w:tcPr>
          <w:p>
            <w:pPr>
              <w:jc w:val="center"/>
              <w:rPr>
                <w:rFonts w:ascii="宋体" w:hAnsi="宋体" w:cs="宋体"/>
                <w:sz w:val="24"/>
              </w:rPr>
            </w:pPr>
            <w:r>
              <w:rPr>
                <w:rFonts w:hint="eastAsia" w:ascii="宋体" w:hAnsi="宋体" w:cs="宋体"/>
                <w:sz w:val="24"/>
              </w:rPr>
              <w:t>17</w:t>
            </w:r>
          </w:p>
        </w:tc>
        <w:tc>
          <w:tcPr>
            <w:tcW w:w="1480" w:type="dxa"/>
            <w:noWrap/>
            <w:vAlign w:val="center"/>
          </w:tcPr>
          <w:p>
            <w:pPr>
              <w:pStyle w:val="33"/>
              <w:spacing w:line="440" w:lineRule="exact"/>
              <w:jc w:val="center"/>
              <w:rPr>
                <w:rFonts w:ascii="宋体" w:hAnsi="宋体" w:cs="宋体"/>
              </w:rPr>
            </w:pPr>
            <w:r>
              <w:rPr>
                <w:rFonts w:hint="eastAsia" w:ascii="宋体" w:hAnsi="宋体" w:cs="宋体"/>
              </w:rPr>
              <w:t>磋商小组的组建</w:t>
            </w:r>
          </w:p>
        </w:tc>
        <w:tc>
          <w:tcPr>
            <w:tcW w:w="7187" w:type="dxa"/>
            <w:noWrap/>
            <w:vAlign w:val="center"/>
          </w:tcPr>
          <w:p>
            <w:pPr>
              <w:tabs>
                <w:tab w:val="left" w:pos="1845"/>
                <w:tab w:val="right" w:pos="9014"/>
              </w:tabs>
              <w:spacing w:line="440" w:lineRule="exact"/>
              <w:rPr>
                <w:rFonts w:ascii="宋体" w:hAnsi="宋体" w:cs="宋体"/>
                <w:sz w:val="24"/>
              </w:rPr>
            </w:pPr>
            <w:r>
              <w:rPr>
                <w:rFonts w:hint="eastAsia" w:ascii="宋体" w:hAnsi="宋体" w:cs="宋体"/>
                <w:sz w:val="24"/>
              </w:rPr>
              <w:t>磋商小组构成：3人；</w:t>
            </w:r>
          </w:p>
          <w:p>
            <w:pPr>
              <w:tabs>
                <w:tab w:val="left" w:pos="1845"/>
                <w:tab w:val="right" w:pos="9014"/>
              </w:tabs>
              <w:spacing w:line="440" w:lineRule="exact"/>
              <w:rPr>
                <w:rFonts w:ascii="宋体" w:hAnsi="宋体" w:cs="宋体"/>
                <w:sz w:val="24"/>
              </w:rPr>
            </w:pPr>
            <w:r>
              <w:rPr>
                <w:rFonts w:hint="eastAsia" w:ascii="宋体" w:hAnsi="宋体" w:cs="宋体"/>
                <w:sz w:val="24"/>
              </w:rPr>
              <w:t>磋商小组确定方式：专家库随机抽取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06" w:type="dxa"/>
            <w:noWrap/>
            <w:vAlign w:val="center"/>
          </w:tcPr>
          <w:p>
            <w:pPr>
              <w:jc w:val="center"/>
              <w:rPr>
                <w:rFonts w:ascii="宋体" w:hAnsi="宋体" w:cs="宋体"/>
                <w:sz w:val="24"/>
              </w:rPr>
            </w:pPr>
            <w:r>
              <w:rPr>
                <w:rFonts w:hint="eastAsia" w:ascii="宋体" w:hAnsi="宋体" w:cs="宋体"/>
                <w:sz w:val="24"/>
              </w:rPr>
              <w:t>18</w:t>
            </w:r>
          </w:p>
        </w:tc>
        <w:tc>
          <w:tcPr>
            <w:tcW w:w="1480" w:type="dxa"/>
            <w:noWrap/>
            <w:vAlign w:val="center"/>
          </w:tcPr>
          <w:p>
            <w:pPr>
              <w:spacing w:line="440" w:lineRule="exact"/>
              <w:jc w:val="center"/>
              <w:rPr>
                <w:rFonts w:ascii="宋体" w:hAnsi="宋体" w:cs="宋体"/>
                <w:sz w:val="24"/>
              </w:rPr>
            </w:pPr>
            <w:r>
              <w:rPr>
                <w:rFonts w:hint="eastAsia" w:ascii="宋体" w:hAnsi="宋体" w:cs="宋体"/>
                <w:sz w:val="24"/>
              </w:rPr>
              <w:t>磋商有效期及授权书有效期</w:t>
            </w:r>
          </w:p>
        </w:tc>
        <w:tc>
          <w:tcPr>
            <w:tcW w:w="7187" w:type="dxa"/>
            <w:noWrap/>
            <w:vAlign w:val="center"/>
          </w:tcPr>
          <w:p>
            <w:pPr>
              <w:spacing w:line="440" w:lineRule="exact"/>
              <w:rPr>
                <w:rFonts w:ascii="宋体" w:hAnsi="宋体" w:cs="宋体"/>
                <w:sz w:val="24"/>
              </w:rPr>
            </w:pPr>
            <w:r>
              <w:rPr>
                <w:rFonts w:hint="eastAsia" w:ascii="宋体" w:hAnsi="宋体" w:cs="宋体"/>
                <w:color w:val="000000"/>
                <w:sz w:val="24"/>
              </w:rPr>
              <w:t>磋商有效期及授权书有效期为从提交磋商响应文件的截止时间起大于九十（90）个日历日；磋商响应文件中必须载明磋商有效期。否则，其磋商响应文件作为无效处理。在有效期内磋商响应文件对磋商供应商具有法律约束力，成交供应商的磋商响应文件有效期延长至合同执行完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06" w:type="dxa"/>
            <w:noWrap/>
            <w:vAlign w:val="center"/>
          </w:tcPr>
          <w:p>
            <w:pPr>
              <w:jc w:val="center"/>
              <w:rPr>
                <w:rFonts w:ascii="宋体" w:hAnsi="宋体" w:cs="宋体"/>
                <w:sz w:val="24"/>
              </w:rPr>
            </w:pPr>
            <w:r>
              <w:rPr>
                <w:rFonts w:hint="eastAsia" w:ascii="宋体" w:hAnsi="宋体" w:cs="宋体"/>
                <w:sz w:val="24"/>
              </w:rPr>
              <w:t>19</w:t>
            </w:r>
          </w:p>
        </w:tc>
        <w:tc>
          <w:tcPr>
            <w:tcW w:w="1480" w:type="dxa"/>
            <w:noWrap/>
            <w:vAlign w:val="center"/>
          </w:tcPr>
          <w:p>
            <w:pPr>
              <w:spacing w:line="440" w:lineRule="exact"/>
              <w:jc w:val="center"/>
              <w:rPr>
                <w:rFonts w:ascii="宋体" w:hAnsi="宋体" w:cs="宋体"/>
                <w:sz w:val="24"/>
              </w:rPr>
            </w:pPr>
            <w:r>
              <w:rPr>
                <w:rFonts w:hint="eastAsia" w:ascii="宋体" w:hAnsi="宋体" w:cs="宋体"/>
                <w:sz w:val="24"/>
              </w:rPr>
              <w:t>磋商保证金</w:t>
            </w:r>
          </w:p>
        </w:tc>
        <w:tc>
          <w:tcPr>
            <w:tcW w:w="7187" w:type="dxa"/>
            <w:noWrap/>
            <w:vAlign w:val="center"/>
          </w:tcPr>
          <w:p>
            <w:pPr>
              <w:spacing w:line="440" w:lineRule="exact"/>
              <w:rPr>
                <w:rFonts w:ascii="宋体" w:hAnsi="宋体" w:cs="宋体"/>
                <w:sz w:val="24"/>
              </w:rPr>
            </w:pPr>
            <w:r>
              <w:rPr>
                <w:rFonts w:hint="eastAsia" w:ascii="宋体" w:hAnsi="宋体" w:cs="宋体"/>
                <w:sz w:val="24"/>
              </w:rPr>
              <w:t>根据“市财函【2020】617号  西安市财政局关于《促进政府采购公平竞争优化营商环境》的通知”文件，本项目不收取保证金。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06" w:type="dxa"/>
            <w:noWrap/>
            <w:vAlign w:val="center"/>
          </w:tcPr>
          <w:p>
            <w:pPr>
              <w:jc w:val="center"/>
              <w:rPr>
                <w:rFonts w:ascii="宋体" w:hAnsi="宋体" w:cs="宋体"/>
                <w:sz w:val="24"/>
              </w:rPr>
            </w:pPr>
            <w:r>
              <w:rPr>
                <w:rFonts w:hint="eastAsia" w:ascii="宋体" w:hAnsi="宋体" w:cs="宋体"/>
                <w:sz w:val="24"/>
              </w:rPr>
              <w:t>20</w:t>
            </w:r>
          </w:p>
        </w:tc>
        <w:tc>
          <w:tcPr>
            <w:tcW w:w="1480" w:type="dxa"/>
            <w:noWrap/>
            <w:vAlign w:val="center"/>
          </w:tcPr>
          <w:p>
            <w:pPr>
              <w:spacing w:line="440" w:lineRule="exact"/>
              <w:jc w:val="center"/>
              <w:rPr>
                <w:rFonts w:ascii="宋体" w:hAnsi="宋体" w:cs="宋体"/>
                <w:sz w:val="24"/>
              </w:rPr>
            </w:pPr>
            <w:r>
              <w:rPr>
                <w:rFonts w:hint="eastAsia" w:ascii="宋体" w:hAnsi="宋体" w:cs="宋体"/>
                <w:sz w:val="24"/>
              </w:rPr>
              <w:t>盖章签字</w:t>
            </w:r>
          </w:p>
        </w:tc>
        <w:tc>
          <w:tcPr>
            <w:tcW w:w="7187" w:type="dxa"/>
            <w:noWrap/>
            <w:vAlign w:val="center"/>
          </w:tcPr>
          <w:p>
            <w:pPr>
              <w:spacing w:line="440" w:lineRule="exact"/>
              <w:rPr>
                <w:rFonts w:ascii="宋体" w:hAnsi="宋体" w:cs="宋体"/>
                <w:sz w:val="24"/>
              </w:rPr>
            </w:pPr>
            <w:r>
              <w:rPr>
                <w:rFonts w:hint="eastAsia" w:ascii="宋体" w:hAnsi="宋体" w:cs="宋体"/>
                <w:sz w:val="24"/>
              </w:rPr>
              <w:t>供应商必须按照磋商文件的规定和要求盖章、签字。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06" w:type="dxa"/>
            <w:noWrap/>
            <w:vAlign w:val="center"/>
          </w:tcPr>
          <w:p>
            <w:pPr>
              <w:jc w:val="center"/>
              <w:rPr>
                <w:rFonts w:ascii="宋体" w:hAnsi="宋体" w:cs="宋体"/>
                <w:sz w:val="24"/>
              </w:rPr>
            </w:pPr>
            <w:r>
              <w:rPr>
                <w:rFonts w:hint="eastAsia" w:ascii="宋体" w:hAnsi="宋体" w:cs="宋体"/>
                <w:sz w:val="24"/>
              </w:rPr>
              <w:t>21</w:t>
            </w:r>
          </w:p>
        </w:tc>
        <w:tc>
          <w:tcPr>
            <w:tcW w:w="1480" w:type="dxa"/>
            <w:noWrap/>
            <w:vAlign w:val="center"/>
          </w:tcPr>
          <w:p>
            <w:pPr>
              <w:tabs>
                <w:tab w:val="left" w:pos="586"/>
              </w:tabs>
              <w:spacing w:line="440" w:lineRule="exact"/>
              <w:jc w:val="center"/>
              <w:rPr>
                <w:rFonts w:ascii="宋体" w:hAnsi="宋体" w:cs="宋体"/>
                <w:sz w:val="24"/>
              </w:rPr>
            </w:pPr>
            <w:r>
              <w:rPr>
                <w:rFonts w:hint="eastAsia" w:ascii="宋体" w:hAnsi="宋体" w:cs="宋体"/>
                <w:sz w:val="24"/>
              </w:rPr>
              <w:t>是否允许递交备选磋商文件方案</w:t>
            </w:r>
          </w:p>
        </w:tc>
        <w:tc>
          <w:tcPr>
            <w:tcW w:w="7187" w:type="dxa"/>
            <w:noWrap/>
            <w:vAlign w:val="center"/>
          </w:tcPr>
          <w:p>
            <w:pPr>
              <w:tabs>
                <w:tab w:val="left" w:pos="7013"/>
              </w:tabs>
              <w:spacing w:line="440" w:lineRule="exact"/>
              <w:rPr>
                <w:rFonts w:ascii="宋体" w:hAnsi="宋体" w:cs="宋体"/>
                <w:sz w:val="24"/>
              </w:rPr>
            </w:pPr>
            <w:r>
              <w:rPr>
                <w:rFonts w:hint="eastAsia" w:ascii="宋体" w:hAnsi="宋体" w:cs="宋体"/>
                <w:sz w:val="24"/>
              </w:rPr>
              <w:t>不允许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06" w:type="dxa"/>
            <w:noWrap/>
            <w:vAlign w:val="center"/>
          </w:tcPr>
          <w:p>
            <w:pPr>
              <w:jc w:val="center"/>
              <w:rPr>
                <w:rFonts w:ascii="宋体" w:hAnsi="宋体" w:cs="宋体"/>
                <w:sz w:val="24"/>
              </w:rPr>
            </w:pPr>
            <w:r>
              <w:rPr>
                <w:rFonts w:hint="eastAsia" w:ascii="宋体" w:hAnsi="宋体" w:cs="宋体"/>
                <w:sz w:val="24"/>
              </w:rPr>
              <w:t>22</w:t>
            </w:r>
          </w:p>
        </w:tc>
        <w:tc>
          <w:tcPr>
            <w:tcW w:w="1480" w:type="dxa"/>
            <w:noWrap/>
            <w:vAlign w:val="center"/>
          </w:tcPr>
          <w:p>
            <w:pPr>
              <w:spacing w:line="440" w:lineRule="exact"/>
              <w:jc w:val="center"/>
              <w:rPr>
                <w:rFonts w:ascii="宋体" w:hAnsi="宋体" w:cs="宋体"/>
                <w:sz w:val="24"/>
              </w:rPr>
            </w:pPr>
            <w:r>
              <w:rPr>
                <w:rFonts w:hint="eastAsia" w:ascii="宋体" w:hAnsi="宋体" w:cs="宋体"/>
                <w:sz w:val="24"/>
              </w:rPr>
              <w:t>磋商响应文件的装订、数量</w:t>
            </w:r>
          </w:p>
        </w:tc>
        <w:tc>
          <w:tcPr>
            <w:tcW w:w="7187" w:type="dxa"/>
            <w:noWrap/>
            <w:vAlign w:val="center"/>
          </w:tcPr>
          <w:p>
            <w:pPr>
              <w:tabs>
                <w:tab w:val="left" w:pos="7013"/>
              </w:tabs>
              <w:rPr>
                <w:rFonts w:ascii="宋体" w:hAnsi="宋体" w:cs="宋体"/>
                <w:sz w:val="24"/>
              </w:rPr>
            </w:pPr>
            <w:r>
              <w:rPr>
                <w:rFonts w:hint="eastAsia" w:ascii="宋体" w:hAnsi="宋体" w:cs="宋体"/>
                <w:color w:val="000000"/>
                <w:sz w:val="24"/>
              </w:rPr>
              <w:t>磋商响应文件一律采用书籍（胶装）方式装订。</w:t>
            </w:r>
            <w:r>
              <w:rPr>
                <w:rFonts w:hint="eastAsia" w:ascii="宋体" w:hAnsi="宋体" w:cs="宋体"/>
                <w:b/>
                <w:bCs/>
                <w:color w:val="000000"/>
                <w:sz w:val="24"/>
              </w:rPr>
              <w:t>磋商响应文件正本壹份、副本贰份，电子版（U盘）壹份（U盘储存Word及PDF</w:t>
            </w:r>
            <w:r>
              <w:rPr>
                <w:rFonts w:hint="eastAsia" w:ascii="宋体" w:hAnsi="宋体" w:cs="宋体"/>
                <w:b/>
                <w:bCs/>
                <w:sz w:val="24"/>
              </w:rPr>
              <w:t>格式各1份，</w:t>
            </w:r>
            <w:r>
              <w:rPr>
                <w:rFonts w:hint="eastAsia" w:ascii="宋体" w:hAnsi="宋体" w:cs="宋体"/>
                <w:b/>
                <w:bCs/>
                <w:color w:val="000000"/>
                <w:sz w:val="24"/>
              </w:rPr>
              <w:t>包含磋商响应文件所有内容）。</w:t>
            </w:r>
            <w:r>
              <w:rPr>
                <w:rFonts w:hint="eastAsia" w:ascii="宋体" w:hAnsi="宋体" w:cs="宋体"/>
                <w:color w:val="000000"/>
                <w:sz w:val="24"/>
              </w:rPr>
              <w:t>纸质磋商响应文件正、副本分别各自装订成册并编制目录和页码，正本</w:t>
            </w:r>
            <w:r>
              <w:rPr>
                <w:rFonts w:hint="eastAsia" w:ascii="宋体" w:hAnsi="宋体" w:cs="宋体"/>
                <w:color w:val="000000"/>
                <w:sz w:val="24"/>
                <w:lang w:val="zh-CN"/>
              </w:rPr>
              <w:t>用封袋单独密封</w:t>
            </w:r>
            <w:r>
              <w:rPr>
                <w:rFonts w:hint="eastAsia" w:ascii="宋体" w:hAnsi="宋体" w:cs="宋体"/>
                <w:color w:val="000000"/>
                <w:sz w:val="24"/>
              </w:rPr>
              <w:t>、</w:t>
            </w:r>
            <w:r>
              <w:rPr>
                <w:rFonts w:hint="eastAsia" w:ascii="宋体" w:hAnsi="宋体" w:cs="宋体"/>
                <w:color w:val="000000"/>
                <w:sz w:val="24"/>
                <w:lang w:val="zh-CN"/>
              </w:rPr>
              <w:t>副本可以用封袋一起密封或单独密封</w:t>
            </w:r>
            <w:r>
              <w:rPr>
                <w:rFonts w:hint="eastAsia" w:ascii="宋体" w:hAnsi="宋体" w:cs="宋体"/>
                <w:color w:val="000000"/>
                <w:sz w:val="24"/>
              </w:rPr>
              <w:t>、电子版单独密封并加贴不掉标贴，注写供应商名称。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06" w:type="dxa"/>
            <w:noWrap/>
            <w:vAlign w:val="center"/>
          </w:tcPr>
          <w:p>
            <w:pPr>
              <w:jc w:val="center"/>
              <w:rPr>
                <w:rFonts w:ascii="宋体" w:hAnsi="宋体" w:cs="宋体"/>
                <w:sz w:val="24"/>
              </w:rPr>
            </w:pPr>
            <w:r>
              <w:rPr>
                <w:rFonts w:hint="eastAsia" w:ascii="宋体" w:hAnsi="宋体" w:cs="宋体"/>
                <w:sz w:val="24"/>
              </w:rPr>
              <w:t>23</w:t>
            </w:r>
          </w:p>
        </w:tc>
        <w:tc>
          <w:tcPr>
            <w:tcW w:w="1480" w:type="dxa"/>
            <w:noWrap/>
            <w:vAlign w:val="center"/>
          </w:tcPr>
          <w:p>
            <w:pPr>
              <w:spacing w:line="440" w:lineRule="exact"/>
              <w:jc w:val="center"/>
              <w:rPr>
                <w:rFonts w:ascii="宋体" w:hAnsi="宋体" w:cs="宋体"/>
                <w:sz w:val="24"/>
              </w:rPr>
            </w:pPr>
            <w:r>
              <w:rPr>
                <w:rFonts w:hint="eastAsia" w:ascii="宋体" w:hAnsi="宋体" w:cs="宋体"/>
                <w:sz w:val="24"/>
              </w:rPr>
              <w:t>封套要求</w:t>
            </w:r>
          </w:p>
        </w:tc>
        <w:tc>
          <w:tcPr>
            <w:tcW w:w="7187" w:type="dxa"/>
            <w:noWrap/>
            <w:vAlign w:val="center"/>
          </w:tcPr>
          <w:p>
            <w:pPr>
              <w:pStyle w:val="33"/>
              <w:spacing w:line="440" w:lineRule="exact"/>
              <w:jc w:val="both"/>
              <w:rPr>
                <w:rFonts w:ascii="宋体" w:hAnsi="宋体" w:cs="宋体"/>
              </w:rPr>
            </w:pPr>
            <w:r>
              <w:rPr>
                <w:rFonts w:hint="eastAsia" w:ascii="宋体" w:hAnsi="宋体" w:cs="宋体"/>
              </w:rPr>
              <w:t>项目名称：</w:t>
            </w:r>
          </w:p>
          <w:p>
            <w:pPr>
              <w:pStyle w:val="33"/>
              <w:spacing w:line="440" w:lineRule="exact"/>
              <w:jc w:val="both"/>
              <w:rPr>
                <w:rFonts w:ascii="宋体" w:hAnsi="宋体" w:cs="宋体"/>
              </w:rPr>
            </w:pPr>
            <w:r>
              <w:rPr>
                <w:rFonts w:hint="eastAsia" w:ascii="宋体" w:hAnsi="宋体" w:cs="宋体"/>
              </w:rPr>
              <w:t>项目编号：</w:t>
            </w:r>
          </w:p>
          <w:p>
            <w:pPr>
              <w:pStyle w:val="33"/>
              <w:spacing w:line="440" w:lineRule="exact"/>
              <w:jc w:val="both"/>
              <w:rPr>
                <w:rFonts w:ascii="宋体" w:hAnsi="宋体" w:cs="宋体"/>
              </w:rPr>
            </w:pPr>
            <w:r>
              <w:rPr>
                <w:rFonts w:hint="eastAsia" w:ascii="宋体" w:hAnsi="宋体" w:cs="宋体"/>
              </w:rPr>
              <w:t>供应商名称：</w:t>
            </w:r>
          </w:p>
          <w:p>
            <w:pPr>
              <w:pStyle w:val="33"/>
              <w:spacing w:line="440" w:lineRule="exact"/>
              <w:jc w:val="both"/>
              <w:rPr>
                <w:rFonts w:ascii="宋体" w:hAnsi="宋体" w:cs="宋体"/>
              </w:rPr>
            </w:pPr>
            <w:r>
              <w:rPr>
                <w:rFonts w:hint="eastAsia" w:ascii="宋体" w:hAnsi="宋体" w:cs="宋体"/>
              </w:rPr>
              <w:t>磋商响应文件在2020年  月  日 时 分前“不得开启”字样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06" w:type="dxa"/>
            <w:noWrap/>
            <w:vAlign w:val="center"/>
          </w:tcPr>
          <w:p>
            <w:pPr>
              <w:jc w:val="center"/>
              <w:rPr>
                <w:rFonts w:ascii="宋体" w:hAnsi="宋体" w:cs="宋体"/>
                <w:sz w:val="24"/>
              </w:rPr>
            </w:pPr>
            <w:r>
              <w:rPr>
                <w:rFonts w:hint="eastAsia" w:ascii="宋体" w:hAnsi="宋体" w:cs="宋体"/>
                <w:sz w:val="24"/>
              </w:rPr>
              <w:t>24</w:t>
            </w:r>
          </w:p>
        </w:tc>
        <w:tc>
          <w:tcPr>
            <w:tcW w:w="1480" w:type="dxa"/>
            <w:noWrap/>
            <w:vAlign w:val="center"/>
          </w:tcPr>
          <w:p>
            <w:pPr>
              <w:spacing w:line="440" w:lineRule="exact"/>
              <w:jc w:val="center"/>
              <w:rPr>
                <w:rFonts w:ascii="宋体" w:hAnsi="宋体" w:cs="宋体"/>
                <w:sz w:val="24"/>
                <w:highlight w:val="yellow"/>
              </w:rPr>
            </w:pPr>
            <w:r>
              <w:rPr>
                <w:rFonts w:hint="eastAsia" w:ascii="宋体" w:hAnsi="宋体" w:cs="宋体"/>
                <w:sz w:val="24"/>
              </w:rPr>
              <w:t>供应商资质条件</w:t>
            </w:r>
          </w:p>
        </w:tc>
        <w:tc>
          <w:tcPr>
            <w:tcW w:w="7187" w:type="dxa"/>
            <w:noWrap/>
            <w:vAlign w:val="center"/>
          </w:tcPr>
          <w:p>
            <w:pPr>
              <w:spacing w:line="360" w:lineRule="auto"/>
              <w:jc w:val="left"/>
              <w:rPr>
                <w:rFonts w:ascii="宋体" w:hAnsi="宋体" w:cs="宋体"/>
                <w:sz w:val="24"/>
              </w:rPr>
            </w:pPr>
            <w:r>
              <w:rPr>
                <w:rFonts w:hint="eastAsia" w:ascii="宋体" w:hAnsi="宋体" w:cs="宋体"/>
                <w:sz w:val="24"/>
              </w:rPr>
              <w:t>1.供应商应符合《中华人民共和国政府采购法》第二十二条规定的条件，并提供下列材料：</w:t>
            </w:r>
          </w:p>
          <w:p>
            <w:pPr>
              <w:spacing w:line="420" w:lineRule="exact"/>
              <w:rPr>
                <w:rFonts w:ascii="宋体" w:hAnsi="宋体" w:cs="宋体"/>
                <w:sz w:val="24"/>
              </w:rPr>
            </w:pPr>
            <w:r>
              <w:rPr>
                <w:rFonts w:hint="eastAsia" w:ascii="宋体" w:hAnsi="宋体" w:cs="宋体"/>
                <w:kern w:val="0"/>
                <w:sz w:val="24"/>
                <w:szCs w:val="20"/>
              </w:rPr>
              <w:t>（1）</w:t>
            </w:r>
            <w:r>
              <w:rPr>
                <w:rFonts w:hint="eastAsia" w:ascii="宋体" w:hAnsi="宋体" w:cs="宋体"/>
                <w:bCs/>
                <w:color w:val="000000"/>
                <w:sz w:val="24"/>
              </w:rPr>
              <w:t>提供合格有效的法人或者其他组织的营业执照等证明文件或自然人的身份证明</w:t>
            </w:r>
            <w:r>
              <w:rPr>
                <w:rFonts w:hint="eastAsia" w:ascii="宋体" w:hAnsi="宋体" w:cs="宋体"/>
                <w:sz w:val="24"/>
              </w:rPr>
              <w:t>；</w:t>
            </w:r>
          </w:p>
          <w:p>
            <w:pPr>
              <w:spacing w:line="420" w:lineRule="exact"/>
              <w:rPr>
                <w:rFonts w:ascii="宋体" w:hAnsi="宋体" w:cs="宋体"/>
                <w:sz w:val="24"/>
              </w:rPr>
            </w:pPr>
            <w:r>
              <w:rPr>
                <w:rFonts w:hint="eastAsia" w:ascii="宋体" w:hAnsi="宋体" w:cs="宋体"/>
                <w:kern w:val="0"/>
                <w:sz w:val="24"/>
                <w:szCs w:val="20"/>
              </w:rPr>
              <w:t>（2）</w:t>
            </w:r>
            <w:r>
              <w:rPr>
                <w:rFonts w:hint="eastAsia" w:ascii="宋体" w:hAnsi="宋体" w:cs="宋体"/>
                <w:sz w:val="24"/>
              </w:rPr>
              <w:t>财务状况报告：提供2018年度至今任一年的财务审计报告或其招标前三个月内其基本存款账户开户银行出具的资信证明及基本存款账户开户许可证；</w:t>
            </w:r>
          </w:p>
          <w:p>
            <w:pPr>
              <w:spacing w:line="420" w:lineRule="exact"/>
              <w:rPr>
                <w:rFonts w:ascii="宋体" w:hAnsi="宋体" w:cs="宋体"/>
                <w:color w:val="auto"/>
                <w:sz w:val="24"/>
              </w:rPr>
            </w:pPr>
            <w:r>
              <w:rPr>
                <w:rFonts w:hint="eastAsia" w:ascii="宋体" w:hAnsi="宋体" w:cs="宋体"/>
                <w:kern w:val="0"/>
                <w:sz w:val="24"/>
                <w:szCs w:val="20"/>
              </w:rPr>
              <w:t>（3）</w:t>
            </w:r>
            <w:r>
              <w:rPr>
                <w:rFonts w:hint="eastAsia" w:ascii="宋体" w:hAnsi="宋体" w:cs="宋体"/>
                <w:sz w:val="24"/>
              </w:rPr>
              <w:t>税收缴纳证明：提供招标截止日前一年</w:t>
            </w:r>
            <w:r>
              <w:rPr>
                <w:rFonts w:hint="eastAsia" w:ascii="宋体" w:hAnsi="宋体" w:cs="宋体"/>
                <w:color w:val="auto"/>
                <w:sz w:val="24"/>
              </w:rPr>
              <w:t>内已缴纳的至少三个月的纳税证明或完税证明，依法免税的单位应提供相关证明材料；</w:t>
            </w:r>
          </w:p>
          <w:p>
            <w:pPr>
              <w:spacing w:line="420" w:lineRule="exact"/>
              <w:rPr>
                <w:rFonts w:ascii="宋体" w:hAnsi="宋体" w:cs="宋体"/>
                <w:sz w:val="24"/>
              </w:rPr>
            </w:pPr>
            <w:r>
              <w:rPr>
                <w:rFonts w:hint="eastAsia" w:ascii="宋体" w:hAnsi="宋体" w:cs="宋体"/>
                <w:color w:val="auto"/>
                <w:kern w:val="0"/>
                <w:sz w:val="24"/>
                <w:szCs w:val="20"/>
              </w:rPr>
              <w:t>（4）</w:t>
            </w:r>
            <w:r>
              <w:rPr>
                <w:rFonts w:hint="eastAsia" w:ascii="宋体" w:hAnsi="宋体" w:cs="宋体"/>
                <w:color w:val="auto"/>
                <w:sz w:val="24"/>
              </w:rPr>
              <w:t>社会保障资金缴纳证明：提供招标截止日前一年内已缴存的至少一个月的社会保障资金缴存单据或社保机</w:t>
            </w:r>
            <w:r>
              <w:rPr>
                <w:rFonts w:hint="eastAsia" w:ascii="宋体" w:hAnsi="宋体" w:cs="宋体"/>
                <w:sz w:val="24"/>
              </w:rPr>
              <w:t>构开具的社会保险参保缴费情况证明，依法不需要缴纳社会保障资金的单位应提供相关证明材料；</w:t>
            </w:r>
          </w:p>
          <w:p>
            <w:pPr>
              <w:spacing w:line="420" w:lineRule="exact"/>
              <w:rPr>
                <w:rFonts w:ascii="宋体" w:hAnsi="宋体" w:cs="宋体"/>
                <w:sz w:val="24"/>
              </w:rPr>
            </w:pPr>
            <w:r>
              <w:rPr>
                <w:rFonts w:hint="eastAsia" w:ascii="宋体" w:hAnsi="宋体" w:cs="宋体"/>
                <w:kern w:val="0"/>
                <w:sz w:val="24"/>
                <w:szCs w:val="20"/>
              </w:rPr>
              <w:t>（5）</w:t>
            </w:r>
            <w:r>
              <w:rPr>
                <w:rFonts w:hint="eastAsia" w:ascii="宋体" w:hAnsi="宋体" w:cs="宋体"/>
                <w:sz w:val="24"/>
              </w:rPr>
              <w:t>出具参加本次政府采购活动前三年内在经营活动中没有重大违法记录的书面声明；</w:t>
            </w:r>
          </w:p>
          <w:p>
            <w:pPr>
              <w:spacing w:line="420" w:lineRule="exact"/>
              <w:rPr>
                <w:rFonts w:ascii="宋体" w:hAnsi="宋体" w:cs="宋体"/>
                <w:sz w:val="24"/>
              </w:rPr>
            </w:pPr>
            <w:r>
              <w:rPr>
                <w:rFonts w:hint="eastAsia" w:ascii="宋体" w:hAnsi="宋体" w:cs="宋体"/>
                <w:sz w:val="24"/>
              </w:rPr>
              <w:t>（6）具备履行合同所必需的设备和专业技术能力的证明材料(由投标人根据项目需求提供说明材料或者承诺)；</w:t>
            </w:r>
          </w:p>
          <w:p>
            <w:pPr>
              <w:spacing w:line="420" w:lineRule="exact"/>
              <w:rPr>
                <w:rFonts w:ascii="宋体" w:hAnsi="宋体" w:cs="宋体"/>
                <w:sz w:val="24"/>
              </w:rPr>
            </w:pPr>
            <w:r>
              <w:rPr>
                <w:rFonts w:hint="eastAsia" w:ascii="宋体" w:hAnsi="宋体" w:cs="宋体"/>
                <w:sz w:val="24"/>
              </w:rPr>
              <w:t>（7）投标人应授权合法的人员参加招标全过程，其中法定代表人直接参加投标的，须出具法人身份证(原件)，并与营业执照上信息一致。法定代表人授权代表参加投标的，须出具法定代表人授权书及授权代表身份证(原件)；</w:t>
            </w:r>
          </w:p>
          <w:p>
            <w:pPr>
              <w:spacing w:line="420" w:lineRule="exact"/>
              <w:rPr>
                <w:rFonts w:ascii="宋体" w:hAnsi="宋体" w:cs="宋体"/>
                <w:bCs/>
                <w:color w:val="000000"/>
                <w:sz w:val="24"/>
              </w:rPr>
            </w:pPr>
            <w:r>
              <w:rPr>
                <w:rFonts w:hint="eastAsia" w:ascii="宋体" w:hAnsi="宋体" w:cs="宋体" w:eastAsiaTheme="majorEastAsia"/>
                <w:sz w:val="24"/>
              </w:rPr>
              <w:t>（8）</w:t>
            </w:r>
            <w:r>
              <w:rPr>
                <w:rFonts w:hint="eastAsia" w:asciiTheme="majorEastAsia" w:hAnsiTheme="majorEastAsia" w:eastAsiaTheme="majorEastAsia" w:cstheme="majorEastAsia"/>
                <w:sz w:val="24"/>
              </w:rPr>
              <w:t>投标人不得为“信用中国”网站（www.creditchina.gov.cn ）中列入失信被执行人和重大税收违法案件当事人名单的供应商，不得为中国政府采购网（www.ccgp.gov.cn ）政府采购严重违法失信行为记录名单中被财政部门禁止参加政府采购活动的供应商；</w:t>
            </w:r>
          </w:p>
          <w:p>
            <w:pPr>
              <w:spacing w:line="420" w:lineRule="exact"/>
              <w:rPr>
                <w:rFonts w:ascii="宋体" w:hAnsi="宋体" w:cs="宋体"/>
                <w:highlight w:val="yellow"/>
              </w:rPr>
            </w:pPr>
            <w:r>
              <w:rPr>
                <w:rFonts w:hint="eastAsia" w:ascii="宋体" w:hAnsi="宋体" w:cs="宋体" w:eastAsiaTheme="majorEastAsia"/>
                <w:sz w:val="24"/>
              </w:rPr>
              <w:t>（9）</w:t>
            </w:r>
            <w:r>
              <w:rPr>
                <w:rFonts w:hint="eastAsia" w:asciiTheme="majorEastAsia" w:hAnsiTheme="majorEastAsia" w:eastAsiaTheme="majorEastAsia" w:cstheme="majorEastAsia"/>
                <w:sz w:val="24"/>
              </w:rPr>
              <w:t>本项目不接受联合体投标。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06" w:type="dxa"/>
            <w:noWrap/>
            <w:vAlign w:val="center"/>
          </w:tcPr>
          <w:p>
            <w:pPr>
              <w:jc w:val="center"/>
              <w:rPr>
                <w:rFonts w:ascii="宋体" w:hAnsi="宋体" w:cs="宋体"/>
                <w:sz w:val="24"/>
              </w:rPr>
            </w:pPr>
            <w:r>
              <w:rPr>
                <w:rFonts w:hint="eastAsia" w:ascii="宋体" w:hAnsi="宋体" w:cs="宋体"/>
                <w:sz w:val="24"/>
              </w:rPr>
              <w:t>25</w:t>
            </w:r>
          </w:p>
        </w:tc>
        <w:tc>
          <w:tcPr>
            <w:tcW w:w="1480" w:type="dxa"/>
            <w:noWrap/>
            <w:vAlign w:val="center"/>
          </w:tcPr>
          <w:p>
            <w:pPr>
              <w:pStyle w:val="33"/>
              <w:spacing w:line="440" w:lineRule="exact"/>
              <w:rPr>
                <w:rFonts w:ascii="宋体" w:hAnsi="宋体" w:cs="宋体"/>
              </w:rPr>
            </w:pPr>
            <w:r>
              <w:rPr>
                <w:rFonts w:hint="eastAsia" w:ascii="宋体" w:hAnsi="宋体" w:cs="宋体"/>
              </w:rPr>
              <w:t>需落实的政府采购政策</w:t>
            </w:r>
          </w:p>
        </w:tc>
        <w:tc>
          <w:tcPr>
            <w:tcW w:w="7187" w:type="dxa"/>
            <w:noWrap/>
            <w:vAlign w:val="center"/>
          </w:tcPr>
          <w:p>
            <w:pPr>
              <w:spacing w:line="420" w:lineRule="exact"/>
              <w:rPr>
                <w:rFonts w:ascii="宋体" w:hAnsi="宋体" w:cs="宋体"/>
                <w:sz w:val="24"/>
              </w:rPr>
            </w:pPr>
            <w:r>
              <w:rPr>
                <w:rFonts w:hint="eastAsia" w:ascii="宋体" w:hAnsi="宋体" w:cs="宋体"/>
                <w:sz w:val="24"/>
              </w:rPr>
              <w:t xml:space="preserve">①《政府采购促进中小企业发展暂行办法》（财库〔2011〕181号）； </w:t>
            </w:r>
          </w:p>
          <w:p>
            <w:pPr>
              <w:spacing w:line="420" w:lineRule="exact"/>
              <w:rPr>
                <w:rFonts w:ascii="宋体" w:hAnsi="宋体" w:cs="宋体"/>
                <w:sz w:val="24"/>
              </w:rPr>
            </w:pPr>
            <w:r>
              <w:rPr>
                <w:rFonts w:hint="eastAsia" w:ascii="宋体" w:hAnsi="宋体" w:cs="宋体"/>
                <w:sz w:val="24"/>
              </w:rPr>
              <w:t xml:space="preserve">②《财政部司法部关于政府采购支持监狱企业发展有关问题的通知》（财库〔2014〕68号）； </w:t>
            </w:r>
          </w:p>
          <w:p>
            <w:pPr>
              <w:spacing w:line="420" w:lineRule="exact"/>
              <w:rPr>
                <w:rFonts w:ascii="宋体" w:hAnsi="宋体" w:cs="宋体"/>
                <w:sz w:val="24"/>
              </w:rPr>
            </w:pPr>
            <w:r>
              <w:rPr>
                <w:rFonts w:hint="eastAsia" w:ascii="MS Mincho" w:hAnsi="MS Mincho" w:cs="MS Mincho"/>
                <w:sz w:val="24"/>
              </w:rPr>
              <w:t>③</w:t>
            </w:r>
            <w:r>
              <w:rPr>
                <w:rFonts w:hint="eastAsia" w:ascii="宋体" w:hAnsi="宋体" w:cs="宋体"/>
                <w:sz w:val="24"/>
              </w:rPr>
              <w:t xml:space="preserve">《国务院办公厅关于建立政府强制采购节能产品制度的通知》（国办发〔2007〕51号）； </w:t>
            </w:r>
          </w:p>
          <w:p>
            <w:pPr>
              <w:spacing w:line="420" w:lineRule="exact"/>
              <w:rPr>
                <w:rFonts w:ascii="宋体" w:hAnsi="宋体" w:cs="宋体"/>
                <w:sz w:val="24"/>
              </w:rPr>
            </w:pPr>
            <w:r>
              <w:rPr>
                <w:rFonts w:hint="eastAsia" w:ascii="宋体" w:hAnsi="宋体" w:cs="宋体"/>
                <w:sz w:val="24"/>
              </w:rPr>
              <w:t xml:space="preserve">④《财政部环保总局关于环境标志产品政府采购实施的意见》（财库[2006]90号）； </w:t>
            </w:r>
          </w:p>
          <w:p>
            <w:pPr>
              <w:spacing w:line="420" w:lineRule="exact"/>
              <w:rPr>
                <w:rFonts w:ascii="宋体" w:hAnsi="宋体" w:cs="宋体"/>
                <w:sz w:val="24"/>
              </w:rPr>
            </w:pPr>
            <w:r>
              <w:rPr>
                <w:rFonts w:hint="eastAsia" w:ascii="宋体" w:hAnsi="宋体" w:cs="宋体"/>
                <w:sz w:val="24"/>
              </w:rPr>
              <w:t>⑤《财政部国家发展改革委关于印发〈节能产品政府采购实施意见〉的通知》（财库〔2004〕185号）；</w:t>
            </w:r>
          </w:p>
          <w:p>
            <w:pPr>
              <w:pStyle w:val="2"/>
              <w:spacing w:line="420" w:lineRule="exact"/>
              <w:ind w:firstLine="0" w:firstLineChars="0"/>
            </w:pPr>
            <w:r>
              <w:rPr>
                <w:rFonts w:hint="eastAsia" w:ascii="宋体" w:hAnsi="宋体" w:cs="宋体"/>
                <w:sz w:val="24"/>
              </w:rPr>
              <w:t>⑥《三部门联合发布关于促进残疾人就业政府采购政策的通知》（财库〔2017〕141号）。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906" w:type="dxa"/>
            <w:noWrap/>
            <w:vAlign w:val="center"/>
          </w:tcPr>
          <w:p>
            <w:pPr>
              <w:jc w:val="center"/>
              <w:rPr>
                <w:rFonts w:ascii="宋体" w:hAnsi="宋体" w:cs="宋体"/>
                <w:sz w:val="24"/>
              </w:rPr>
            </w:pPr>
            <w:r>
              <w:rPr>
                <w:rFonts w:hint="eastAsia" w:ascii="宋体" w:hAnsi="宋体" w:cs="宋体"/>
                <w:sz w:val="24"/>
              </w:rPr>
              <w:t>26</w:t>
            </w:r>
          </w:p>
        </w:tc>
        <w:tc>
          <w:tcPr>
            <w:tcW w:w="1480" w:type="dxa"/>
            <w:noWrap/>
            <w:vAlign w:val="center"/>
          </w:tcPr>
          <w:p>
            <w:pPr>
              <w:pStyle w:val="33"/>
              <w:spacing w:line="440" w:lineRule="exact"/>
              <w:jc w:val="center"/>
              <w:rPr>
                <w:rFonts w:ascii="宋体" w:hAnsi="宋体" w:cs="宋体"/>
                <w:color w:val="auto"/>
                <w:highlight w:val="none"/>
              </w:rPr>
            </w:pPr>
            <w:r>
              <w:rPr>
                <w:rFonts w:hint="eastAsia" w:ascii="宋体" w:hAnsi="宋体" w:cs="宋体"/>
                <w:color w:val="auto"/>
                <w:highlight w:val="none"/>
              </w:rPr>
              <w:t>付款方式</w:t>
            </w:r>
          </w:p>
        </w:tc>
        <w:tc>
          <w:tcPr>
            <w:tcW w:w="7187" w:type="dxa"/>
            <w:noWrap/>
            <w:vAlign w:val="center"/>
          </w:tcPr>
          <w:p>
            <w:pPr>
              <w:pStyle w:val="33"/>
              <w:spacing w:line="440" w:lineRule="exact"/>
              <w:jc w:val="both"/>
              <w:rPr>
                <w:rFonts w:ascii="宋体" w:hAnsi="宋体" w:cs="宋体"/>
                <w:color w:val="auto"/>
                <w:highlight w:val="none"/>
              </w:rPr>
            </w:pPr>
            <w:r>
              <w:rPr>
                <w:rFonts w:hint="eastAsia" w:ascii="宋体" w:hAnsi="宋体" w:cs="宋体"/>
                <w:color w:val="auto"/>
                <w:highlight w:val="none"/>
              </w:rPr>
              <w:t>（1）整体项目安装调试完毕并验收合格后付合同总价款95%；剩余资金为质量保证金。</w:t>
            </w:r>
          </w:p>
          <w:p>
            <w:pPr>
              <w:pStyle w:val="33"/>
              <w:spacing w:line="440" w:lineRule="exact"/>
              <w:jc w:val="both"/>
              <w:rPr>
                <w:rFonts w:ascii="宋体" w:hAnsi="宋体" w:cs="宋体"/>
                <w:color w:val="auto"/>
                <w:highlight w:val="none"/>
              </w:rPr>
            </w:pPr>
            <w:r>
              <w:rPr>
                <w:rFonts w:hint="eastAsia" w:ascii="宋体" w:hAnsi="宋体" w:cs="宋体"/>
                <w:color w:val="auto"/>
                <w:highlight w:val="none"/>
              </w:rPr>
              <w:t>（2）剩余合同总价款5％，项目整体验收合格满两年后无质量问题，一个月内无息一次付清。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06" w:type="dxa"/>
            <w:noWrap/>
            <w:vAlign w:val="center"/>
          </w:tcPr>
          <w:p>
            <w:pPr>
              <w:jc w:val="center"/>
              <w:rPr>
                <w:rFonts w:ascii="宋体" w:hAnsi="宋体" w:cs="宋体"/>
                <w:sz w:val="24"/>
              </w:rPr>
            </w:pPr>
            <w:r>
              <w:rPr>
                <w:rFonts w:hint="eastAsia" w:ascii="宋体" w:hAnsi="宋体" w:cs="宋体"/>
                <w:sz w:val="24"/>
              </w:rPr>
              <w:t>27</w:t>
            </w:r>
          </w:p>
        </w:tc>
        <w:tc>
          <w:tcPr>
            <w:tcW w:w="1480" w:type="dxa"/>
            <w:noWrap/>
            <w:vAlign w:val="center"/>
          </w:tcPr>
          <w:p>
            <w:pPr>
              <w:spacing w:line="440" w:lineRule="exact"/>
              <w:jc w:val="center"/>
              <w:rPr>
                <w:rFonts w:ascii="宋体" w:hAnsi="宋体" w:cs="宋体"/>
                <w:sz w:val="24"/>
              </w:rPr>
            </w:pPr>
            <w:r>
              <w:rPr>
                <w:rFonts w:hint="eastAsia" w:ascii="宋体" w:hAnsi="宋体" w:cs="宋体"/>
                <w:sz w:val="24"/>
              </w:rPr>
              <w:t>代理费</w:t>
            </w:r>
          </w:p>
        </w:tc>
        <w:tc>
          <w:tcPr>
            <w:tcW w:w="7187" w:type="dxa"/>
            <w:noWrap/>
            <w:vAlign w:val="center"/>
          </w:tcPr>
          <w:p>
            <w:pPr>
              <w:pStyle w:val="33"/>
              <w:spacing w:line="440" w:lineRule="exact"/>
              <w:jc w:val="both"/>
              <w:rPr>
                <w:rFonts w:ascii="宋体" w:hAnsi="宋体" w:cs="宋体"/>
              </w:rPr>
            </w:pPr>
            <w:r>
              <w:rPr>
                <w:rFonts w:hint="eastAsia" w:ascii="宋体" w:hAnsi="宋体" w:cs="宋体"/>
              </w:rPr>
              <w:t>成交供应商应依据成交金额向代理机构缴纳代理服务费，招标代理服务费收取按照国家计委颁布的《招标代理服务收费管理暂行办法》（计价格[2002]1980号）和（发改办价格[2003]857号）文收费标准计取，此服务费应计入磋商报价中，但不需要单独开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0" w:hRule="atLeast"/>
          <w:jc w:val="center"/>
        </w:trPr>
        <w:tc>
          <w:tcPr>
            <w:tcW w:w="906" w:type="dxa"/>
            <w:noWrap/>
            <w:vAlign w:val="center"/>
          </w:tcPr>
          <w:p>
            <w:pPr>
              <w:jc w:val="center"/>
              <w:rPr>
                <w:rFonts w:ascii="宋体" w:hAnsi="宋体" w:cs="宋体"/>
                <w:sz w:val="24"/>
              </w:rPr>
            </w:pPr>
            <w:r>
              <w:rPr>
                <w:rFonts w:hint="eastAsia" w:ascii="宋体" w:hAnsi="宋体" w:cs="宋体"/>
                <w:sz w:val="24"/>
              </w:rPr>
              <w:t>28</w:t>
            </w:r>
          </w:p>
        </w:tc>
        <w:tc>
          <w:tcPr>
            <w:tcW w:w="1480" w:type="dxa"/>
            <w:noWrap/>
            <w:vAlign w:val="center"/>
          </w:tcPr>
          <w:p>
            <w:pPr>
              <w:spacing w:line="440" w:lineRule="exact"/>
              <w:jc w:val="center"/>
              <w:rPr>
                <w:rFonts w:ascii="宋体" w:hAnsi="宋体" w:cs="宋体"/>
                <w:sz w:val="24"/>
              </w:rPr>
            </w:pPr>
            <w:r>
              <w:rPr>
                <w:rFonts w:hint="eastAsia" w:ascii="宋体" w:hAnsi="宋体" w:cs="宋体"/>
                <w:sz w:val="24"/>
              </w:rPr>
              <w:t>履约担保</w:t>
            </w:r>
          </w:p>
        </w:tc>
        <w:tc>
          <w:tcPr>
            <w:tcW w:w="7187" w:type="dxa"/>
            <w:noWrap/>
            <w:vAlign w:val="center"/>
          </w:tcPr>
          <w:p>
            <w:pPr>
              <w:pStyle w:val="33"/>
              <w:spacing w:line="440" w:lineRule="exact"/>
              <w:jc w:val="both"/>
              <w:rPr>
                <w:rFonts w:ascii="宋体" w:hAnsi="宋体" w:cs="宋体"/>
              </w:rPr>
            </w:pPr>
            <w:r>
              <w:rPr>
                <w:rFonts w:hint="eastAsia" w:ascii="宋体" w:hAnsi="宋体" w:cs="宋体"/>
              </w:rPr>
              <w:t>无</w:t>
            </w:r>
          </w:p>
        </w:tc>
      </w:tr>
    </w:tbl>
    <w:p>
      <w:pPr>
        <w:spacing w:beforeLines="100" w:line="360" w:lineRule="auto"/>
        <w:jc w:val="center"/>
        <w:outlineLvl w:val="1"/>
        <w:rPr>
          <w:rFonts w:ascii="宋体" w:hAnsi="宋体" w:cs="宋体"/>
          <w:b/>
          <w:sz w:val="30"/>
          <w:szCs w:val="30"/>
        </w:rPr>
        <w:sectPr>
          <w:pgSz w:w="11906" w:h="16838"/>
          <w:pgMar w:top="1440" w:right="1080" w:bottom="1440" w:left="1080" w:header="1077" w:footer="907" w:gutter="0"/>
          <w:cols w:space="720" w:num="1"/>
          <w:titlePg/>
          <w:docGrid w:type="lines" w:linePitch="312" w:charSpace="0"/>
        </w:sectPr>
      </w:pPr>
    </w:p>
    <w:p>
      <w:pPr>
        <w:spacing w:beforeLines="100" w:line="360" w:lineRule="auto"/>
        <w:jc w:val="center"/>
        <w:outlineLvl w:val="1"/>
        <w:rPr>
          <w:rFonts w:ascii="宋体" w:hAnsi="宋体" w:cs="宋体"/>
          <w:b/>
          <w:sz w:val="32"/>
          <w:szCs w:val="32"/>
        </w:rPr>
      </w:pPr>
      <w:r>
        <w:rPr>
          <w:rFonts w:hint="eastAsia" w:ascii="宋体" w:hAnsi="宋体" w:cs="宋体"/>
          <w:b/>
          <w:sz w:val="30"/>
          <w:szCs w:val="30"/>
        </w:rPr>
        <w:t>供应商须知正文</w:t>
      </w:r>
    </w:p>
    <w:p>
      <w:pPr>
        <w:spacing w:line="460" w:lineRule="atLeast"/>
        <w:jc w:val="left"/>
        <w:outlineLvl w:val="1"/>
        <w:rPr>
          <w:rFonts w:ascii="宋体" w:hAnsi="宋体" w:cs="宋体"/>
          <w:b/>
          <w:sz w:val="24"/>
        </w:rPr>
      </w:pPr>
      <w:r>
        <w:rPr>
          <w:rFonts w:hint="eastAsia" w:ascii="宋体" w:hAnsi="宋体" w:cs="宋体"/>
          <w:b/>
          <w:sz w:val="24"/>
        </w:rPr>
        <w:t>一、名词解释</w:t>
      </w:r>
      <w:bookmarkEnd w:id="13"/>
    </w:p>
    <w:p>
      <w:pPr>
        <w:spacing w:line="460" w:lineRule="exact"/>
        <w:ind w:firstLine="480" w:firstLineChars="200"/>
        <w:jc w:val="left"/>
        <w:rPr>
          <w:rFonts w:ascii="宋体" w:hAnsi="宋体" w:cs="宋体"/>
          <w:sz w:val="24"/>
        </w:rPr>
      </w:pPr>
      <w:bookmarkStart w:id="14" w:name="_Toc24448"/>
      <w:r>
        <w:rPr>
          <w:rFonts w:hint="eastAsia" w:ascii="宋体" w:hAnsi="宋体" w:cs="宋体"/>
          <w:sz w:val="24"/>
        </w:rPr>
        <w:t>1.采购人：西安市阎良区西飞第一中学</w:t>
      </w:r>
    </w:p>
    <w:p>
      <w:pPr>
        <w:spacing w:line="460" w:lineRule="exact"/>
        <w:ind w:firstLine="480" w:firstLineChars="200"/>
        <w:rPr>
          <w:rFonts w:ascii="宋体" w:hAnsi="宋体" w:cs="宋体"/>
          <w:sz w:val="24"/>
        </w:rPr>
      </w:pPr>
      <w:r>
        <w:rPr>
          <w:rFonts w:hint="eastAsia" w:ascii="宋体" w:hAnsi="宋体" w:cs="宋体"/>
          <w:sz w:val="24"/>
        </w:rPr>
        <w:t>2.监督机构：西安市阎良区财政局</w:t>
      </w:r>
    </w:p>
    <w:p>
      <w:pPr>
        <w:spacing w:line="460" w:lineRule="exact"/>
        <w:ind w:firstLine="1920" w:firstLineChars="800"/>
        <w:rPr>
          <w:rFonts w:ascii="宋体" w:hAnsi="宋体" w:cs="宋体"/>
          <w:sz w:val="24"/>
        </w:rPr>
      </w:pPr>
      <w:r>
        <w:rPr>
          <w:rFonts w:hint="eastAsia" w:ascii="宋体" w:hAnsi="宋体" w:cs="宋体"/>
          <w:sz w:val="24"/>
        </w:rPr>
        <w:t>西安市阎良区教育局</w:t>
      </w:r>
    </w:p>
    <w:p>
      <w:pPr>
        <w:spacing w:line="460" w:lineRule="exact"/>
        <w:ind w:firstLine="480" w:firstLineChars="200"/>
        <w:rPr>
          <w:rFonts w:ascii="宋体" w:hAnsi="宋体" w:cs="宋体"/>
          <w:sz w:val="24"/>
        </w:rPr>
      </w:pPr>
      <w:r>
        <w:rPr>
          <w:rFonts w:hint="eastAsia" w:ascii="宋体" w:hAnsi="宋体" w:cs="宋体"/>
          <w:sz w:val="24"/>
        </w:rPr>
        <w:t>3.采购代理机构：陕西盛世嘉和招标有限公司</w:t>
      </w:r>
    </w:p>
    <w:p>
      <w:pPr>
        <w:spacing w:line="460" w:lineRule="exact"/>
        <w:ind w:firstLine="480" w:firstLineChars="200"/>
        <w:rPr>
          <w:rFonts w:ascii="宋体" w:hAnsi="宋体" w:cs="宋体"/>
          <w:sz w:val="24"/>
        </w:rPr>
      </w:pPr>
      <w:r>
        <w:rPr>
          <w:rFonts w:hint="eastAsia" w:ascii="宋体" w:hAnsi="宋体" w:cs="宋体"/>
          <w:sz w:val="24"/>
        </w:rPr>
        <w:t>4.供应商：</w:t>
      </w:r>
      <w:r>
        <w:rPr>
          <w:rFonts w:hint="eastAsia" w:ascii="宋体" w:hAnsi="宋体" w:cs="宋体"/>
          <w:sz w:val="24"/>
          <w:szCs w:val="22"/>
          <w:lang w:val="zh-CN"/>
        </w:rPr>
        <w:t>响应磋商并且参加磋商竞争的法人、其他组织或者自然人</w:t>
      </w:r>
    </w:p>
    <w:p>
      <w:pPr>
        <w:spacing w:line="460" w:lineRule="atLeast"/>
        <w:jc w:val="left"/>
        <w:outlineLvl w:val="1"/>
        <w:rPr>
          <w:rFonts w:ascii="宋体" w:hAnsi="宋体" w:cs="宋体"/>
          <w:b/>
          <w:sz w:val="24"/>
        </w:rPr>
      </w:pPr>
      <w:r>
        <w:rPr>
          <w:rFonts w:hint="eastAsia" w:ascii="宋体" w:hAnsi="宋体" w:cs="宋体"/>
          <w:b/>
          <w:sz w:val="24"/>
        </w:rPr>
        <w:t>二、</w:t>
      </w:r>
      <w:bookmarkEnd w:id="14"/>
      <w:r>
        <w:rPr>
          <w:rFonts w:hint="eastAsia" w:ascii="宋体" w:hAnsi="宋体" w:cs="宋体"/>
          <w:b/>
          <w:sz w:val="24"/>
        </w:rPr>
        <w:t>供应商</w:t>
      </w:r>
    </w:p>
    <w:p>
      <w:pPr>
        <w:spacing w:line="460" w:lineRule="atLeast"/>
        <w:ind w:firstLine="482" w:firstLineChars="200"/>
        <w:rPr>
          <w:rFonts w:ascii="宋体" w:hAnsi="宋体" w:cs="宋体"/>
          <w:b/>
          <w:sz w:val="24"/>
        </w:rPr>
      </w:pPr>
      <w:r>
        <w:rPr>
          <w:rFonts w:hint="eastAsia" w:ascii="宋体" w:hAnsi="宋体" w:cs="宋体"/>
          <w:b/>
          <w:sz w:val="24"/>
        </w:rPr>
        <w:t>1.合格供应商</w:t>
      </w:r>
    </w:p>
    <w:p>
      <w:pPr>
        <w:spacing w:line="460" w:lineRule="atLeast"/>
        <w:ind w:firstLine="480" w:firstLineChars="200"/>
        <w:rPr>
          <w:rFonts w:ascii="宋体" w:hAnsi="宋体" w:cs="宋体"/>
          <w:sz w:val="24"/>
        </w:rPr>
      </w:pPr>
      <w:r>
        <w:rPr>
          <w:rFonts w:hint="eastAsia" w:ascii="宋体" w:hAnsi="宋体" w:cs="宋体"/>
          <w:sz w:val="24"/>
        </w:rPr>
        <w:t>（1）具有独立承担民事责任的能力；</w:t>
      </w:r>
    </w:p>
    <w:p>
      <w:pPr>
        <w:spacing w:line="460" w:lineRule="atLeast"/>
        <w:ind w:firstLine="480" w:firstLineChars="200"/>
        <w:rPr>
          <w:rFonts w:ascii="宋体" w:hAnsi="宋体" w:cs="宋体"/>
          <w:sz w:val="24"/>
        </w:rPr>
      </w:pPr>
      <w:r>
        <w:rPr>
          <w:rFonts w:hint="eastAsia" w:ascii="宋体" w:hAnsi="宋体" w:cs="宋体"/>
          <w:sz w:val="24"/>
        </w:rPr>
        <w:t>（2）具有良好的商业信誉和健全的财务会计制度；</w:t>
      </w:r>
    </w:p>
    <w:p>
      <w:pPr>
        <w:spacing w:line="460" w:lineRule="atLeast"/>
        <w:ind w:firstLine="480" w:firstLineChars="200"/>
        <w:rPr>
          <w:rFonts w:ascii="宋体" w:hAnsi="宋体" w:cs="宋体"/>
          <w:sz w:val="24"/>
        </w:rPr>
      </w:pPr>
      <w:r>
        <w:rPr>
          <w:rFonts w:hint="eastAsia" w:ascii="宋体" w:hAnsi="宋体" w:cs="宋体"/>
          <w:sz w:val="24"/>
        </w:rPr>
        <w:t>（3）具有履行合同所必需的设备和专业技术能力；</w:t>
      </w:r>
    </w:p>
    <w:p>
      <w:pPr>
        <w:spacing w:line="460" w:lineRule="atLeast"/>
        <w:ind w:firstLine="480" w:firstLineChars="200"/>
        <w:rPr>
          <w:rFonts w:ascii="宋体" w:hAnsi="宋体" w:cs="宋体"/>
          <w:sz w:val="24"/>
        </w:rPr>
      </w:pPr>
      <w:r>
        <w:rPr>
          <w:rFonts w:hint="eastAsia" w:ascii="宋体" w:hAnsi="宋体" w:cs="宋体"/>
          <w:sz w:val="24"/>
        </w:rPr>
        <w:t>（4）有依法缴纳税收和社会保障资金的良好记录；</w:t>
      </w:r>
    </w:p>
    <w:p>
      <w:pPr>
        <w:spacing w:line="460" w:lineRule="atLeast"/>
        <w:ind w:firstLine="480" w:firstLineChars="200"/>
        <w:rPr>
          <w:rFonts w:ascii="宋体" w:hAnsi="宋体" w:cs="宋体"/>
          <w:sz w:val="24"/>
        </w:rPr>
      </w:pPr>
      <w:r>
        <w:rPr>
          <w:rFonts w:hint="eastAsia" w:ascii="宋体" w:hAnsi="宋体" w:cs="宋体"/>
          <w:sz w:val="24"/>
        </w:rPr>
        <w:t>（5）参加政府采购活动前三年内，在经营活动中没有重大违法记录；</w:t>
      </w:r>
    </w:p>
    <w:p>
      <w:pPr>
        <w:spacing w:line="460" w:lineRule="atLeast"/>
        <w:ind w:firstLine="480" w:firstLineChars="200"/>
        <w:rPr>
          <w:rFonts w:ascii="宋体" w:hAnsi="宋体" w:cs="宋体"/>
          <w:sz w:val="24"/>
        </w:rPr>
      </w:pPr>
      <w:r>
        <w:rPr>
          <w:rFonts w:hint="eastAsia" w:ascii="宋体" w:hAnsi="宋体" w:cs="宋体"/>
          <w:sz w:val="24"/>
        </w:rPr>
        <w:t>（6）法律、行政法规规定的其它条件。</w:t>
      </w:r>
    </w:p>
    <w:p>
      <w:pPr>
        <w:spacing w:line="460" w:lineRule="atLeast"/>
        <w:ind w:firstLine="482" w:firstLineChars="200"/>
        <w:rPr>
          <w:rFonts w:ascii="宋体" w:hAnsi="宋体" w:cs="宋体"/>
          <w:b/>
          <w:sz w:val="24"/>
        </w:rPr>
      </w:pPr>
      <w:r>
        <w:rPr>
          <w:rFonts w:hint="eastAsia" w:ascii="宋体" w:hAnsi="宋体" w:cs="宋体"/>
          <w:b/>
          <w:sz w:val="24"/>
        </w:rPr>
        <w:t>2.磋商费用</w:t>
      </w:r>
    </w:p>
    <w:p>
      <w:pPr>
        <w:spacing w:line="460" w:lineRule="atLeast"/>
        <w:ind w:firstLine="480" w:firstLineChars="200"/>
        <w:rPr>
          <w:rFonts w:ascii="宋体" w:hAnsi="宋体" w:cs="宋体"/>
          <w:sz w:val="24"/>
        </w:rPr>
      </w:pPr>
      <w:r>
        <w:rPr>
          <w:rFonts w:hint="eastAsia" w:ascii="宋体" w:hAnsi="宋体" w:cs="宋体"/>
          <w:sz w:val="24"/>
        </w:rPr>
        <w:t>无论磋商结果如何，供应商自行承担参加磋商相关的全部费用。</w:t>
      </w:r>
    </w:p>
    <w:p>
      <w:pPr>
        <w:spacing w:line="460" w:lineRule="atLeast"/>
        <w:ind w:firstLine="482" w:firstLineChars="200"/>
        <w:rPr>
          <w:rFonts w:ascii="宋体" w:hAnsi="宋体" w:cs="宋体"/>
          <w:b/>
          <w:bCs/>
          <w:sz w:val="24"/>
        </w:rPr>
      </w:pPr>
      <w:bookmarkStart w:id="15" w:name="_Toc6188"/>
      <w:r>
        <w:rPr>
          <w:rFonts w:hint="eastAsia" w:ascii="宋体" w:hAnsi="宋体" w:cs="宋体"/>
          <w:b/>
          <w:bCs/>
          <w:sz w:val="24"/>
        </w:rPr>
        <w:t>3.限制磋商的供应商</w:t>
      </w:r>
    </w:p>
    <w:p>
      <w:pPr>
        <w:spacing w:line="460" w:lineRule="atLeast"/>
        <w:ind w:firstLine="480" w:firstLineChars="200"/>
        <w:rPr>
          <w:rFonts w:ascii="宋体" w:hAnsi="宋体" w:cs="宋体"/>
          <w:sz w:val="24"/>
        </w:rPr>
      </w:pPr>
      <w:r>
        <w:rPr>
          <w:rFonts w:hint="eastAsia" w:ascii="宋体" w:hAnsi="宋体" w:cs="宋体"/>
          <w:sz w:val="24"/>
        </w:rPr>
        <w:t>（1）供应商单位负责人为同一人或者存在直接控股、管理关系的不同供应商，不得参加同一项目同一包号的政府采购活动（并提供国家企业信用信息公示系统http://www.gsxt.gov.cn/index.html网页截图并加盖供应商红章）。如果供应商在磋商中隐瞒了上述关系，其磋商响应文件按照无效处理。</w:t>
      </w:r>
    </w:p>
    <w:p>
      <w:pPr>
        <w:spacing w:line="460" w:lineRule="atLeast"/>
        <w:ind w:firstLine="480" w:firstLineChars="200"/>
        <w:rPr>
          <w:rFonts w:ascii="宋体" w:hAnsi="宋体" w:cs="宋体"/>
          <w:sz w:val="24"/>
        </w:rPr>
      </w:pPr>
      <w:r>
        <w:rPr>
          <w:rFonts w:hint="eastAsia" w:ascii="宋体" w:hAnsi="宋体" w:cs="宋体"/>
          <w:sz w:val="24"/>
        </w:rPr>
        <w:t>（2）为采购项目提供整体设计、规范编制或者项目管理、监理、检测等服务的供应商，不得再参加同一项目同一包号的其他采购活动。如果供应商在磋商中隐瞒了上述事实，其磋商响应文件按照无效处理。</w:t>
      </w:r>
    </w:p>
    <w:p>
      <w:pPr>
        <w:spacing w:line="460" w:lineRule="atLeast"/>
        <w:jc w:val="left"/>
        <w:outlineLvl w:val="1"/>
        <w:rPr>
          <w:rFonts w:ascii="宋体" w:hAnsi="宋体" w:cs="宋体"/>
          <w:b/>
          <w:sz w:val="24"/>
        </w:rPr>
      </w:pPr>
      <w:r>
        <w:rPr>
          <w:rFonts w:hint="eastAsia" w:ascii="宋体" w:hAnsi="宋体" w:cs="宋体"/>
          <w:b/>
          <w:sz w:val="24"/>
        </w:rPr>
        <w:t>三、磋商文件</w:t>
      </w:r>
      <w:bookmarkEnd w:id="15"/>
    </w:p>
    <w:p>
      <w:pPr>
        <w:spacing w:line="460" w:lineRule="atLeast"/>
        <w:ind w:firstLine="241" w:firstLineChars="100"/>
        <w:rPr>
          <w:rFonts w:ascii="宋体" w:hAnsi="宋体" w:cs="宋体"/>
          <w:b/>
          <w:sz w:val="24"/>
        </w:rPr>
      </w:pPr>
      <w:r>
        <w:rPr>
          <w:rFonts w:hint="eastAsia" w:ascii="宋体" w:hAnsi="宋体" w:cs="宋体"/>
          <w:b/>
          <w:sz w:val="24"/>
        </w:rPr>
        <w:t>1.磋商文件</w:t>
      </w:r>
    </w:p>
    <w:p>
      <w:pPr>
        <w:spacing w:line="460" w:lineRule="atLeast"/>
        <w:ind w:firstLine="480" w:firstLineChars="200"/>
        <w:rPr>
          <w:rFonts w:ascii="宋体" w:hAnsi="宋体" w:cs="宋体"/>
          <w:sz w:val="24"/>
        </w:rPr>
      </w:pPr>
      <w:r>
        <w:rPr>
          <w:rFonts w:hint="eastAsia" w:ascii="宋体" w:hAnsi="宋体" w:cs="宋体"/>
          <w:sz w:val="24"/>
        </w:rPr>
        <w:t>（1）磋商文件由磋商文件总目录所列内容组成；供应商应详细阅读磋商文件中所有的事项、格式、条款和规范要求,在磋商响应文件中对磋商文件的各方面都应做出实质性的响应，</w:t>
      </w:r>
    </w:p>
    <w:p>
      <w:pPr>
        <w:spacing w:line="460" w:lineRule="atLeast"/>
        <w:ind w:firstLine="480" w:firstLineChars="200"/>
        <w:rPr>
          <w:rFonts w:ascii="宋体" w:hAnsi="宋体" w:cs="宋体"/>
          <w:sz w:val="24"/>
        </w:rPr>
      </w:pPr>
      <w:r>
        <w:rPr>
          <w:rFonts w:hint="eastAsia" w:ascii="宋体" w:hAnsi="宋体" w:cs="宋体"/>
          <w:sz w:val="24"/>
        </w:rPr>
        <w:t>（2）采购人或采购代理机构可以对已发出的磋商文件进行必要的澄清或者修改，澄清或者修改的内容作为磋商文件的组成部分。澄清或者修改的内容可能影响响应文件编制的，采购人、采购代理机构应当在提交响应文件截止时间至少五日前，以书面形式通知所有获取磋商文件的供应商；不足五日的，采购人、采购代理机构应当顺延提交响应文件截止时间。</w:t>
      </w:r>
    </w:p>
    <w:p>
      <w:pPr>
        <w:spacing w:line="460" w:lineRule="atLeast"/>
        <w:ind w:firstLine="480" w:firstLineChars="200"/>
        <w:rPr>
          <w:rFonts w:ascii="宋体" w:hAnsi="宋体" w:cs="宋体"/>
          <w:b/>
          <w:bCs/>
          <w:sz w:val="24"/>
        </w:rPr>
      </w:pPr>
      <w:r>
        <w:rPr>
          <w:rFonts w:hint="eastAsia" w:ascii="宋体" w:hAnsi="宋体" w:cs="宋体"/>
          <w:sz w:val="24"/>
        </w:rPr>
        <w:t>（3）对采购活动事项或采购文件有疑问的供应商，应在磋商截止时间两个工作日前，按磋商文件中的通讯地址以书面形式通知采购代理机构，采购代理机构将予以答复，且作为磋商文件的组成部分。供应商对文件中有关表述不准确或难以理解或有疑义的内容，各供应商应及时与采购代理机构联系，否则，视为认同磋商文件的所有条款。</w:t>
      </w:r>
    </w:p>
    <w:p>
      <w:pPr>
        <w:spacing w:line="460" w:lineRule="atLeast"/>
        <w:ind w:firstLine="480" w:firstLineChars="200"/>
        <w:rPr>
          <w:rFonts w:ascii="宋体" w:hAnsi="宋体" w:cs="宋体"/>
          <w:sz w:val="24"/>
        </w:rPr>
      </w:pPr>
      <w:r>
        <w:rPr>
          <w:rFonts w:hint="eastAsia" w:ascii="宋体" w:hAnsi="宋体" w:cs="宋体"/>
          <w:sz w:val="24"/>
        </w:rPr>
        <w:t>（4）供应商必须从采购代理机构购买磋商文件，供应商自行转让或复制的磋商文件视为无效文件；磋商文件一经售出，一律不退，仅作为本次磋商使用。</w:t>
      </w:r>
    </w:p>
    <w:p>
      <w:pPr>
        <w:spacing w:line="460" w:lineRule="atLeast"/>
        <w:ind w:firstLine="480" w:firstLineChars="200"/>
        <w:rPr>
          <w:rFonts w:ascii="宋体" w:hAnsi="宋体" w:cs="宋体"/>
          <w:sz w:val="24"/>
        </w:rPr>
      </w:pPr>
      <w:r>
        <w:rPr>
          <w:rFonts w:hint="eastAsia" w:ascii="宋体" w:hAnsi="宋体" w:cs="宋体"/>
          <w:sz w:val="24"/>
        </w:rPr>
        <w:t>（5）</w:t>
      </w:r>
      <w:r>
        <w:rPr>
          <w:rFonts w:hint="eastAsia" w:ascii="宋体" w:hAnsi="宋体" w:cs="宋体"/>
          <w:color w:val="000000"/>
          <w:sz w:val="24"/>
          <w:szCs w:val="20"/>
        </w:rPr>
        <w:t>根据《中华人民共和国政府采购</w:t>
      </w:r>
      <w:r>
        <w:rPr>
          <w:rFonts w:hint="eastAsia" w:ascii="宋体" w:hAnsi="宋体" w:cs="宋体"/>
          <w:sz w:val="24"/>
          <w:szCs w:val="20"/>
        </w:rPr>
        <w:t>法》、《中华人民共和国政府采购法实施条例》和</w:t>
      </w:r>
      <w:r>
        <w:rPr>
          <w:rFonts w:hint="eastAsia" w:ascii="宋体" w:hAnsi="宋体" w:cs="宋体"/>
          <w:color w:val="000000"/>
          <w:sz w:val="24"/>
          <w:szCs w:val="20"/>
        </w:rPr>
        <w:t>《政府采购竞争性磋商采购方式管理暂行办法》的条款，本着公开、公平、公正的原则进行处理。</w:t>
      </w:r>
    </w:p>
    <w:p>
      <w:pPr>
        <w:spacing w:line="460" w:lineRule="atLeast"/>
        <w:ind w:firstLine="480" w:firstLineChars="200"/>
        <w:rPr>
          <w:rFonts w:ascii="宋体" w:hAnsi="宋体" w:cs="宋体"/>
          <w:sz w:val="24"/>
        </w:rPr>
      </w:pPr>
      <w:r>
        <w:rPr>
          <w:rFonts w:hint="eastAsia" w:ascii="宋体" w:hAnsi="宋体" w:cs="宋体"/>
          <w:sz w:val="24"/>
        </w:rPr>
        <w:t>（6）本次磋商文件的解释权归采购代理机构。</w:t>
      </w:r>
    </w:p>
    <w:p>
      <w:pPr>
        <w:spacing w:line="460" w:lineRule="atLeast"/>
        <w:jc w:val="left"/>
        <w:rPr>
          <w:rFonts w:ascii="宋体" w:hAnsi="宋体" w:cs="宋体"/>
          <w:b/>
          <w:sz w:val="24"/>
        </w:rPr>
      </w:pPr>
      <w:r>
        <w:rPr>
          <w:rFonts w:hint="eastAsia" w:ascii="宋体" w:hAnsi="宋体" w:cs="宋体"/>
          <w:b/>
          <w:sz w:val="24"/>
        </w:rPr>
        <w:t>四、磋商要求</w:t>
      </w:r>
    </w:p>
    <w:p>
      <w:pPr>
        <w:spacing w:line="460" w:lineRule="atLeast"/>
        <w:ind w:firstLine="482" w:firstLineChars="200"/>
        <w:rPr>
          <w:rFonts w:ascii="宋体" w:hAnsi="宋体" w:cs="宋体"/>
          <w:b/>
          <w:sz w:val="24"/>
        </w:rPr>
      </w:pPr>
      <w:r>
        <w:rPr>
          <w:rFonts w:hint="eastAsia" w:ascii="宋体" w:hAnsi="宋体" w:cs="宋体"/>
          <w:b/>
          <w:sz w:val="24"/>
        </w:rPr>
        <w:t>1.磋商内容</w:t>
      </w:r>
    </w:p>
    <w:p>
      <w:pPr>
        <w:spacing w:line="460" w:lineRule="atLeast"/>
        <w:ind w:firstLine="480" w:firstLineChars="200"/>
        <w:rPr>
          <w:rFonts w:ascii="宋体" w:hAnsi="宋体" w:cs="宋体"/>
          <w:bCs/>
          <w:sz w:val="24"/>
        </w:rPr>
      </w:pPr>
      <w:r>
        <w:rPr>
          <w:rFonts w:hint="eastAsia" w:ascii="宋体" w:hAnsi="宋体" w:cs="宋体"/>
          <w:bCs/>
          <w:sz w:val="24"/>
        </w:rPr>
        <w:t>本次磋商为:西安市阎良区西飞第一中学智慧校园综合管理平台建设项目。供应商可根据自身的情况和经营范围对项目进行磋商，不得将其子目再行分解或只响应其中的一部分内容，否则磋商无效；</w:t>
      </w:r>
    </w:p>
    <w:p>
      <w:pPr>
        <w:spacing w:line="460" w:lineRule="atLeast"/>
        <w:ind w:firstLine="482" w:firstLineChars="200"/>
        <w:rPr>
          <w:rFonts w:ascii="宋体" w:hAnsi="宋体" w:cs="宋体"/>
          <w:sz w:val="24"/>
        </w:rPr>
      </w:pPr>
      <w:r>
        <w:rPr>
          <w:rFonts w:hint="eastAsia" w:ascii="宋体" w:hAnsi="宋体" w:cs="宋体"/>
          <w:b/>
          <w:sz w:val="24"/>
        </w:rPr>
        <w:t>2.合格供应商要求：</w:t>
      </w:r>
    </w:p>
    <w:p>
      <w:pPr>
        <w:spacing w:line="420" w:lineRule="exact"/>
        <w:ind w:firstLine="480" w:firstLineChars="200"/>
        <w:rPr>
          <w:rFonts w:ascii="宋体" w:hAnsi="宋体" w:cs="宋体"/>
          <w:sz w:val="24"/>
        </w:rPr>
      </w:pPr>
      <w:r>
        <w:rPr>
          <w:rFonts w:hint="eastAsia" w:ascii="宋体" w:hAnsi="宋体" w:cs="宋体"/>
          <w:kern w:val="0"/>
          <w:sz w:val="24"/>
          <w:szCs w:val="20"/>
        </w:rPr>
        <w:t>（1）</w:t>
      </w:r>
      <w:r>
        <w:rPr>
          <w:rFonts w:hint="eastAsia" w:ascii="宋体" w:hAnsi="宋体" w:cs="宋体"/>
          <w:bCs/>
          <w:color w:val="000000"/>
          <w:sz w:val="24"/>
        </w:rPr>
        <w:t>提供合格有效的法人或者其他组织的营业执照等证明文件或自然人的身份证明</w:t>
      </w:r>
      <w:r>
        <w:rPr>
          <w:rFonts w:hint="eastAsia" w:ascii="宋体" w:hAnsi="宋体" w:cs="宋体"/>
          <w:sz w:val="24"/>
        </w:rPr>
        <w:t>；</w:t>
      </w:r>
    </w:p>
    <w:p>
      <w:pPr>
        <w:spacing w:line="420" w:lineRule="exact"/>
        <w:ind w:firstLine="480" w:firstLineChars="200"/>
        <w:rPr>
          <w:rFonts w:ascii="宋体" w:hAnsi="宋体" w:cs="宋体"/>
          <w:sz w:val="24"/>
        </w:rPr>
      </w:pPr>
      <w:r>
        <w:rPr>
          <w:rFonts w:hint="eastAsia" w:ascii="宋体" w:hAnsi="宋体" w:cs="宋体"/>
          <w:kern w:val="0"/>
          <w:sz w:val="24"/>
          <w:szCs w:val="20"/>
        </w:rPr>
        <w:t>（2）</w:t>
      </w:r>
      <w:r>
        <w:rPr>
          <w:rFonts w:hint="eastAsia" w:ascii="宋体" w:hAnsi="宋体" w:cs="宋体"/>
          <w:sz w:val="24"/>
        </w:rPr>
        <w:t>财务状况报告：提供2018年度至今任一年的财务审计报告或其招标前三个月内其基本存款账户开户银行出具的资信证明及基本存款账户开户许可证；</w:t>
      </w:r>
    </w:p>
    <w:p>
      <w:pPr>
        <w:spacing w:line="420" w:lineRule="exact"/>
        <w:ind w:firstLine="480" w:firstLineChars="200"/>
        <w:rPr>
          <w:rFonts w:ascii="宋体" w:hAnsi="宋体" w:cs="宋体"/>
          <w:color w:val="auto"/>
          <w:sz w:val="24"/>
        </w:rPr>
      </w:pPr>
      <w:r>
        <w:rPr>
          <w:rFonts w:hint="eastAsia" w:ascii="宋体" w:hAnsi="宋体" w:cs="宋体"/>
          <w:kern w:val="0"/>
          <w:sz w:val="24"/>
          <w:szCs w:val="20"/>
        </w:rPr>
        <w:t>（3）</w:t>
      </w:r>
      <w:r>
        <w:rPr>
          <w:rFonts w:hint="eastAsia" w:ascii="宋体" w:hAnsi="宋体" w:cs="宋体"/>
          <w:sz w:val="24"/>
        </w:rPr>
        <w:t>税收缴纳证明：提供招标截止日前一年内已缴纳的</w:t>
      </w:r>
      <w:r>
        <w:rPr>
          <w:rFonts w:hint="eastAsia" w:ascii="宋体" w:hAnsi="宋体" w:cs="宋体"/>
          <w:color w:val="auto"/>
          <w:sz w:val="24"/>
        </w:rPr>
        <w:t>至少三个月的纳税证明或完税证明，依法免税的单位应提供相关证明材料；</w:t>
      </w:r>
    </w:p>
    <w:p>
      <w:pPr>
        <w:spacing w:line="420" w:lineRule="exact"/>
        <w:ind w:firstLine="480" w:firstLineChars="200"/>
        <w:rPr>
          <w:rFonts w:ascii="宋体" w:hAnsi="宋体" w:cs="宋体"/>
          <w:sz w:val="24"/>
        </w:rPr>
      </w:pPr>
      <w:r>
        <w:rPr>
          <w:rFonts w:hint="eastAsia" w:ascii="宋体" w:hAnsi="宋体" w:cs="宋体"/>
          <w:kern w:val="0"/>
          <w:sz w:val="24"/>
          <w:szCs w:val="20"/>
        </w:rPr>
        <w:t>（4）</w:t>
      </w:r>
      <w:r>
        <w:rPr>
          <w:rFonts w:hint="eastAsia" w:ascii="宋体" w:hAnsi="宋体" w:cs="宋体"/>
          <w:sz w:val="24"/>
        </w:rPr>
        <w:t>社会保障资金缴纳证明：提供招标截止日前一年内已缴存的至少一个月的社会保障资金缴存单据或社保机构开具的社会保险参保缴费情况证明，依法不需要缴纳社会保障资金的单位应提供相关证明材料；</w:t>
      </w:r>
    </w:p>
    <w:p>
      <w:pPr>
        <w:spacing w:line="420" w:lineRule="exact"/>
        <w:ind w:firstLine="480" w:firstLineChars="200"/>
        <w:rPr>
          <w:rFonts w:ascii="宋体" w:hAnsi="宋体" w:cs="宋体"/>
          <w:sz w:val="24"/>
        </w:rPr>
      </w:pPr>
      <w:r>
        <w:rPr>
          <w:rFonts w:hint="eastAsia" w:ascii="宋体" w:hAnsi="宋体" w:cs="宋体"/>
          <w:kern w:val="0"/>
          <w:sz w:val="24"/>
          <w:szCs w:val="20"/>
        </w:rPr>
        <w:t>（5）</w:t>
      </w:r>
      <w:r>
        <w:rPr>
          <w:rFonts w:hint="eastAsia" w:ascii="宋体" w:hAnsi="宋体" w:cs="宋体"/>
          <w:sz w:val="24"/>
        </w:rPr>
        <w:t>出具参加本次政府采购活动前三年内在经营活动中没有重大违法记录的书面声明；</w:t>
      </w:r>
    </w:p>
    <w:p>
      <w:pPr>
        <w:spacing w:line="420" w:lineRule="exact"/>
        <w:ind w:firstLine="480" w:firstLineChars="200"/>
        <w:rPr>
          <w:rFonts w:ascii="宋体" w:hAnsi="宋体" w:cs="宋体"/>
          <w:sz w:val="24"/>
        </w:rPr>
      </w:pPr>
      <w:r>
        <w:rPr>
          <w:rFonts w:hint="eastAsia" w:ascii="宋体" w:hAnsi="宋体" w:cs="宋体"/>
          <w:sz w:val="24"/>
        </w:rPr>
        <w:t>（6）具备履行合同所必需的设备和专业技术能力的证明材料(由投标人根据项目需求提供说明材料或者承诺)；</w:t>
      </w:r>
    </w:p>
    <w:p>
      <w:pPr>
        <w:spacing w:line="420" w:lineRule="exact"/>
        <w:ind w:firstLine="480" w:firstLineChars="200"/>
        <w:rPr>
          <w:rFonts w:ascii="宋体" w:hAnsi="宋体" w:cs="宋体"/>
          <w:sz w:val="24"/>
        </w:rPr>
      </w:pPr>
      <w:r>
        <w:rPr>
          <w:rFonts w:hint="eastAsia" w:ascii="宋体" w:hAnsi="宋体" w:cs="宋体"/>
          <w:sz w:val="24"/>
        </w:rPr>
        <w:t>（7）投标人应授权合法的人员参加招标全过程，其中法定代表人直接参加投标的，须出具法人身份证(原件)，并与营业执照上信息一致。法定代表人授权代表参加投标的，须出具法定代表人授权书及授权代表身份证(原件)；</w:t>
      </w:r>
    </w:p>
    <w:p>
      <w:pPr>
        <w:spacing w:line="420" w:lineRule="exact"/>
        <w:ind w:firstLine="480" w:firstLineChars="200"/>
        <w:rPr>
          <w:rFonts w:asciiTheme="majorEastAsia" w:hAnsiTheme="majorEastAsia" w:eastAsiaTheme="majorEastAsia" w:cstheme="majorEastAsia"/>
          <w:sz w:val="24"/>
        </w:rPr>
      </w:pPr>
      <w:r>
        <w:rPr>
          <w:rFonts w:hint="eastAsia" w:ascii="宋体" w:hAnsi="宋体" w:cs="宋体" w:eastAsiaTheme="majorEastAsia"/>
          <w:sz w:val="24"/>
        </w:rPr>
        <w:t>（8）</w:t>
      </w:r>
      <w:r>
        <w:rPr>
          <w:rFonts w:hint="eastAsia" w:asciiTheme="majorEastAsia" w:hAnsiTheme="majorEastAsia" w:eastAsiaTheme="majorEastAsia" w:cstheme="majorEastAsia"/>
          <w:sz w:val="24"/>
        </w:rPr>
        <w:t xml:space="preserve">投标人不得为“信用中国”网站（www.creditchina.gov.cn ）中列入失信被执行人和重大税收违法案件当事人名单的供应商，不得为中国政府采购网（www.ccgp.gov.cn ）政府采购严重违法失信行为记录名单中被财政部门禁止参加政府采购活动的供应商； </w:t>
      </w:r>
    </w:p>
    <w:p>
      <w:pPr>
        <w:spacing w:line="420" w:lineRule="exact"/>
        <w:ind w:firstLine="480" w:firstLineChars="200"/>
        <w:rPr>
          <w:rFonts w:asciiTheme="majorEastAsia" w:hAnsiTheme="majorEastAsia" w:eastAsiaTheme="majorEastAsia" w:cstheme="majorEastAsia"/>
          <w:sz w:val="24"/>
        </w:rPr>
      </w:pPr>
      <w:r>
        <w:rPr>
          <w:rFonts w:hint="eastAsia" w:asciiTheme="majorEastAsia" w:hAnsiTheme="majorEastAsia" w:eastAsiaTheme="majorEastAsia" w:cstheme="majorEastAsia"/>
          <w:sz w:val="24"/>
        </w:rPr>
        <w:t>为响应国家号召，贯彻于《关于开展扫黑除恶专项斗争的通知》，供应商需自行做出在本项目磋商过程中，本公司无恶意串标或相互勾结进行围标的说明；</w:t>
      </w:r>
    </w:p>
    <w:p>
      <w:pPr>
        <w:spacing w:line="420" w:lineRule="exact"/>
        <w:ind w:firstLine="480" w:firstLineChars="200"/>
        <w:rPr>
          <w:rFonts w:ascii="宋体" w:hAnsi="宋体" w:cs="宋体"/>
          <w:bCs/>
          <w:color w:val="000000"/>
          <w:sz w:val="24"/>
        </w:rPr>
      </w:pPr>
      <w:r>
        <w:rPr>
          <w:rFonts w:hint="eastAsia" w:asciiTheme="majorEastAsia" w:hAnsiTheme="majorEastAsia" w:eastAsiaTheme="majorEastAsia" w:cstheme="majorEastAsia"/>
          <w:sz w:val="24"/>
        </w:rPr>
        <w:t>供应商应单独承诺保证在本项目服务及货物的任何一部分，不会产生因第三方提出的侵犯其专利权、商标权、著作权、厂商授权或其他知识产权而引起的法律和经济纠纷，由此引起的纠纷由供应商承担所有的相关法律责任。</w:t>
      </w:r>
    </w:p>
    <w:p>
      <w:pPr>
        <w:spacing w:line="360" w:lineRule="auto"/>
        <w:ind w:firstLine="482" w:firstLineChars="200"/>
        <w:rPr>
          <w:rFonts w:ascii="宋体" w:hAnsi="宋体" w:cs="宋体"/>
          <w:b/>
          <w:color w:val="000000"/>
          <w:sz w:val="24"/>
        </w:rPr>
      </w:pPr>
      <w:r>
        <w:rPr>
          <w:rFonts w:hint="eastAsia" w:ascii="宋体" w:hAnsi="宋体" w:cs="宋体"/>
          <w:b/>
          <w:color w:val="000000"/>
          <w:sz w:val="24"/>
        </w:rPr>
        <w:t>对磋商文件中有难以理解或参数有疑义的内容，须在规定时间内提交书面资料，否则视为对磋商文件再无疑义，因此带来的一切不利后果由磋商供应商自负。</w:t>
      </w:r>
    </w:p>
    <w:p>
      <w:pPr>
        <w:spacing w:line="460" w:lineRule="atLeast"/>
        <w:ind w:firstLine="480" w:firstLineChars="200"/>
        <w:rPr>
          <w:rFonts w:ascii="宋体" w:hAnsi="宋体" w:cs="宋体"/>
          <w:bCs/>
          <w:sz w:val="24"/>
        </w:rPr>
      </w:pPr>
      <w:r>
        <w:rPr>
          <w:rFonts w:hint="eastAsia" w:ascii="宋体" w:hAnsi="宋体" w:cs="宋体"/>
          <w:bCs/>
          <w:sz w:val="24"/>
        </w:rPr>
        <w:t>3.磋商响应文件的编制</w:t>
      </w:r>
    </w:p>
    <w:p>
      <w:pPr>
        <w:spacing w:line="460" w:lineRule="atLeast"/>
        <w:rPr>
          <w:rFonts w:ascii="宋体" w:hAnsi="宋体" w:cs="宋体"/>
          <w:bCs/>
          <w:sz w:val="24"/>
        </w:rPr>
      </w:pPr>
      <w:r>
        <w:rPr>
          <w:rFonts w:hint="eastAsia" w:ascii="宋体" w:hAnsi="宋体" w:cs="宋体"/>
          <w:bCs/>
          <w:sz w:val="24"/>
        </w:rPr>
        <w:t xml:space="preserve">    3.1按照磋商文件须知和磋商响应文件格式制作响应文件。</w:t>
      </w:r>
    </w:p>
    <w:p>
      <w:pPr>
        <w:spacing w:line="460" w:lineRule="atLeast"/>
        <w:ind w:firstLine="482" w:firstLineChars="200"/>
        <w:rPr>
          <w:rFonts w:ascii="宋体" w:hAnsi="宋体" w:cs="宋体"/>
          <w:b/>
          <w:sz w:val="24"/>
        </w:rPr>
      </w:pPr>
      <w:r>
        <w:rPr>
          <w:rFonts w:hint="eastAsia" w:ascii="宋体" w:hAnsi="宋体" w:cs="宋体"/>
          <w:b/>
          <w:sz w:val="24"/>
        </w:rPr>
        <w:t>4.磋商有效期及授权书有效期</w:t>
      </w:r>
    </w:p>
    <w:p>
      <w:pPr>
        <w:spacing w:line="460" w:lineRule="atLeast"/>
        <w:ind w:firstLine="480" w:firstLineChars="200"/>
        <w:rPr>
          <w:rFonts w:ascii="宋体" w:hAnsi="宋体" w:cs="宋体"/>
          <w:b/>
          <w:sz w:val="24"/>
        </w:rPr>
      </w:pPr>
      <w:r>
        <w:rPr>
          <w:rFonts w:hint="eastAsia" w:ascii="宋体" w:hAnsi="宋体" w:cs="宋体"/>
          <w:color w:val="000000"/>
          <w:sz w:val="24"/>
        </w:rPr>
        <w:t>磋商有效期及授权书有效期为从提交磋商响应文件的截止时间起大于九十（90）个日历日</w:t>
      </w:r>
      <w:r>
        <w:rPr>
          <w:rFonts w:hint="eastAsia" w:ascii="宋体" w:hAnsi="宋体" w:cs="宋体"/>
          <w:sz w:val="24"/>
        </w:rPr>
        <w:t>；磋商响应文件中必须载明磋商响应文件有效期，磋商响应文件中载明的磋商有效期可以长于磋商文件规定的期限，但不得短于磋商文件规定的期限。否则，其磋商响应文件按为无效文件处理。在有效期内磋商响应文件对供应商具有法律约束力，成交供应商的磋商响应文件有效期自动延长至合同执行完毕。</w:t>
      </w:r>
    </w:p>
    <w:p>
      <w:pPr>
        <w:spacing w:line="460" w:lineRule="atLeast"/>
        <w:ind w:firstLine="482" w:firstLineChars="200"/>
        <w:rPr>
          <w:rFonts w:ascii="宋体" w:hAnsi="宋体" w:cs="宋体"/>
          <w:bCs/>
          <w:sz w:val="24"/>
        </w:rPr>
      </w:pPr>
      <w:r>
        <w:rPr>
          <w:rFonts w:hint="eastAsia" w:ascii="宋体" w:hAnsi="宋体" w:cs="宋体"/>
          <w:b/>
          <w:sz w:val="24"/>
        </w:rPr>
        <w:t>5.磋商报价</w:t>
      </w:r>
    </w:p>
    <w:p>
      <w:pPr>
        <w:spacing w:line="460" w:lineRule="atLeast"/>
        <w:ind w:firstLine="480" w:firstLineChars="200"/>
        <w:rPr>
          <w:rFonts w:ascii="宋体" w:hAnsi="宋体" w:cs="宋体"/>
          <w:bCs/>
          <w:sz w:val="24"/>
        </w:rPr>
      </w:pPr>
      <w:r>
        <w:rPr>
          <w:rFonts w:hint="eastAsia" w:ascii="宋体" w:hAnsi="宋体" w:cs="宋体"/>
          <w:bCs/>
          <w:sz w:val="24"/>
        </w:rPr>
        <w:t>（1）供应商应按照磋商文件中提供的格式完整、正确填写磋商响应函、第一次磋商报价表，任何有选择的报价采购代理机构不予接受。</w:t>
      </w:r>
    </w:p>
    <w:p>
      <w:pPr>
        <w:spacing w:line="460" w:lineRule="atLeast"/>
        <w:ind w:firstLine="480" w:firstLineChars="200"/>
        <w:rPr>
          <w:rFonts w:ascii="宋体" w:hAnsi="宋体" w:cs="宋体"/>
          <w:bCs/>
          <w:sz w:val="24"/>
        </w:rPr>
      </w:pPr>
      <w:r>
        <w:rPr>
          <w:rFonts w:hint="eastAsia" w:ascii="宋体" w:hAnsi="宋体" w:cs="宋体"/>
          <w:bCs/>
          <w:sz w:val="24"/>
        </w:rPr>
        <w:t>（2）</w:t>
      </w:r>
      <w:r>
        <w:rPr>
          <w:rFonts w:hint="eastAsia" w:ascii="宋体" w:hAnsi="宋体" w:cs="宋体"/>
          <w:sz w:val="24"/>
        </w:rPr>
        <w:t>磋商报价是指磋商文件所确定的磋商范围内全部内容，各供应商根据自身实力及市场因素进行综合报价。磋商结束时按最终报价为合同结算价，但总价不得超出采购预算。</w:t>
      </w:r>
    </w:p>
    <w:p>
      <w:pPr>
        <w:spacing w:line="460" w:lineRule="atLeast"/>
        <w:ind w:firstLine="480" w:firstLineChars="200"/>
        <w:rPr>
          <w:rFonts w:ascii="宋体" w:hAnsi="宋体" w:cs="宋体"/>
          <w:bCs/>
          <w:sz w:val="24"/>
        </w:rPr>
      </w:pPr>
      <w:r>
        <w:rPr>
          <w:rFonts w:hint="eastAsia" w:ascii="宋体" w:hAnsi="宋体" w:cs="宋体"/>
          <w:bCs/>
          <w:sz w:val="24"/>
        </w:rPr>
        <w:t>（3）磋商货币：人民币；单位：元（精确到小数点后两位）；</w:t>
      </w:r>
    </w:p>
    <w:p>
      <w:pPr>
        <w:spacing w:line="460" w:lineRule="atLeast"/>
        <w:ind w:firstLine="480" w:firstLineChars="200"/>
        <w:rPr>
          <w:rFonts w:ascii="宋体" w:hAnsi="宋体" w:cs="宋体"/>
          <w:bCs/>
          <w:sz w:val="24"/>
        </w:rPr>
      </w:pPr>
      <w:r>
        <w:rPr>
          <w:rFonts w:hint="eastAsia" w:ascii="宋体" w:hAnsi="宋体" w:cs="宋体"/>
          <w:bCs/>
          <w:sz w:val="24"/>
        </w:rPr>
        <w:t>（3）磋商最后报价，在采购内容无实质性变更下，不得高于首次磋商报价；</w:t>
      </w:r>
    </w:p>
    <w:p>
      <w:pPr>
        <w:spacing w:line="460" w:lineRule="atLeast"/>
        <w:ind w:firstLine="480" w:firstLineChars="200"/>
        <w:rPr>
          <w:rFonts w:ascii="宋体" w:hAnsi="宋体" w:cs="宋体"/>
          <w:bCs/>
          <w:sz w:val="24"/>
        </w:rPr>
      </w:pPr>
      <w:r>
        <w:rPr>
          <w:rFonts w:hint="eastAsia" w:ascii="宋体" w:hAnsi="宋体" w:cs="宋体"/>
          <w:bCs/>
          <w:sz w:val="24"/>
        </w:rPr>
        <w:t>（4）合同价格：经磋商小组确认的某一供应商的最终报价，在合同执行过程中是固定不变的，不受外汇汇率及市场价格变化的影响；</w:t>
      </w:r>
    </w:p>
    <w:p>
      <w:pPr>
        <w:spacing w:line="460" w:lineRule="atLeast"/>
        <w:ind w:firstLine="480" w:firstLineChars="200"/>
        <w:rPr>
          <w:rFonts w:ascii="宋体" w:hAnsi="宋体" w:cs="宋体"/>
          <w:bCs/>
          <w:sz w:val="24"/>
        </w:rPr>
      </w:pPr>
      <w:r>
        <w:rPr>
          <w:rFonts w:hint="eastAsia" w:ascii="宋体" w:hAnsi="宋体" w:cs="宋体"/>
          <w:bCs/>
          <w:sz w:val="24"/>
        </w:rPr>
        <w:t>（5）凡因供应商对磋商文件阅读不深、理解不透、误解、疏漏、或因市场行情了解不清造成的后果和风险均由供应商自负；</w:t>
      </w:r>
    </w:p>
    <w:p>
      <w:pPr>
        <w:spacing w:line="460" w:lineRule="atLeast"/>
        <w:ind w:firstLine="480" w:firstLineChars="200"/>
        <w:rPr>
          <w:rFonts w:ascii="宋体" w:hAnsi="宋体" w:cs="宋体"/>
          <w:b/>
          <w:sz w:val="24"/>
        </w:rPr>
      </w:pPr>
      <w:r>
        <w:rPr>
          <w:rFonts w:hint="eastAsia" w:ascii="宋体" w:hAnsi="宋体" w:cs="宋体"/>
          <w:bCs/>
          <w:sz w:val="24"/>
        </w:rPr>
        <w:t>（6）供应商不得以低于成本的报价参与磋商。当磋商小组认为，某潜在供应商的报价或者部分分项报价存在明显不合理的低于成本的报价，有可能影响产品质量和不能诚信履约的，可要求该潜在供应商在规定期限内，提供必要的书面文件予以解释和说明并附带相关证明材料；否则，磋商小组认定该供应商以低于成本价竞价，其磋商响应文件作无效响应文件处理。</w:t>
      </w:r>
    </w:p>
    <w:p>
      <w:pPr>
        <w:spacing w:line="460" w:lineRule="atLeast"/>
        <w:ind w:firstLine="480" w:firstLineChars="200"/>
        <w:rPr>
          <w:rFonts w:ascii="宋体" w:hAnsi="宋体" w:cs="宋体"/>
          <w:b/>
          <w:sz w:val="24"/>
        </w:rPr>
      </w:pPr>
      <w:r>
        <w:rPr>
          <w:rFonts w:hint="eastAsia" w:ascii="宋体" w:hAnsi="宋体" w:cs="宋体"/>
          <w:bCs/>
          <w:sz w:val="24"/>
        </w:rPr>
        <w:t>（7）最低报价不是成交的唯一依据，磋商过程中所产生的一切费用由供应商自行承担。</w:t>
      </w:r>
    </w:p>
    <w:p>
      <w:pPr>
        <w:spacing w:line="460" w:lineRule="atLeast"/>
        <w:ind w:firstLine="482" w:firstLineChars="200"/>
        <w:rPr>
          <w:rFonts w:ascii="宋体" w:hAnsi="宋体" w:cs="宋体"/>
          <w:b/>
          <w:bCs/>
          <w:sz w:val="24"/>
        </w:rPr>
      </w:pPr>
      <w:r>
        <w:rPr>
          <w:rFonts w:hint="eastAsia" w:ascii="宋体" w:hAnsi="宋体" w:cs="宋体"/>
          <w:b/>
          <w:bCs/>
          <w:sz w:val="24"/>
        </w:rPr>
        <w:t>6.磋商响应文件的签署及规定</w:t>
      </w:r>
    </w:p>
    <w:p>
      <w:pPr>
        <w:spacing w:line="360" w:lineRule="auto"/>
        <w:ind w:firstLine="480" w:firstLineChars="200"/>
        <w:rPr>
          <w:rFonts w:ascii="宋体" w:hAnsi="宋体" w:cs="宋体"/>
          <w:color w:val="000000"/>
          <w:sz w:val="24"/>
        </w:rPr>
      </w:pPr>
      <w:r>
        <w:rPr>
          <w:rFonts w:hint="eastAsia" w:ascii="宋体" w:hAnsi="宋体" w:cs="宋体"/>
          <w:color w:val="000000"/>
          <w:sz w:val="24"/>
        </w:rPr>
        <w:t>（1）供应商须依据磋商文件内容和磋商响应文件格式的要求编制磋商响应文件；</w:t>
      </w:r>
    </w:p>
    <w:p>
      <w:pPr>
        <w:spacing w:line="360" w:lineRule="auto"/>
        <w:ind w:firstLine="480" w:firstLineChars="200"/>
        <w:rPr>
          <w:rFonts w:ascii="宋体" w:hAnsi="宋体" w:cs="宋体"/>
          <w:sz w:val="24"/>
        </w:rPr>
      </w:pPr>
      <w:r>
        <w:rPr>
          <w:rFonts w:hint="eastAsia" w:ascii="宋体" w:hAnsi="宋体" w:cs="宋体"/>
          <w:sz w:val="24"/>
        </w:rPr>
        <w:t>（2）磋商响应文件的正本和所有的副本均需打印或用不褪色的蓝（黑）墨水（汁）填写，注明“正本/副本”字样。当副本和正本不一致时，以正本为准。统一胶装、编码，在每一页的正下方清楚标明页码；</w:t>
      </w:r>
    </w:p>
    <w:p>
      <w:pPr>
        <w:spacing w:line="360" w:lineRule="auto"/>
        <w:ind w:firstLine="480" w:firstLineChars="200"/>
        <w:rPr>
          <w:rFonts w:ascii="宋体" w:hAnsi="宋体" w:cs="宋体"/>
          <w:b/>
          <w:sz w:val="24"/>
        </w:rPr>
      </w:pPr>
      <w:r>
        <w:rPr>
          <w:rFonts w:hint="eastAsia" w:ascii="宋体" w:hAnsi="宋体" w:cs="宋体"/>
          <w:color w:val="000000"/>
          <w:sz w:val="24"/>
        </w:rPr>
        <w:t>（3）</w:t>
      </w:r>
      <w:r>
        <w:rPr>
          <w:rFonts w:hint="eastAsia" w:ascii="宋体" w:hAnsi="宋体" w:cs="宋体"/>
          <w:bCs/>
          <w:sz w:val="24"/>
        </w:rPr>
        <w:t>磋商响应文件一律采用书籍（胶装）方式装订。</w:t>
      </w:r>
      <w:r>
        <w:rPr>
          <w:rFonts w:hint="eastAsia" w:ascii="宋体" w:hAnsi="宋体" w:cs="宋体"/>
          <w:b/>
          <w:sz w:val="24"/>
        </w:rPr>
        <w:t>磋商响应文件正本壹份、</w:t>
      </w:r>
      <w:r>
        <w:rPr>
          <w:rFonts w:hint="eastAsia" w:ascii="宋体" w:hAnsi="宋体" w:cs="宋体"/>
          <w:b/>
          <w:bCs/>
          <w:color w:val="000000"/>
          <w:sz w:val="24"/>
        </w:rPr>
        <w:t>副本贰份</w:t>
      </w:r>
      <w:r>
        <w:rPr>
          <w:rFonts w:hint="eastAsia" w:ascii="宋体" w:hAnsi="宋体" w:cs="宋体"/>
          <w:b/>
          <w:sz w:val="24"/>
        </w:rPr>
        <w:t>、电子版（U盘）壹份（U盘储存word及PDF格式各1份，包含磋商响应文件所有内容）。</w:t>
      </w:r>
      <w:r>
        <w:rPr>
          <w:rFonts w:hint="eastAsia" w:ascii="宋体" w:hAnsi="宋体" w:cs="宋体"/>
          <w:bCs/>
          <w:sz w:val="24"/>
        </w:rPr>
        <w:t>纸质磋商响应文件正、副本分别各自装订成册并编制目录和页码</w:t>
      </w:r>
      <w:r>
        <w:rPr>
          <w:rFonts w:hint="eastAsia" w:ascii="宋体" w:hAnsi="宋体" w:cs="宋体"/>
          <w:sz w:val="24"/>
        </w:rPr>
        <w:t>。</w:t>
      </w:r>
      <w:r>
        <w:rPr>
          <w:rFonts w:hint="eastAsia" w:ascii="宋体" w:hAnsi="宋体" w:cs="宋体"/>
          <w:bCs/>
          <w:sz w:val="24"/>
        </w:rPr>
        <w:t>对未按磋商文件要求方式装订的磋商响应文件，将作为无效文件处理。</w:t>
      </w:r>
    </w:p>
    <w:p>
      <w:pPr>
        <w:spacing w:line="360" w:lineRule="auto"/>
        <w:ind w:firstLine="480" w:firstLineChars="200"/>
        <w:rPr>
          <w:rFonts w:ascii="宋体" w:hAnsi="宋体" w:cs="宋体"/>
          <w:color w:val="000000"/>
          <w:sz w:val="24"/>
        </w:rPr>
      </w:pPr>
      <w:r>
        <w:rPr>
          <w:rFonts w:hint="eastAsia" w:ascii="宋体" w:hAnsi="宋体" w:cs="宋体"/>
          <w:color w:val="000000"/>
          <w:sz w:val="24"/>
        </w:rPr>
        <w:t>（4）供应商在磋商响应文件中指定的页面落款处，必须按磋商文件要求加盖印章或签字（请以正楷字体书写）；</w:t>
      </w:r>
    </w:p>
    <w:p>
      <w:pPr>
        <w:spacing w:line="360" w:lineRule="auto"/>
        <w:ind w:firstLine="480" w:firstLineChars="200"/>
        <w:rPr>
          <w:rFonts w:ascii="宋体" w:hAnsi="宋体" w:cs="宋体"/>
          <w:color w:val="000000"/>
          <w:sz w:val="24"/>
        </w:rPr>
      </w:pPr>
      <w:r>
        <w:rPr>
          <w:rFonts w:hint="eastAsia" w:ascii="宋体" w:hAnsi="宋体" w:cs="宋体"/>
          <w:color w:val="000000"/>
          <w:sz w:val="24"/>
        </w:rPr>
        <w:t>（5）供应商名称应填写全称，同时加盖公章；</w:t>
      </w:r>
    </w:p>
    <w:p>
      <w:pPr>
        <w:spacing w:line="360" w:lineRule="auto"/>
        <w:ind w:firstLine="480" w:firstLineChars="200"/>
        <w:rPr>
          <w:rFonts w:ascii="宋体" w:hAnsi="宋体" w:cs="宋体"/>
          <w:color w:val="000000"/>
          <w:sz w:val="24"/>
        </w:rPr>
      </w:pPr>
      <w:r>
        <w:rPr>
          <w:rFonts w:hint="eastAsia" w:ascii="宋体" w:hAnsi="宋体" w:cs="宋体"/>
          <w:color w:val="000000"/>
          <w:sz w:val="24"/>
        </w:rPr>
        <w:t>（6）磋商响应文件的任何行间插字、涂改和增删，必须由法定代表人或被授权人在改动处旁签字方为有效；</w:t>
      </w:r>
    </w:p>
    <w:p>
      <w:pPr>
        <w:spacing w:line="460" w:lineRule="atLeast"/>
        <w:ind w:firstLine="480" w:firstLineChars="200"/>
        <w:rPr>
          <w:rFonts w:ascii="宋体" w:hAnsi="宋体" w:cs="宋体"/>
          <w:b/>
          <w:sz w:val="24"/>
        </w:rPr>
      </w:pPr>
      <w:r>
        <w:rPr>
          <w:rFonts w:hint="eastAsia" w:ascii="宋体" w:hAnsi="宋体" w:cs="宋体"/>
          <w:color w:val="000000"/>
          <w:sz w:val="24"/>
        </w:rPr>
        <w:t>（7）磋商响应文件因字迹潦草或表达不清所引起的后果由供应商负责。</w:t>
      </w:r>
    </w:p>
    <w:p>
      <w:pPr>
        <w:spacing w:line="460" w:lineRule="atLeast"/>
        <w:ind w:firstLine="482" w:firstLineChars="200"/>
        <w:rPr>
          <w:rFonts w:ascii="宋体" w:hAnsi="宋体" w:cs="宋体"/>
          <w:b/>
          <w:sz w:val="24"/>
        </w:rPr>
      </w:pPr>
      <w:r>
        <w:rPr>
          <w:rFonts w:hint="eastAsia" w:ascii="宋体" w:hAnsi="宋体" w:cs="宋体"/>
          <w:b/>
          <w:sz w:val="24"/>
        </w:rPr>
        <w:t>7.文字要求</w:t>
      </w:r>
    </w:p>
    <w:p>
      <w:pPr>
        <w:spacing w:line="460" w:lineRule="atLeast"/>
        <w:ind w:firstLine="360" w:firstLineChars="150"/>
        <w:rPr>
          <w:rFonts w:ascii="宋体" w:hAnsi="宋体" w:cs="宋体"/>
          <w:sz w:val="24"/>
        </w:rPr>
      </w:pPr>
      <w:r>
        <w:rPr>
          <w:rFonts w:hint="eastAsia" w:ascii="宋体" w:hAnsi="宋体" w:cs="宋体"/>
          <w:sz w:val="24"/>
        </w:rPr>
        <w:t>本次磋商只接受简体中文文字的磋商响应文件。</w:t>
      </w:r>
    </w:p>
    <w:p>
      <w:pPr>
        <w:spacing w:line="460" w:lineRule="atLeast"/>
        <w:ind w:firstLine="482" w:firstLineChars="200"/>
        <w:rPr>
          <w:rFonts w:ascii="宋体" w:hAnsi="宋体" w:cs="宋体"/>
          <w:b/>
          <w:sz w:val="24"/>
        </w:rPr>
      </w:pPr>
      <w:r>
        <w:rPr>
          <w:rFonts w:hint="eastAsia" w:ascii="宋体" w:hAnsi="宋体" w:cs="宋体"/>
          <w:b/>
          <w:sz w:val="24"/>
        </w:rPr>
        <w:t>8.联合磋商</w:t>
      </w:r>
    </w:p>
    <w:p>
      <w:pPr>
        <w:spacing w:line="460" w:lineRule="atLeast"/>
        <w:ind w:firstLine="360" w:firstLineChars="150"/>
        <w:rPr>
          <w:rFonts w:ascii="宋体" w:hAnsi="宋体" w:cs="宋体"/>
          <w:sz w:val="24"/>
        </w:rPr>
      </w:pPr>
      <w:r>
        <w:rPr>
          <w:rFonts w:hint="eastAsia" w:ascii="宋体" w:hAnsi="宋体" w:cs="宋体"/>
          <w:sz w:val="24"/>
        </w:rPr>
        <w:t>本项目不接受联合体磋商。</w:t>
      </w:r>
    </w:p>
    <w:p>
      <w:pPr>
        <w:spacing w:line="460" w:lineRule="atLeast"/>
        <w:jc w:val="left"/>
        <w:outlineLvl w:val="1"/>
        <w:rPr>
          <w:rFonts w:ascii="宋体" w:hAnsi="宋体" w:cs="宋体"/>
          <w:b/>
          <w:sz w:val="24"/>
        </w:rPr>
      </w:pPr>
      <w:bookmarkStart w:id="16" w:name="_Toc2397"/>
      <w:r>
        <w:rPr>
          <w:rFonts w:hint="eastAsia" w:ascii="宋体" w:hAnsi="宋体" w:cs="宋体"/>
          <w:b/>
          <w:sz w:val="24"/>
        </w:rPr>
        <w:t>五、磋商响应文件封装、递交</w:t>
      </w:r>
      <w:bookmarkEnd w:id="16"/>
    </w:p>
    <w:p>
      <w:pPr>
        <w:spacing w:line="360" w:lineRule="auto"/>
        <w:ind w:firstLine="482" w:firstLineChars="200"/>
        <w:rPr>
          <w:rFonts w:ascii="宋体" w:hAnsi="宋体" w:cs="宋体"/>
          <w:b/>
          <w:color w:val="000000"/>
          <w:sz w:val="24"/>
        </w:rPr>
      </w:pPr>
      <w:r>
        <w:rPr>
          <w:rFonts w:hint="eastAsia" w:ascii="宋体" w:hAnsi="宋体" w:cs="宋体"/>
          <w:b/>
          <w:color w:val="000000"/>
          <w:sz w:val="24"/>
        </w:rPr>
        <w:t>1.磋商响应文件的封装及标记</w:t>
      </w:r>
    </w:p>
    <w:p>
      <w:pPr>
        <w:spacing w:line="360" w:lineRule="auto"/>
        <w:ind w:firstLine="480" w:firstLineChars="200"/>
        <w:rPr>
          <w:rFonts w:ascii="宋体" w:hAnsi="宋体" w:cs="宋体"/>
          <w:color w:val="000000"/>
          <w:sz w:val="24"/>
        </w:rPr>
      </w:pPr>
      <w:r>
        <w:rPr>
          <w:rFonts w:hint="eastAsia" w:ascii="宋体" w:hAnsi="宋体" w:cs="宋体"/>
          <w:color w:val="000000"/>
          <w:sz w:val="24"/>
        </w:rPr>
        <w:t>（1）磋商响应文件应按以下要求封装：</w:t>
      </w:r>
    </w:p>
    <w:p>
      <w:pPr>
        <w:spacing w:line="360" w:lineRule="auto"/>
        <w:ind w:firstLine="720" w:firstLineChars="300"/>
        <w:rPr>
          <w:rFonts w:ascii="宋体" w:hAnsi="宋体" w:cs="宋体"/>
          <w:color w:val="000000"/>
          <w:spacing w:val="6"/>
          <w:sz w:val="24"/>
        </w:rPr>
      </w:pPr>
      <w:r>
        <w:rPr>
          <w:rFonts w:hint="eastAsia" w:ascii="宋体" w:hAnsi="宋体" w:cs="宋体"/>
          <w:color w:val="000000"/>
          <w:sz w:val="24"/>
        </w:rPr>
        <w:t>A.</w:t>
      </w:r>
      <w:r>
        <w:rPr>
          <w:rFonts w:hint="eastAsia" w:ascii="宋体" w:hAnsi="宋体" w:cs="宋体"/>
          <w:color w:val="000000"/>
          <w:spacing w:val="6"/>
          <w:sz w:val="24"/>
        </w:rPr>
        <w:t>供应商应将磋商响应文件的</w:t>
      </w:r>
      <w:r>
        <w:rPr>
          <w:rFonts w:hint="eastAsia" w:ascii="宋体" w:hAnsi="宋体" w:cs="宋体"/>
          <w:color w:val="000000"/>
          <w:sz w:val="24"/>
        </w:rPr>
        <w:t>正本</w:t>
      </w:r>
      <w:r>
        <w:rPr>
          <w:rFonts w:hint="eastAsia" w:ascii="宋体" w:hAnsi="宋体" w:cs="宋体"/>
          <w:color w:val="000000"/>
          <w:sz w:val="24"/>
          <w:lang w:val="zh-CN"/>
        </w:rPr>
        <w:t>用封袋单独密封</w:t>
      </w:r>
      <w:r>
        <w:rPr>
          <w:rFonts w:hint="eastAsia" w:ascii="宋体" w:hAnsi="宋体" w:cs="宋体"/>
          <w:color w:val="000000"/>
          <w:sz w:val="24"/>
        </w:rPr>
        <w:t>、</w:t>
      </w:r>
      <w:r>
        <w:rPr>
          <w:rFonts w:hint="eastAsia" w:ascii="宋体" w:hAnsi="宋体" w:cs="宋体"/>
          <w:color w:val="000000"/>
          <w:sz w:val="24"/>
          <w:lang w:val="zh-CN"/>
        </w:rPr>
        <w:t>副本可以用封袋一起密封或单独密封、</w:t>
      </w:r>
      <w:r>
        <w:rPr>
          <w:rFonts w:hint="eastAsia" w:ascii="宋体" w:hAnsi="宋体" w:cs="宋体"/>
          <w:color w:val="000000"/>
          <w:spacing w:val="6"/>
          <w:sz w:val="24"/>
        </w:rPr>
        <w:t>电子版标书（U盘）用封袋单独密封（封袋不得有破损），在封袋上标明“正本/副本/电子版”字样，封线处加盖供应商公章，封袋正面要粘贴标识。</w:t>
      </w:r>
    </w:p>
    <w:p>
      <w:pPr>
        <w:spacing w:line="360" w:lineRule="auto"/>
        <w:ind w:firstLine="720" w:firstLineChars="300"/>
        <w:rPr>
          <w:rFonts w:ascii="宋体" w:hAnsi="宋体" w:cs="宋体"/>
          <w:color w:val="000000"/>
          <w:sz w:val="24"/>
        </w:rPr>
      </w:pPr>
      <w:r>
        <w:rPr>
          <w:rFonts w:hint="eastAsia" w:ascii="宋体" w:hAnsi="宋体" w:cs="宋体"/>
          <w:sz w:val="24"/>
        </w:rPr>
        <w:t>B.封袋</w:t>
      </w:r>
      <w:r>
        <w:rPr>
          <w:rFonts w:hint="eastAsia" w:ascii="宋体" w:hAnsi="宋体" w:cs="宋体"/>
          <w:color w:val="000000"/>
          <w:spacing w:val="6"/>
          <w:sz w:val="24"/>
        </w:rPr>
        <w:t>正面</w:t>
      </w:r>
      <w:r>
        <w:rPr>
          <w:rFonts w:hint="eastAsia" w:ascii="宋体" w:hAnsi="宋体" w:cs="宋体"/>
          <w:sz w:val="24"/>
        </w:rPr>
        <w:t>标识式样（参见格式A）。</w:t>
      </w:r>
    </w:p>
    <w:p>
      <w:pPr>
        <w:spacing w:line="360" w:lineRule="auto"/>
        <w:ind w:firstLine="480" w:firstLineChars="200"/>
        <w:rPr>
          <w:rFonts w:ascii="宋体" w:hAnsi="宋体" w:cs="宋体"/>
          <w:color w:val="000000"/>
          <w:sz w:val="24"/>
        </w:rPr>
      </w:pPr>
      <w:r>
        <w:rPr>
          <w:rFonts w:hint="eastAsia" w:ascii="宋体" w:hAnsi="宋体" w:cs="宋体"/>
          <w:color w:val="000000"/>
          <w:sz w:val="24"/>
        </w:rPr>
        <w:t>（2）如果供应商未按上述要求封装及加写标记，误投或过早启封的磋商响应文件，出现此类情况的磋商响应文件，采购代理机构将拒绝接收，并退回供应商。采购代理机构对磋商响应文件的误投和提前启封概不负责。</w:t>
      </w:r>
    </w:p>
    <w:p>
      <w:pPr>
        <w:spacing w:line="360" w:lineRule="auto"/>
        <w:ind w:firstLine="482" w:firstLineChars="200"/>
        <w:rPr>
          <w:rFonts w:ascii="宋体" w:hAnsi="宋体" w:cs="宋体"/>
          <w:color w:val="000000"/>
          <w:sz w:val="24"/>
        </w:rPr>
      </w:pPr>
      <w:r>
        <w:rPr>
          <w:rFonts w:hint="eastAsia" w:ascii="宋体" w:hAnsi="宋体" w:cs="宋体"/>
          <w:b/>
          <w:color w:val="000000"/>
          <w:sz w:val="24"/>
        </w:rPr>
        <w:t>2.磋商响应文件递交</w:t>
      </w:r>
    </w:p>
    <w:p>
      <w:pPr>
        <w:spacing w:line="360" w:lineRule="auto"/>
        <w:ind w:firstLine="480" w:firstLineChars="200"/>
        <w:rPr>
          <w:rFonts w:ascii="宋体" w:hAnsi="宋体" w:cs="宋体"/>
          <w:color w:val="000000"/>
          <w:sz w:val="24"/>
        </w:rPr>
      </w:pPr>
      <w:r>
        <w:rPr>
          <w:rFonts w:hint="eastAsia" w:ascii="宋体" w:hAnsi="宋体" w:cs="宋体"/>
          <w:color w:val="000000"/>
          <w:sz w:val="24"/>
        </w:rPr>
        <w:t>（1）</w:t>
      </w:r>
      <w:r>
        <w:rPr>
          <w:rFonts w:hint="eastAsia" w:ascii="宋体" w:hAnsi="宋体" w:cs="宋体"/>
          <w:color w:val="000000"/>
          <w:sz w:val="24"/>
          <w:lang w:val="zh-CN"/>
        </w:rPr>
        <w:t>供应商应在磋商文件要求提交磋商响应文件的截止时间前将磋商响应文件密封送达磋商地点</w:t>
      </w:r>
      <w:r>
        <w:rPr>
          <w:rFonts w:hint="eastAsia" w:ascii="宋体" w:hAnsi="宋体" w:cs="宋体"/>
          <w:color w:val="000000"/>
          <w:sz w:val="24"/>
        </w:rPr>
        <w:t>；</w:t>
      </w:r>
    </w:p>
    <w:p>
      <w:pPr>
        <w:spacing w:line="360" w:lineRule="auto"/>
        <w:ind w:firstLine="480" w:firstLineChars="200"/>
        <w:rPr>
          <w:rFonts w:ascii="宋体" w:hAnsi="宋体" w:cs="宋体"/>
          <w:color w:val="000000"/>
          <w:sz w:val="24"/>
        </w:rPr>
      </w:pPr>
      <w:r>
        <w:rPr>
          <w:rFonts w:hint="eastAsia" w:ascii="宋体" w:hAnsi="宋体" w:cs="宋体"/>
          <w:color w:val="000000"/>
          <w:sz w:val="24"/>
        </w:rPr>
        <w:t>（2）</w:t>
      </w:r>
      <w:r>
        <w:rPr>
          <w:rFonts w:hint="eastAsia" w:ascii="宋体" w:hAnsi="宋体" w:cs="宋体"/>
          <w:color w:val="000000"/>
          <w:sz w:val="24"/>
          <w:lang w:val="zh-CN"/>
        </w:rPr>
        <w:t>采购代理机构在磋商文件规定的磋商响应文件递交截止时间前，只负责磋商响应文件的接收、登记和组织工作，对其磋商响应文件的有效性不负任何责任</w:t>
      </w:r>
      <w:r>
        <w:rPr>
          <w:rFonts w:hint="eastAsia" w:ascii="宋体" w:hAnsi="宋体" w:cs="宋体"/>
          <w:color w:val="000000"/>
          <w:sz w:val="24"/>
        </w:rPr>
        <w:t>；</w:t>
      </w:r>
    </w:p>
    <w:p>
      <w:pPr>
        <w:spacing w:line="360" w:lineRule="auto"/>
        <w:ind w:firstLine="480" w:firstLineChars="200"/>
        <w:rPr>
          <w:rFonts w:ascii="宋体" w:hAnsi="宋体" w:cs="宋体"/>
          <w:color w:val="000000"/>
          <w:sz w:val="24"/>
        </w:rPr>
      </w:pPr>
      <w:r>
        <w:rPr>
          <w:rFonts w:hint="eastAsia" w:ascii="宋体" w:hAnsi="宋体" w:cs="宋体"/>
          <w:color w:val="000000"/>
          <w:sz w:val="24"/>
        </w:rPr>
        <w:t>（3）采购代理机构在宣布递交磋商响应文件时间截止之后，拒绝接收任何人送达、递交的磋商响应文件；</w:t>
      </w:r>
    </w:p>
    <w:p>
      <w:pPr>
        <w:spacing w:line="460" w:lineRule="atLeast"/>
        <w:ind w:firstLine="480" w:firstLineChars="200"/>
        <w:rPr>
          <w:rFonts w:ascii="宋体" w:hAnsi="宋体" w:cs="宋体"/>
          <w:b/>
          <w:sz w:val="24"/>
        </w:rPr>
      </w:pPr>
      <w:r>
        <w:rPr>
          <w:rFonts w:hint="eastAsia" w:ascii="宋体" w:hAnsi="宋体" w:cs="宋体"/>
          <w:color w:val="000000"/>
          <w:sz w:val="24"/>
        </w:rPr>
        <w:t>（4）无论供应商成交与否或者废标，其磋商响应文件恕不退还。</w:t>
      </w:r>
    </w:p>
    <w:p>
      <w:pPr>
        <w:spacing w:line="460" w:lineRule="atLeast"/>
        <w:ind w:firstLine="482" w:firstLineChars="200"/>
        <w:rPr>
          <w:rFonts w:ascii="宋体" w:hAnsi="宋体" w:cs="宋体"/>
          <w:b/>
          <w:sz w:val="24"/>
        </w:rPr>
      </w:pPr>
      <w:r>
        <w:rPr>
          <w:rFonts w:hint="eastAsia" w:ascii="宋体" w:hAnsi="宋体" w:cs="宋体"/>
          <w:b/>
          <w:sz w:val="24"/>
        </w:rPr>
        <w:t>3.磋商响应文件递交截止时间</w:t>
      </w:r>
    </w:p>
    <w:p>
      <w:pPr>
        <w:kinsoku w:val="0"/>
        <w:spacing w:line="460" w:lineRule="atLeast"/>
        <w:ind w:firstLine="480" w:firstLineChars="200"/>
        <w:rPr>
          <w:rFonts w:ascii="宋体" w:hAnsi="宋体" w:cs="宋体"/>
          <w:sz w:val="24"/>
        </w:rPr>
      </w:pPr>
      <w:r>
        <w:rPr>
          <w:rFonts w:hint="eastAsia" w:ascii="宋体" w:hAnsi="宋体" w:cs="宋体"/>
          <w:sz w:val="24"/>
        </w:rPr>
        <w:t>（1）供应商</w:t>
      </w:r>
      <w:r>
        <w:rPr>
          <w:rFonts w:hint="eastAsia" w:ascii="宋体" w:hAnsi="宋体" w:cs="宋体"/>
          <w:spacing w:val="6"/>
          <w:sz w:val="24"/>
        </w:rPr>
        <w:t>必须在磋商文件规定的递交截止时间之前递交磋商响应文件，</w:t>
      </w:r>
      <w:r>
        <w:rPr>
          <w:rFonts w:hint="eastAsia" w:ascii="宋体" w:hAnsi="宋体" w:cs="宋体"/>
          <w:sz w:val="24"/>
        </w:rPr>
        <w:t>采购代理机构在截止时间后拒绝接收任何磋商响应文件。</w:t>
      </w:r>
    </w:p>
    <w:p>
      <w:pPr>
        <w:kinsoku w:val="0"/>
        <w:spacing w:line="460" w:lineRule="atLeast"/>
        <w:ind w:firstLine="480" w:firstLineChars="200"/>
        <w:rPr>
          <w:rFonts w:ascii="宋体" w:hAnsi="宋体" w:cs="宋体"/>
          <w:b/>
          <w:sz w:val="24"/>
        </w:rPr>
      </w:pPr>
      <w:r>
        <w:rPr>
          <w:rFonts w:hint="eastAsia" w:ascii="宋体" w:hAnsi="宋体" w:cs="宋体"/>
          <w:sz w:val="24"/>
        </w:rPr>
        <w:t>（2）采购代理机构因采购人推迟磋商截止时间时，应以书面的形式，通知所有供应商；在这种情况下，采购代理机构和供应商的权利和义务将受到新的截止期的约束。</w:t>
      </w:r>
    </w:p>
    <w:p>
      <w:pPr>
        <w:spacing w:line="460" w:lineRule="atLeast"/>
        <w:ind w:firstLine="482" w:firstLineChars="200"/>
        <w:rPr>
          <w:rFonts w:ascii="宋体" w:hAnsi="宋体" w:cs="宋体"/>
          <w:b/>
          <w:sz w:val="24"/>
        </w:rPr>
      </w:pPr>
      <w:r>
        <w:rPr>
          <w:rFonts w:hint="eastAsia" w:ascii="宋体" w:hAnsi="宋体" w:cs="宋体"/>
          <w:b/>
          <w:sz w:val="24"/>
        </w:rPr>
        <w:t>4.磋商响应文件的修改和撤回</w:t>
      </w:r>
    </w:p>
    <w:p>
      <w:pPr>
        <w:spacing w:line="460" w:lineRule="atLeast"/>
        <w:ind w:firstLine="480" w:firstLineChars="200"/>
        <w:rPr>
          <w:rFonts w:ascii="宋体" w:hAnsi="宋体" w:cs="宋体"/>
          <w:sz w:val="24"/>
        </w:rPr>
      </w:pPr>
      <w:r>
        <w:rPr>
          <w:rFonts w:hint="eastAsia" w:ascii="宋体" w:hAnsi="宋体" w:cs="宋体"/>
          <w:sz w:val="24"/>
        </w:rPr>
        <w:t>（1）</w:t>
      </w:r>
      <w:r>
        <w:rPr>
          <w:rFonts w:hint="eastAsia" w:ascii="宋体" w:hAnsi="宋体" w:cs="宋体"/>
          <w:sz w:val="24"/>
          <w:lang w:val="zh-CN"/>
        </w:rPr>
        <w:t>供应商在磋商文件递交截止时间前，可以对所提交的响应文件进行补充、修改或者撤回，并书面通知采购代理机构。补充、修改的内容应当按磋商文件要求签署、盖章，并作为响应文件的组成部分。补充、修改的内容与响应文件不一致的，以补充、修改的内容为准</w:t>
      </w:r>
      <w:r>
        <w:rPr>
          <w:rFonts w:hint="eastAsia" w:ascii="宋体" w:hAnsi="宋体" w:cs="宋体"/>
          <w:sz w:val="24"/>
        </w:rPr>
        <w:t>；</w:t>
      </w:r>
    </w:p>
    <w:p>
      <w:pPr>
        <w:spacing w:line="460" w:lineRule="atLeast"/>
        <w:ind w:firstLine="480" w:firstLineChars="200"/>
        <w:rPr>
          <w:rFonts w:ascii="宋体" w:hAnsi="宋体" w:cs="宋体"/>
          <w:sz w:val="24"/>
        </w:rPr>
      </w:pPr>
      <w:r>
        <w:rPr>
          <w:rFonts w:hint="eastAsia" w:ascii="宋体" w:hAnsi="宋体" w:cs="宋体"/>
          <w:sz w:val="24"/>
        </w:rPr>
        <w:t>（2）在磋商截止时间后到磋商文件规定的磋商有效期满之间的这段时间内，供应商不得撤回其磋商响应文件；</w:t>
      </w:r>
    </w:p>
    <w:p>
      <w:pPr>
        <w:spacing w:line="460" w:lineRule="atLeast"/>
        <w:ind w:firstLine="480" w:firstLineChars="200"/>
        <w:rPr>
          <w:rFonts w:ascii="宋体" w:hAnsi="宋体" w:cs="宋体"/>
          <w:sz w:val="24"/>
        </w:rPr>
      </w:pPr>
      <w:r>
        <w:rPr>
          <w:rFonts w:hint="eastAsia" w:ascii="宋体" w:hAnsi="宋体" w:cs="宋体"/>
          <w:sz w:val="24"/>
        </w:rPr>
        <w:t>（3）供应商在磋商响应文件递交截止时间后，不得对其磋商响应文件做任何修改。</w:t>
      </w:r>
    </w:p>
    <w:p>
      <w:pPr>
        <w:spacing w:line="460" w:lineRule="atLeast"/>
        <w:ind w:firstLine="482" w:firstLineChars="200"/>
        <w:rPr>
          <w:rFonts w:ascii="宋体" w:hAnsi="宋体" w:cs="宋体"/>
          <w:b/>
          <w:sz w:val="24"/>
        </w:rPr>
      </w:pPr>
      <w:bookmarkStart w:id="17" w:name="_Toc29405"/>
      <w:r>
        <w:rPr>
          <w:rFonts w:hint="eastAsia" w:ascii="宋体" w:hAnsi="宋体" w:cs="宋体"/>
          <w:b/>
          <w:sz w:val="24"/>
        </w:rPr>
        <w:t>六、</w:t>
      </w:r>
      <w:bookmarkEnd w:id="17"/>
      <w:bookmarkStart w:id="18" w:name="_Toc22032"/>
      <w:bookmarkStart w:id="19" w:name="_Toc19068"/>
      <w:bookmarkStart w:id="20" w:name="_Toc22674"/>
      <w:bookmarkStart w:id="21" w:name="_Toc30872"/>
      <w:bookmarkStart w:id="22" w:name="_Toc4750"/>
      <w:bookmarkStart w:id="23" w:name="_Toc9526"/>
      <w:bookmarkStart w:id="24" w:name="_Toc28739"/>
      <w:bookmarkStart w:id="25" w:name="_Toc197"/>
      <w:bookmarkStart w:id="26" w:name="_Toc13197"/>
      <w:bookmarkStart w:id="27" w:name="_Toc4604"/>
      <w:bookmarkStart w:id="28" w:name="_Toc14345"/>
      <w:bookmarkStart w:id="29" w:name="_Toc7486"/>
      <w:bookmarkStart w:id="30" w:name="_Toc17915"/>
      <w:bookmarkStart w:id="31" w:name="_Toc28106"/>
      <w:bookmarkStart w:id="32" w:name="_Toc8997"/>
      <w:bookmarkStart w:id="33" w:name="_Toc27073"/>
      <w:bookmarkStart w:id="34" w:name="_Toc23159"/>
      <w:bookmarkStart w:id="35" w:name="_Toc17730"/>
      <w:bookmarkStart w:id="36" w:name="_Toc9180"/>
      <w:bookmarkStart w:id="37" w:name="_Toc19439"/>
      <w:bookmarkStart w:id="38" w:name="_Toc11975"/>
      <w:bookmarkStart w:id="39" w:name="_Toc3735"/>
      <w:bookmarkStart w:id="40" w:name="_Toc513647113"/>
      <w:bookmarkStart w:id="41" w:name="_Toc19281"/>
      <w:bookmarkStart w:id="42" w:name="_Toc32113"/>
      <w:r>
        <w:rPr>
          <w:rFonts w:hint="eastAsia" w:ascii="宋体" w:hAnsi="宋体" w:cs="宋体"/>
          <w:b/>
          <w:sz w:val="24"/>
        </w:rPr>
        <w:t>磋商小组组成及职责</w:t>
      </w:r>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p>
    <w:p>
      <w:pPr>
        <w:spacing w:line="460" w:lineRule="atLeast"/>
        <w:ind w:firstLine="482" w:firstLineChars="200"/>
        <w:rPr>
          <w:rFonts w:ascii="宋体" w:hAnsi="宋体" w:cs="宋体"/>
          <w:b/>
          <w:sz w:val="24"/>
          <w:lang w:val="zh-CN"/>
        </w:rPr>
      </w:pPr>
      <w:r>
        <w:rPr>
          <w:rFonts w:hint="eastAsia" w:ascii="宋体" w:hAnsi="宋体" w:cs="宋体"/>
          <w:b/>
          <w:sz w:val="24"/>
        </w:rPr>
        <w:t>1.</w:t>
      </w:r>
      <w:r>
        <w:rPr>
          <w:rFonts w:hint="eastAsia" w:ascii="宋体" w:hAnsi="宋体" w:cs="宋体"/>
          <w:b/>
          <w:sz w:val="24"/>
          <w:lang w:val="zh-CN"/>
        </w:rPr>
        <w:t>磋商小组的组成</w:t>
      </w:r>
    </w:p>
    <w:p>
      <w:pPr>
        <w:kinsoku w:val="0"/>
        <w:spacing w:line="460" w:lineRule="atLeast"/>
        <w:ind w:firstLine="480" w:firstLineChars="200"/>
        <w:rPr>
          <w:rFonts w:ascii="宋体" w:hAnsi="宋体" w:cs="宋体"/>
          <w:color w:val="auto"/>
          <w:sz w:val="24"/>
        </w:rPr>
      </w:pPr>
      <w:r>
        <w:rPr>
          <w:rFonts w:hint="eastAsia" w:ascii="宋体" w:hAnsi="宋体" w:cs="宋体"/>
          <w:color w:val="auto"/>
          <w:sz w:val="24"/>
        </w:rPr>
        <w:t>（1）为确保磋商工作公平、公正，根据有关规定成立磋商小组。</w:t>
      </w:r>
    </w:p>
    <w:p>
      <w:pPr>
        <w:kinsoku w:val="0"/>
        <w:spacing w:line="460" w:lineRule="atLeast"/>
        <w:ind w:firstLine="482" w:firstLineChars="200"/>
        <w:rPr>
          <w:rFonts w:ascii="宋体" w:hAnsi="宋体" w:cs="宋体"/>
          <w:b/>
          <w:bCs/>
          <w:sz w:val="24"/>
          <w:lang w:val="zh-CN"/>
        </w:rPr>
      </w:pPr>
      <w:r>
        <w:rPr>
          <w:rFonts w:hint="eastAsia" w:ascii="宋体" w:hAnsi="宋体" w:cs="宋体"/>
          <w:b/>
          <w:bCs/>
          <w:sz w:val="24"/>
        </w:rPr>
        <w:t>2.</w:t>
      </w:r>
      <w:r>
        <w:rPr>
          <w:rFonts w:hint="eastAsia" w:ascii="宋体" w:hAnsi="宋体" w:cs="宋体"/>
          <w:b/>
          <w:bCs/>
          <w:sz w:val="24"/>
          <w:lang w:val="zh-CN"/>
        </w:rPr>
        <w:t>磋商小组的职责</w:t>
      </w:r>
    </w:p>
    <w:p>
      <w:pPr>
        <w:kinsoku w:val="0"/>
        <w:spacing w:line="460" w:lineRule="atLeast"/>
        <w:ind w:firstLine="480" w:firstLineChars="200"/>
        <w:rPr>
          <w:rFonts w:ascii="宋体" w:hAnsi="宋体" w:cs="宋体"/>
          <w:sz w:val="24"/>
        </w:rPr>
      </w:pPr>
      <w:r>
        <w:rPr>
          <w:rFonts w:hint="eastAsia" w:ascii="宋体" w:hAnsi="宋体" w:cs="宋体"/>
          <w:sz w:val="24"/>
        </w:rPr>
        <w:t>磋商小组成员应当遵守并履行下列义务：</w:t>
      </w:r>
    </w:p>
    <w:p>
      <w:pPr>
        <w:kinsoku w:val="0"/>
        <w:spacing w:line="460" w:lineRule="atLeast"/>
        <w:ind w:firstLine="480" w:firstLineChars="200"/>
        <w:rPr>
          <w:rFonts w:ascii="宋体" w:hAnsi="宋体" w:cs="宋体"/>
          <w:sz w:val="24"/>
        </w:rPr>
      </w:pPr>
      <w:r>
        <w:rPr>
          <w:rFonts w:hint="eastAsia" w:ascii="宋体" w:hAnsi="宋体" w:cs="宋体"/>
          <w:sz w:val="24"/>
        </w:rPr>
        <w:t>（1）遵纪守法，客观、公正、廉洁地履行职责，审查磋商响应文件是否符合竞争性磋商文件的要求，并做出评价；</w:t>
      </w:r>
    </w:p>
    <w:p>
      <w:pPr>
        <w:kinsoku w:val="0"/>
        <w:spacing w:line="460" w:lineRule="atLeast"/>
        <w:ind w:firstLine="480" w:firstLineChars="200"/>
        <w:rPr>
          <w:rFonts w:ascii="宋体" w:hAnsi="宋体" w:cs="宋体"/>
          <w:sz w:val="24"/>
        </w:rPr>
      </w:pPr>
      <w:r>
        <w:rPr>
          <w:rFonts w:hint="eastAsia" w:ascii="宋体" w:hAnsi="宋体" w:cs="宋体"/>
          <w:sz w:val="24"/>
        </w:rPr>
        <w:t>（2）</w:t>
      </w:r>
      <w:r>
        <w:rPr>
          <w:rFonts w:hint="eastAsia" w:ascii="宋体" w:hAnsi="宋体" w:cs="宋体"/>
          <w:bCs/>
          <w:sz w:val="24"/>
        </w:rPr>
        <w:t>对磋商响应文件进行资格性、符合性检查，并做出评价；</w:t>
      </w:r>
    </w:p>
    <w:p>
      <w:pPr>
        <w:kinsoku w:val="0"/>
        <w:spacing w:line="460" w:lineRule="atLeast"/>
        <w:ind w:firstLine="480" w:firstLineChars="200"/>
        <w:rPr>
          <w:rFonts w:ascii="宋体" w:hAnsi="宋体" w:cs="宋体"/>
          <w:sz w:val="24"/>
        </w:rPr>
      </w:pPr>
      <w:r>
        <w:rPr>
          <w:rFonts w:hint="eastAsia" w:ascii="宋体" w:hAnsi="宋体" w:cs="宋体"/>
          <w:sz w:val="24"/>
        </w:rPr>
        <w:t>（3）要求供应商对磋商响应文件有关事项作出解释或者澄清；</w:t>
      </w:r>
    </w:p>
    <w:p>
      <w:pPr>
        <w:kinsoku w:val="0"/>
        <w:spacing w:line="460" w:lineRule="atLeast"/>
        <w:ind w:firstLine="480" w:firstLineChars="200"/>
        <w:rPr>
          <w:rFonts w:ascii="宋体" w:hAnsi="宋体" w:cs="宋体"/>
          <w:sz w:val="24"/>
        </w:rPr>
      </w:pPr>
      <w:r>
        <w:rPr>
          <w:rFonts w:hint="eastAsia" w:ascii="宋体" w:hAnsi="宋体" w:cs="宋体"/>
          <w:sz w:val="24"/>
        </w:rPr>
        <w:t>（4）按照竞争性磋商文件的要求和磋商办法进行评审，推荐成交候选供应商名单，对评审意见承担个人责任；</w:t>
      </w:r>
    </w:p>
    <w:p>
      <w:pPr>
        <w:kinsoku w:val="0"/>
        <w:spacing w:line="460" w:lineRule="atLeast"/>
        <w:ind w:firstLine="480" w:firstLineChars="200"/>
        <w:rPr>
          <w:rFonts w:ascii="宋体" w:hAnsi="宋体" w:cs="宋体"/>
          <w:sz w:val="24"/>
        </w:rPr>
      </w:pPr>
      <w:r>
        <w:rPr>
          <w:rFonts w:hint="eastAsia" w:ascii="宋体" w:hAnsi="宋体" w:cs="宋体"/>
          <w:sz w:val="24"/>
        </w:rPr>
        <w:t>（5）</w:t>
      </w:r>
      <w:r>
        <w:rPr>
          <w:rFonts w:hint="eastAsia" w:ascii="宋体" w:hAnsi="宋体" w:cs="宋体"/>
          <w:bCs/>
          <w:sz w:val="24"/>
        </w:rPr>
        <w:t>对需要共同认定的事项存在争议的，按照少数服从多数的原则做出结论。持不同意见的磋商小组成员应当在评审报告上签署不同意见并说明理由，否则视为同意；</w:t>
      </w:r>
    </w:p>
    <w:p>
      <w:pPr>
        <w:kinsoku w:val="0"/>
        <w:spacing w:line="460" w:lineRule="atLeast"/>
        <w:ind w:firstLine="480" w:firstLineChars="200"/>
        <w:rPr>
          <w:rFonts w:ascii="宋体" w:hAnsi="宋体" w:cs="宋体"/>
          <w:sz w:val="24"/>
        </w:rPr>
      </w:pPr>
      <w:r>
        <w:rPr>
          <w:rFonts w:hint="eastAsia" w:ascii="宋体" w:hAnsi="宋体" w:cs="宋体"/>
          <w:sz w:val="24"/>
        </w:rPr>
        <w:t>（6）对评审过程和结果以及供应商的商业秘密保密；</w:t>
      </w:r>
    </w:p>
    <w:p>
      <w:pPr>
        <w:kinsoku w:val="0"/>
        <w:spacing w:line="460" w:lineRule="atLeast"/>
        <w:ind w:firstLine="480" w:firstLineChars="200"/>
        <w:rPr>
          <w:rFonts w:ascii="宋体" w:hAnsi="宋体" w:cs="宋体"/>
          <w:sz w:val="24"/>
        </w:rPr>
      </w:pPr>
      <w:r>
        <w:rPr>
          <w:rFonts w:hint="eastAsia" w:ascii="宋体" w:hAnsi="宋体" w:cs="宋体"/>
          <w:sz w:val="24"/>
        </w:rPr>
        <w:t>（7）编写磋商评审报告；</w:t>
      </w:r>
    </w:p>
    <w:p>
      <w:pPr>
        <w:kinsoku w:val="0"/>
        <w:spacing w:line="460" w:lineRule="atLeast"/>
        <w:ind w:firstLine="480" w:firstLineChars="200"/>
        <w:rPr>
          <w:rFonts w:ascii="宋体" w:hAnsi="宋体" w:cs="宋体"/>
          <w:sz w:val="24"/>
        </w:rPr>
      </w:pPr>
      <w:r>
        <w:rPr>
          <w:rFonts w:hint="eastAsia" w:ascii="宋体" w:hAnsi="宋体" w:cs="宋体"/>
          <w:sz w:val="24"/>
        </w:rPr>
        <w:t>（8）配合采购代理机构答复供应商提出的质疑；</w:t>
      </w:r>
    </w:p>
    <w:p>
      <w:pPr>
        <w:kinsoku w:val="0"/>
        <w:spacing w:line="460" w:lineRule="atLeast"/>
        <w:ind w:firstLine="480" w:firstLineChars="200"/>
        <w:rPr>
          <w:rFonts w:ascii="宋体" w:hAnsi="宋体" w:cs="宋体"/>
          <w:sz w:val="24"/>
        </w:rPr>
      </w:pPr>
      <w:r>
        <w:rPr>
          <w:rFonts w:hint="eastAsia" w:ascii="宋体" w:hAnsi="宋体" w:cs="宋体"/>
          <w:sz w:val="24"/>
        </w:rPr>
        <w:t>（9）配合财政部门的投诉处理工作；</w:t>
      </w:r>
    </w:p>
    <w:p>
      <w:pPr>
        <w:kinsoku w:val="0"/>
        <w:spacing w:line="460" w:lineRule="atLeast"/>
        <w:ind w:firstLine="480" w:firstLineChars="200"/>
        <w:rPr>
          <w:rFonts w:ascii="宋体" w:hAnsi="宋体" w:cs="宋体"/>
          <w:sz w:val="24"/>
        </w:rPr>
      </w:pPr>
      <w:r>
        <w:rPr>
          <w:rFonts w:hint="eastAsia" w:ascii="宋体" w:hAnsi="宋体" w:cs="宋体"/>
          <w:sz w:val="24"/>
        </w:rPr>
        <w:t>（10）依据政府采购法有关精神，有权对磋商过程中出现的一切问题做出处理决定。</w:t>
      </w:r>
    </w:p>
    <w:p>
      <w:pPr>
        <w:kinsoku w:val="0"/>
        <w:spacing w:line="460" w:lineRule="atLeast"/>
        <w:ind w:firstLine="480" w:firstLineChars="200"/>
        <w:rPr>
          <w:rFonts w:ascii="宋体" w:hAnsi="宋体" w:cs="宋体"/>
          <w:sz w:val="24"/>
        </w:rPr>
      </w:pPr>
      <w:r>
        <w:rPr>
          <w:rFonts w:hint="eastAsia" w:ascii="宋体" w:hAnsi="宋体" w:cs="宋体"/>
          <w:sz w:val="24"/>
        </w:rPr>
        <w:t>3.磋商小组有权对整个磋商过程中出现的一切问题，根据《中华人民共和国政府采购法》、《中华人民共和国政府采购</w:t>
      </w:r>
      <w:r>
        <w:rPr>
          <w:rFonts w:hint="eastAsia" w:ascii="宋体" w:hAnsi="宋体" w:cs="宋体"/>
          <w:sz w:val="24"/>
          <w:lang w:val="en-US" w:eastAsia="zh-CN"/>
        </w:rPr>
        <w:t>法</w:t>
      </w:r>
      <w:bookmarkStart w:id="236" w:name="_GoBack"/>
      <w:bookmarkEnd w:id="236"/>
      <w:r>
        <w:rPr>
          <w:rFonts w:hint="eastAsia" w:ascii="宋体" w:hAnsi="宋体" w:cs="宋体"/>
          <w:sz w:val="24"/>
        </w:rPr>
        <w:t>实施条例》和《政府采购竞争性磋商采购方式管理暂行办法》的精神，本着公开、公平、公正的原则，进行处理。</w:t>
      </w:r>
    </w:p>
    <w:p>
      <w:pPr>
        <w:kinsoku w:val="0"/>
        <w:spacing w:line="460" w:lineRule="atLeast"/>
        <w:ind w:firstLine="480" w:firstLineChars="200"/>
        <w:rPr>
          <w:rFonts w:ascii="宋体" w:hAnsi="宋体" w:cs="宋体"/>
          <w:sz w:val="24"/>
        </w:rPr>
      </w:pPr>
      <w:r>
        <w:rPr>
          <w:rFonts w:hint="eastAsia" w:ascii="宋体" w:hAnsi="宋体" w:cs="宋体"/>
          <w:sz w:val="24"/>
        </w:rPr>
        <w:t>4.竞争性磋商开始后，直到与成交的供应商签订合同为止，凡与审查、澄清、评价和比较各供应商的有关资料及意见等内容，磋商小组均不得向供应商及与磋商无关的其他人透露。</w:t>
      </w:r>
    </w:p>
    <w:p>
      <w:pPr>
        <w:kinsoku w:val="0"/>
        <w:spacing w:line="460" w:lineRule="atLeast"/>
        <w:ind w:firstLine="482" w:firstLineChars="200"/>
        <w:rPr>
          <w:rFonts w:ascii="宋体" w:hAnsi="宋体" w:cs="宋体"/>
          <w:b/>
          <w:bCs/>
          <w:sz w:val="24"/>
        </w:rPr>
      </w:pPr>
      <w:bookmarkStart w:id="43" w:name="_Toc17641"/>
      <w:bookmarkStart w:id="44" w:name="_Toc15803"/>
      <w:bookmarkStart w:id="45" w:name="_Toc6960"/>
      <w:bookmarkStart w:id="46" w:name="_Toc16258"/>
      <w:bookmarkStart w:id="47" w:name="_Toc9913"/>
      <w:bookmarkStart w:id="48" w:name="_Toc495681513"/>
      <w:bookmarkStart w:id="49" w:name="_Toc1269"/>
      <w:bookmarkStart w:id="50" w:name="_Toc12481"/>
      <w:bookmarkStart w:id="51" w:name="_Toc495681386"/>
      <w:bookmarkStart w:id="52" w:name="_Toc320"/>
      <w:bookmarkStart w:id="53" w:name="_Toc30447"/>
      <w:bookmarkStart w:id="54" w:name="_Toc513647114"/>
      <w:bookmarkStart w:id="55" w:name="_Toc24926"/>
      <w:bookmarkStart w:id="56" w:name="_Toc1304"/>
      <w:bookmarkStart w:id="57" w:name="_Toc5207"/>
      <w:bookmarkStart w:id="58" w:name="_Toc495681232"/>
      <w:bookmarkStart w:id="59" w:name="_Toc13666"/>
      <w:bookmarkStart w:id="60" w:name="_Toc4917"/>
      <w:bookmarkStart w:id="61" w:name="_Toc12449"/>
      <w:bookmarkStart w:id="62" w:name="_Toc4297"/>
      <w:bookmarkStart w:id="63" w:name="_Toc14794"/>
      <w:bookmarkStart w:id="64" w:name="_Toc11392"/>
      <w:bookmarkStart w:id="65" w:name="_Toc26881"/>
      <w:bookmarkStart w:id="66" w:name="_Toc8237"/>
      <w:bookmarkStart w:id="67" w:name="_Toc9835"/>
      <w:bookmarkStart w:id="68" w:name="_Toc11984"/>
      <w:bookmarkStart w:id="69" w:name="_Toc495909077"/>
      <w:bookmarkStart w:id="70" w:name="_Toc495908031"/>
      <w:bookmarkStart w:id="71" w:name="_Toc8441"/>
      <w:bookmarkStart w:id="72" w:name="_Toc3654"/>
      <w:r>
        <w:rPr>
          <w:rFonts w:hint="eastAsia" w:ascii="宋体" w:hAnsi="宋体" w:cs="宋体"/>
          <w:b/>
          <w:bCs/>
          <w:sz w:val="24"/>
        </w:rPr>
        <w:t>七、磋商会议</w:t>
      </w:r>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bookmarkEnd w:id="59"/>
      <w:bookmarkEnd w:id="60"/>
      <w:bookmarkEnd w:id="61"/>
      <w:bookmarkEnd w:id="62"/>
      <w:bookmarkEnd w:id="63"/>
      <w:bookmarkEnd w:id="64"/>
      <w:bookmarkEnd w:id="65"/>
      <w:bookmarkEnd w:id="66"/>
      <w:bookmarkEnd w:id="67"/>
      <w:bookmarkEnd w:id="68"/>
      <w:bookmarkEnd w:id="69"/>
      <w:bookmarkEnd w:id="70"/>
      <w:bookmarkEnd w:id="71"/>
      <w:bookmarkEnd w:id="72"/>
    </w:p>
    <w:p>
      <w:pPr>
        <w:kinsoku w:val="0"/>
        <w:spacing w:line="460" w:lineRule="atLeast"/>
        <w:ind w:firstLine="480" w:firstLineChars="200"/>
        <w:rPr>
          <w:rFonts w:ascii="宋体" w:hAnsi="宋体" w:cs="宋体"/>
          <w:sz w:val="24"/>
        </w:rPr>
      </w:pPr>
      <w:r>
        <w:rPr>
          <w:rFonts w:hint="eastAsia" w:ascii="宋体" w:hAnsi="宋体" w:cs="宋体"/>
          <w:sz w:val="24"/>
        </w:rPr>
        <w:t>1.在磋商文件规定的时间和地点，由采购代理机构组织磋商工作，供应商须委派代表参加，签名报到以证明其出席。磋商整个过程接受监督机构的监督和管理。</w:t>
      </w:r>
    </w:p>
    <w:p>
      <w:pPr>
        <w:kinsoku w:val="0"/>
        <w:spacing w:line="460" w:lineRule="atLeast"/>
        <w:ind w:firstLine="480" w:firstLineChars="200"/>
        <w:rPr>
          <w:rFonts w:ascii="宋体" w:hAnsi="宋体" w:cs="宋体"/>
          <w:sz w:val="24"/>
        </w:rPr>
      </w:pPr>
      <w:r>
        <w:rPr>
          <w:rFonts w:hint="eastAsia" w:ascii="宋体" w:hAnsi="宋体" w:cs="宋体"/>
          <w:sz w:val="24"/>
        </w:rPr>
        <w:t>2.竞争性磋商会议进行时，由供应商或其推荐的代表与采购监标人共同检查响应文件的密封情况，经检查无误后，签字确认。</w:t>
      </w:r>
    </w:p>
    <w:p>
      <w:pPr>
        <w:kinsoku w:val="0"/>
        <w:spacing w:line="460" w:lineRule="atLeast"/>
        <w:ind w:firstLine="480" w:firstLineChars="200"/>
        <w:rPr>
          <w:rFonts w:ascii="宋体" w:hAnsi="宋体" w:cs="宋体"/>
          <w:sz w:val="24"/>
        </w:rPr>
      </w:pPr>
      <w:r>
        <w:rPr>
          <w:rFonts w:hint="eastAsia" w:ascii="宋体" w:hAnsi="宋体" w:cs="宋体"/>
          <w:sz w:val="24"/>
        </w:rPr>
        <w:t>3.采购代理机构工作人员按照顺序，将各供应商首次响应文件的份数等内容公布，无异议后，由供应商法定代表人（或授权代表）和监标人签字确认。</w:t>
      </w:r>
    </w:p>
    <w:p>
      <w:pPr>
        <w:spacing w:line="460" w:lineRule="atLeast"/>
        <w:ind w:firstLine="480" w:firstLineChars="200"/>
        <w:rPr>
          <w:rFonts w:ascii="宋体" w:hAnsi="宋体" w:cs="宋体"/>
          <w:sz w:val="24"/>
        </w:rPr>
      </w:pPr>
      <w:r>
        <w:rPr>
          <w:rFonts w:hint="eastAsia" w:ascii="宋体" w:hAnsi="宋体" w:cs="宋体"/>
          <w:sz w:val="24"/>
        </w:rPr>
        <w:t>4.磋商过程由采购代理机构指定专人记录。</w:t>
      </w:r>
    </w:p>
    <w:p>
      <w:pPr>
        <w:spacing w:line="460" w:lineRule="atLeast"/>
        <w:ind w:firstLine="482" w:firstLineChars="200"/>
        <w:rPr>
          <w:rFonts w:ascii="宋体" w:hAnsi="宋体" w:cs="宋体"/>
          <w:sz w:val="24"/>
          <w:lang w:val="zh-CN"/>
        </w:rPr>
      </w:pPr>
      <w:bookmarkStart w:id="73" w:name="_Toc18036"/>
      <w:bookmarkStart w:id="74" w:name="_Toc24790"/>
      <w:bookmarkStart w:id="75" w:name="_Toc5782"/>
      <w:bookmarkStart w:id="76" w:name="_Toc5187"/>
      <w:bookmarkStart w:id="77" w:name="_Toc2893"/>
      <w:bookmarkStart w:id="78" w:name="_Toc4051"/>
      <w:bookmarkStart w:id="79" w:name="_Toc11270"/>
      <w:bookmarkStart w:id="80" w:name="_Toc4295"/>
      <w:bookmarkStart w:id="81" w:name="_Toc3872"/>
      <w:bookmarkStart w:id="82" w:name="_Toc11853"/>
      <w:bookmarkStart w:id="83" w:name="_Toc15105"/>
      <w:bookmarkStart w:id="84" w:name="_Toc24168"/>
      <w:bookmarkStart w:id="85" w:name="_Toc11946"/>
      <w:bookmarkStart w:id="86" w:name="_Toc25213"/>
      <w:bookmarkStart w:id="87" w:name="_Toc10614"/>
      <w:bookmarkStart w:id="88" w:name="_Toc4686"/>
      <w:bookmarkStart w:id="89" w:name="_Toc2962"/>
      <w:bookmarkStart w:id="90" w:name="_Toc1590"/>
      <w:bookmarkStart w:id="91" w:name="_Toc17219"/>
      <w:bookmarkStart w:id="92" w:name="_Toc17727"/>
      <w:bookmarkStart w:id="93" w:name="_Toc2972"/>
      <w:bookmarkStart w:id="94" w:name="_Toc4979"/>
      <w:bookmarkStart w:id="95" w:name="_Toc3109"/>
      <w:bookmarkStart w:id="96" w:name="_Toc13297"/>
      <w:bookmarkStart w:id="97" w:name="_Toc6544"/>
      <w:bookmarkStart w:id="98" w:name="_Toc513647115"/>
      <w:bookmarkStart w:id="99" w:name="_Toc20167"/>
      <w:bookmarkStart w:id="100" w:name="_Toc24766"/>
      <w:bookmarkStart w:id="101" w:name="_Toc27306"/>
      <w:bookmarkStart w:id="102" w:name="_Toc5402"/>
      <w:bookmarkStart w:id="103" w:name="_Toc10044"/>
      <w:bookmarkStart w:id="104" w:name="_Toc25938"/>
      <w:bookmarkStart w:id="105" w:name="_Toc30475"/>
      <w:bookmarkStart w:id="106" w:name="_Toc14846"/>
      <w:r>
        <w:rPr>
          <w:rFonts w:hint="eastAsia" w:ascii="宋体" w:hAnsi="宋体" w:cs="宋体"/>
          <w:b/>
          <w:bCs/>
          <w:sz w:val="24"/>
        </w:rPr>
        <w:t>八、磋商评审程序及评审办法</w:t>
      </w:r>
      <w:bookmarkEnd w:id="73"/>
      <w:bookmarkEnd w:id="74"/>
      <w:bookmarkEnd w:id="75"/>
      <w:bookmarkEnd w:id="76"/>
      <w:bookmarkEnd w:id="77"/>
      <w:bookmarkEnd w:id="78"/>
      <w:bookmarkEnd w:id="79"/>
      <w:bookmarkEnd w:id="80"/>
      <w:bookmarkEnd w:id="81"/>
      <w:bookmarkEnd w:id="82"/>
      <w:bookmarkEnd w:id="83"/>
      <w:bookmarkEnd w:id="84"/>
      <w:bookmarkEnd w:id="85"/>
      <w:bookmarkEnd w:id="86"/>
      <w:bookmarkEnd w:id="87"/>
      <w:bookmarkEnd w:id="88"/>
      <w:bookmarkEnd w:id="89"/>
      <w:bookmarkEnd w:id="90"/>
      <w:bookmarkEnd w:id="91"/>
      <w:bookmarkEnd w:id="92"/>
      <w:bookmarkEnd w:id="93"/>
      <w:bookmarkEnd w:id="94"/>
      <w:bookmarkEnd w:id="95"/>
      <w:bookmarkEnd w:id="96"/>
      <w:bookmarkEnd w:id="97"/>
      <w:bookmarkEnd w:id="98"/>
      <w:bookmarkEnd w:id="99"/>
      <w:bookmarkEnd w:id="100"/>
      <w:bookmarkEnd w:id="101"/>
      <w:bookmarkEnd w:id="102"/>
      <w:bookmarkEnd w:id="103"/>
      <w:bookmarkEnd w:id="104"/>
      <w:bookmarkEnd w:id="105"/>
      <w:bookmarkEnd w:id="106"/>
      <w:r>
        <w:rPr>
          <w:rFonts w:hint="eastAsia" w:ascii="宋体" w:hAnsi="宋体" w:cs="宋体"/>
          <w:sz w:val="24"/>
          <w:lang w:val="zh-CN"/>
        </w:rPr>
        <w:t xml:space="preserve"> </w:t>
      </w:r>
    </w:p>
    <w:p>
      <w:pPr>
        <w:spacing w:line="360" w:lineRule="auto"/>
        <w:ind w:firstLine="480" w:firstLineChars="200"/>
        <w:rPr>
          <w:rFonts w:ascii="宋体" w:hAnsi="宋体" w:cs="宋体"/>
          <w:color w:val="000000"/>
          <w:sz w:val="24"/>
        </w:rPr>
      </w:pPr>
      <w:r>
        <w:rPr>
          <w:rFonts w:hint="eastAsia" w:ascii="宋体" w:hAnsi="宋体" w:cs="宋体"/>
          <w:color w:val="000000"/>
          <w:sz w:val="24"/>
        </w:rPr>
        <w:t>（一）竞争性磋商响应文件初审分为资格性审查和符合性审查。分别按照以下内容对响应文件进行检查，一项不合格即按照无效响应处理。</w:t>
      </w:r>
    </w:p>
    <w:p>
      <w:pPr>
        <w:spacing w:line="360" w:lineRule="auto"/>
        <w:ind w:firstLine="480" w:firstLineChars="200"/>
        <w:rPr>
          <w:rFonts w:ascii="宋体" w:hAnsi="宋体" w:cs="宋体"/>
          <w:color w:val="000000"/>
          <w:sz w:val="24"/>
        </w:rPr>
      </w:pPr>
      <w:r>
        <w:rPr>
          <w:rFonts w:hint="eastAsia" w:ascii="宋体" w:hAnsi="宋体" w:cs="宋体"/>
          <w:color w:val="000000"/>
          <w:sz w:val="24"/>
        </w:rPr>
        <w:t>竞争性磋商响应文件审查合格的为实质性响应磋商文件要求的供应商。</w:t>
      </w:r>
    </w:p>
    <w:p>
      <w:pPr>
        <w:spacing w:line="360" w:lineRule="auto"/>
        <w:ind w:firstLine="480" w:firstLineChars="200"/>
        <w:rPr>
          <w:rFonts w:ascii="宋体" w:hAnsi="宋体" w:cs="宋体"/>
          <w:color w:val="000000"/>
          <w:sz w:val="24"/>
        </w:rPr>
      </w:pPr>
      <w:r>
        <w:rPr>
          <w:rFonts w:hint="eastAsia" w:ascii="宋体" w:hAnsi="宋体" w:cs="宋体"/>
          <w:color w:val="000000"/>
          <w:sz w:val="24"/>
        </w:rPr>
        <w:t>（1）资格性审查：磋商小组对资格证明文件进行审查，资审合格的供应商将进行符合性审查阶段，资审不合格的供应商经磋商小组确认后按无效磋商执行。</w:t>
      </w:r>
    </w:p>
    <w:p>
      <w:pPr>
        <w:spacing w:line="360" w:lineRule="auto"/>
        <w:ind w:firstLine="480" w:firstLineChars="200"/>
        <w:rPr>
          <w:rFonts w:ascii="宋体" w:hAnsi="宋体" w:cs="宋体"/>
          <w:color w:val="000000"/>
          <w:sz w:val="24"/>
        </w:rPr>
      </w:pPr>
      <w:r>
        <w:rPr>
          <w:rFonts w:hint="eastAsia" w:ascii="宋体" w:hAnsi="宋体" w:cs="宋体"/>
          <w:color w:val="000000"/>
          <w:sz w:val="24"/>
        </w:rPr>
        <w:t>（2）符合性审查：磋商小组将对资格审查合格的供应商进行以下审查</w:t>
      </w:r>
    </w:p>
    <w:p>
      <w:pPr>
        <w:spacing w:line="360" w:lineRule="auto"/>
        <w:ind w:firstLine="480" w:firstLineChars="200"/>
        <w:rPr>
          <w:rFonts w:ascii="宋体" w:hAnsi="宋体" w:cs="宋体"/>
          <w:sz w:val="24"/>
        </w:rPr>
      </w:pPr>
      <w:r>
        <w:rPr>
          <w:rFonts w:hint="eastAsia" w:ascii="宋体" w:hAnsi="宋体" w:cs="宋体"/>
          <w:sz w:val="24"/>
        </w:rPr>
        <w:t>①响应文件的完整性(按要求编制)；</w:t>
      </w:r>
    </w:p>
    <w:p>
      <w:pPr>
        <w:spacing w:line="360" w:lineRule="auto"/>
        <w:ind w:firstLine="480" w:firstLineChars="200"/>
        <w:rPr>
          <w:rFonts w:ascii="宋体" w:hAnsi="宋体" w:cs="宋体"/>
          <w:sz w:val="24"/>
        </w:rPr>
      </w:pPr>
      <w:r>
        <w:rPr>
          <w:rFonts w:hint="eastAsia" w:ascii="宋体" w:hAnsi="宋体" w:cs="宋体"/>
          <w:sz w:val="24"/>
        </w:rPr>
        <w:t>②响应文件的有效性(按要求签署盖章)；</w:t>
      </w:r>
    </w:p>
    <w:p>
      <w:pPr>
        <w:spacing w:line="360" w:lineRule="auto"/>
        <w:ind w:firstLine="480" w:firstLineChars="200"/>
        <w:rPr>
          <w:rFonts w:ascii="宋体" w:hAnsi="宋体" w:cs="宋体"/>
          <w:sz w:val="24"/>
        </w:rPr>
      </w:pPr>
      <w:r>
        <w:rPr>
          <w:rFonts w:hint="eastAsia" w:ascii="宋体" w:hAnsi="宋体" w:cs="宋体"/>
          <w:sz w:val="24"/>
        </w:rPr>
        <w:t>③响应文件的响应性(实质上响应磋商文件，磋商文件允许偏离的除外)；</w:t>
      </w:r>
    </w:p>
    <w:p>
      <w:pPr>
        <w:pStyle w:val="3"/>
        <w:ind w:firstLine="480" w:firstLineChars="200"/>
        <w:rPr>
          <w:rFonts w:ascii="宋体" w:hAnsi="宋体" w:cs="宋体"/>
          <w:sz w:val="24"/>
        </w:rPr>
      </w:pPr>
      <w:r>
        <w:rPr>
          <w:rFonts w:hint="eastAsia" w:ascii="宋体" w:hAnsi="宋体" w:cs="宋体"/>
          <w:sz w:val="24"/>
        </w:rPr>
        <w:t>④磋商报价是否超过采购预算或最高限价。</w:t>
      </w:r>
    </w:p>
    <w:p>
      <w:pPr>
        <w:spacing w:line="460" w:lineRule="atLeast"/>
        <w:ind w:firstLine="480" w:firstLineChars="200"/>
        <w:rPr>
          <w:rFonts w:ascii="宋体" w:hAnsi="宋体" w:cs="宋体"/>
          <w:color w:val="000000"/>
          <w:sz w:val="24"/>
        </w:rPr>
      </w:pPr>
      <w:r>
        <w:rPr>
          <w:rFonts w:hint="eastAsia" w:ascii="宋体" w:hAnsi="宋体" w:cs="宋体"/>
          <w:color w:val="000000"/>
          <w:sz w:val="24"/>
        </w:rPr>
        <w:t>在详细评审之前，根据无效磋商或磋商无效的规定，磋商小组要审查每份竞争性磋商响应文件是否实质上响应了竞争性磋商文件的要求。实质上响应的磋商应该是与竞争性磋商文件要求的全部条款、条件和规格参数相符，没有重大偏离的磋商。对关键条文的偏离、保留或反对将被认为是实质上的偏离。磋商小组决定磋商的响应性只根据磋商响应文件本身的内容，而不寻求外部的证据。</w:t>
      </w:r>
    </w:p>
    <w:p>
      <w:pPr>
        <w:spacing w:line="460" w:lineRule="atLeast"/>
        <w:ind w:firstLine="480" w:firstLineChars="200"/>
        <w:rPr>
          <w:rFonts w:ascii="宋体" w:hAnsi="宋体" w:cs="宋体"/>
          <w:sz w:val="24"/>
          <w:lang w:val="zh-CN"/>
        </w:rPr>
      </w:pPr>
      <w:r>
        <w:rPr>
          <w:rFonts w:hint="eastAsia" w:ascii="宋体" w:hAnsi="宋体" w:cs="宋体"/>
          <w:sz w:val="24"/>
          <w:lang w:val="zh-CN"/>
        </w:rPr>
        <w:t>（</w:t>
      </w:r>
      <w:r>
        <w:rPr>
          <w:rFonts w:hint="eastAsia" w:ascii="宋体" w:hAnsi="宋体" w:cs="宋体"/>
          <w:sz w:val="24"/>
        </w:rPr>
        <w:t>二</w:t>
      </w:r>
      <w:r>
        <w:rPr>
          <w:rFonts w:hint="eastAsia" w:ascii="宋体" w:hAnsi="宋体" w:cs="宋体"/>
          <w:sz w:val="24"/>
          <w:lang w:val="zh-CN"/>
        </w:rPr>
        <w:t xml:space="preserve">）在资格和符合性审查时，出现下列情况者（但不限于），按无效磋商处理： </w:t>
      </w:r>
    </w:p>
    <w:p>
      <w:pPr>
        <w:spacing w:line="460" w:lineRule="atLeast"/>
        <w:ind w:firstLine="480" w:firstLineChars="200"/>
        <w:rPr>
          <w:rFonts w:ascii="宋体" w:hAnsi="宋体" w:cs="宋体"/>
          <w:sz w:val="24"/>
          <w:lang w:val="zh-CN"/>
        </w:rPr>
      </w:pPr>
      <w:r>
        <w:rPr>
          <w:rFonts w:hint="eastAsia" w:ascii="宋体" w:hAnsi="宋体" w:cs="宋体"/>
          <w:sz w:val="24"/>
        </w:rPr>
        <w:t>A.没有按照竞争性磋商文件要求提供的竞争性磋商响应文件或竞争性磋商响应文件构成有重大缺项</w:t>
      </w:r>
      <w:r>
        <w:rPr>
          <w:rFonts w:hint="eastAsia" w:ascii="宋体" w:hAnsi="宋体" w:cs="宋体"/>
          <w:sz w:val="24"/>
          <w:lang w:val="zh-CN"/>
        </w:rPr>
        <w:t>；</w:t>
      </w:r>
    </w:p>
    <w:p>
      <w:pPr>
        <w:spacing w:line="460" w:lineRule="atLeast"/>
        <w:ind w:firstLine="480" w:firstLineChars="200"/>
        <w:rPr>
          <w:rFonts w:ascii="宋体" w:hAnsi="宋体" w:cs="宋体"/>
          <w:sz w:val="24"/>
          <w:lang w:val="zh-CN"/>
        </w:rPr>
      </w:pPr>
      <w:r>
        <w:rPr>
          <w:rFonts w:hint="eastAsia" w:ascii="宋体" w:hAnsi="宋体" w:cs="宋体"/>
          <w:sz w:val="24"/>
        </w:rPr>
        <w:t>B.</w:t>
      </w:r>
      <w:r>
        <w:rPr>
          <w:rFonts w:hint="eastAsia" w:ascii="宋体" w:hAnsi="宋体" w:cs="宋体"/>
          <w:sz w:val="24"/>
          <w:lang w:val="zh-CN"/>
        </w:rPr>
        <w:t>不具备磋商文件中规定的资格要求的或提供的资格要求文件不符合磋商文件要求的；</w:t>
      </w:r>
    </w:p>
    <w:p>
      <w:pPr>
        <w:spacing w:line="460" w:lineRule="atLeast"/>
        <w:ind w:firstLine="480" w:firstLineChars="200"/>
        <w:rPr>
          <w:rFonts w:ascii="宋体" w:hAnsi="宋体" w:cs="宋体"/>
          <w:sz w:val="24"/>
          <w:lang w:val="zh-CN"/>
        </w:rPr>
      </w:pPr>
      <w:r>
        <w:rPr>
          <w:rFonts w:hint="eastAsia" w:ascii="宋体" w:hAnsi="宋体" w:cs="宋体"/>
          <w:sz w:val="24"/>
        </w:rPr>
        <w:t>C.</w:t>
      </w:r>
      <w:r>
        <w:rPr>
          <w:rFonts w:hint="eastAsia" w:ascii="宋体" w:hAnsi="宋体" w:cs="宋体"/>
          <w:sz w:val="24"/>
          <w:lang w:val="zh-CN"/>
        </w:rPr>
        <w:t>磋商响应文件未按磋商文件要求签署、盖章的；</w:t>
      </w:r>
    </w:p>
    <w:p>
      <w:pPr>
        <w:spacing w:line="460" w:lineRule="atLeast"/>
        <w:ind w:firstLine="480" w:firstLineChars="200"/>
        <w:rPr>
          <w:rFonts w:ascii="宋体" w:hAnsi="宋体" w:cs="宋体"/>
          <w:sz w:val="24"/>
          <w:lang w:val="zh-CN"/>
        </w:rPr>
      </w:pPr>
      <w:r>
        <w:rPr>
          <w:rFonts w:hint="eastAsia" w:ascii="宋体" w:hAnsi="宋体" w:cs="宋体"/>
          <w:sz w:val="24"/>
        </w:rPr>
        <w:t>D.</w:t>
      </w:r>
      <w:r>
        <w:rPr>
          <w:rFonts w:hint="eastAsia" w:ascii="宋体" w:hAnsi="宋体" w:cs="宋体"/>
          <w:sz w:val="24"/>
          <w:lang w:val="zh-CN"/>
        </w:rPr>
        <w:t>无磋商及授权有效期或有效期达不到竞争性磋商文件要求的；</w:t>
      </w:r>
    </w:p>
    <w:p>
      <w:pPr>
        <w:spacing w:line="460" w:lineRule="atLeast"/>
        <w:ind w:firstLine="480" w:firstLineChars="200"/>
        <w:rPr>
          <w:rFonts w:ascii="宋体" w:hAnsi="宋体" w:cs="宋体"/>
          <w:sz w:val="24"/>
          <w:lang w:val="zh-CN"/>
        </w:rPr>
      </w:pPr>
      <w:r>
        <w:rPr>
          <w:rFonts w:hint="eastAsia" w:ascii="宋体" w:hAnsi="宋体" w:cs="宋体"/>
          <w:sz w:val="24"/>
        </w:rPr>
        <w:t>E.</w:t>
      </w:r>
      <w:r>
        <w:rPr>
          <w:rFonts w:hint="eastAsia" w:ascii="宋体" w:hAnsi="宋体" w:cs="宋体"/>
          <w:sz w:val="24"/>
          <w:lang w:val="zh-CN"/>
        </w:rPr>
        <w:t>磋商响应文件递交份数不符合磋商文件要求的；</w:t>
      </w:r>
    </w:p>
    <w:p>
      <w:pPr>
        <w:spacing w:line="460" w:lineRule="atLeast"/>
        <w:ind w:firstLine="480" w:firstLineChars="200"/>
        <w:rPr>
          <w:rFonts w:ascii="宋体" w:hAnsi="宋体" w:cs="宋体"/>
          <w:sz w:val="24"/>
          <w:lang w:val="zh-CN"/>
        </w:rPr>
      </w:pPr>
      <w:r>
        <w:rPr>
          <w:rFonts w:hint="eastAsia" w:ascii="宋体" w:hAnsi="宋体" w:cs="宋体"/>
          <w:sz w:val="24"/>
        </w:rPr>
        <w:t>F.</w:t>
      </w:r>
      <w:r>
        <w:rPr>
          <w:rFonts w:hint="eastAsia" w:ascii="宋体" w:hAnsi="宋体" w:cs="宋体"/>
          <w:sz w:val="24"/>
          <w:lang w:val="zh-CN"/>
        </w:rPr>
        <w:t xml:space="preserve">磋商响应文件未按要求磋商文件规定的格式填写或磋商响应文件中关键内容字迹模糊、无法辨认的； </w:t>
      </w:r>
    </w:p>
    <w:p>
      <w:pPr>
        <w:spacing w:line="460" w:lineRule="atLeast"/>
        <w:ind w:firstLine="480" w:firstLineChars="200"/>
        <w:rPr>
          <w:rFonts w:ascii="宋体" w:hAnsi="宋体" w:cs="宋体"/>
          <w:sz w:val="24"/>
          <w:lang w:val="zh-CN"/>
        </w:rPr>
      </w:pPr>
      <w:r>
        <w:rPr>
          <w:rFonts w:hint="eastAsia" w:ascii="宋体" w:hAnsi="宋体" w:cs="宋体"/>
          <w:sz w:val="24"/>
        </w:rPr>
        <w:t>G.存在有重大缺漏项和重大偏离的；</w:t>
      </w:r>
    </w:p>
    <w:p>
      <w:pPr>
        <w:spacing w:line="460" w:lineRule="atLeast"/>
        <w:ind w:firstLine="480" w:firstLineChars="200"/>
        <w:rPr>
          <w:rFonts w:ascii="宋体" w:hAnsi="宋体" w:cs="宋体"/>
          <w:sz w:val="24"/>
          <w:lang w:val="zh-CN"/>
        </w:rPr>
      </w:pPr>
      <w:r>
        <w:rPr>
          <w:rFonts w:hint="eastAsia" w:ascii="宋体" w:hAnsi="宋体" w:cs="宋体"/>
          <w:sz w:val="24"/>
        </w:rPr>
        <w:t>H.</w:t>
      </w:r>
      <w:r>
        <w:rPr>
          <w:rFonts w:hint="eastAsia" w:ascii="宋体" w:hAnsi="宋体" w:cs="宋体"/>
          <w:sz w:val="24"/>
          <w:lang w:val="zh-CN"/>
        </w:rPr>
        <w:t xml:space="preserve">磋商响应文件未响应磋商文件的合同主要条款或响应的内容附有采购人不能接受的附加条件的; </w:t>
      </w:r>
    </w:p>
    <w:p>
      <w:pPr>
        <w:spacing w:line="460" w:lineRule="atLeast"/>
        <w:ind w:firstLine="480" w:firstLineChars="200"/>
        <w:rPr>
          <w:rFonts w:ascii="宋体" w:hAnsi="宋体" w:cs="宋体"/>
          <w:sz w:val="24"/>
          <w:lang w:val="zh-CN"/>
        </w:rPr>
      </w:pPr>
      <w:r>
        <w:rPr>
          <w:rFonts w:hint="eastAsia" w:ascii="宋体" w:hAnsi="宋体" w:cs="宋体"/>
          <w:sz w:val="24"/>
        </w:rPr>
        <w:t>I.</w:t>
      </w:r>
      <w:r>
        <w:rPr>
          <w:rFonts w:hint="eastAsia" w:ascii="宋体" w:hAnsi="宋体" w:cs="宋体"/>
          <w:sz w:val="24"/>
          <w:lang w:val="zh-CN"/>
        </w:rPr>
        <w:t>供应商出现多份报价，出现选择性报价的；</w:t>
      </w:r>
    </w:p>
    <w:p>
      <w:pPr>
        <w:spacing w:line="460" w:lineRule="atLeast"/>
        <w:ind w:firstLine="480" w:firstLineChars="200"/>
        <w:rPr>
          <w:rFonts w:ascii="宋体" w:hAnsi="宋体" w:cs="宋体"/>
          <w:sz w:val="24"/>
          <w:lang w:val="zh-CN"/>
        </w:rPr>
      </w:pPr>
      <w:r>
        <w:rPr>
          <w:rFonts w:hint="eastAsia" w:ascii="宋体" w:hAnsi="宋体" w:cs="宋体"/>
          <w:sz w:val="24"/>
        </w:rPr>
        <w:t>J.</w:t>
      </w:r>
      <w:r>
        <w:rPr>
          <w:rFonts w:hint="eastAsia" w:ascii="宋体" w:hAnsi="宋体" w:cs="宋体"/>
          <w:sz w:val="24"/>
          <w:lang w:val="zh-CN"/>
        </w:rPr>
        <w:t>磋商报价与市场价偏离较大，低于成本，形成不正当竞争；</w:t>
      </w:r>
    </w:p>
    <w:p>
      <w:pPr>
        <w:spacing w:line="460" w:lineRule="atLeast"/>
        <w:ind w:firstLine="480" w:firstLineChars="200"/>
        <w:rPr>
          <w:rFonts w:ascii="宋体" w:hAnsi="宋体" w:cs="宋体"/>
          <w:sz w:val="24"/>
          <w:lang w:val="zh-CN"/>
        </w:rPr>
      </w:pPr>
      <w:r>
        <w:rPr>
          <w:rFonts w:hint="eastAsia" w:ascii="宋体" w:hAnsi="宋体" w:cs="宋体"/>
          <w:sz w:val="24"/>
        </w:rPr>
        <w:t>K.</w:t>
      </w:r>
      <w:r>
        <w:rPr>
          <w:rFonts w:hint="eastAsia" w:ascii="宋体" w:hAnsi="宋体" w:cs="宋体"/>
          <w:sz w:val="24"/>
          <w:lang w:val="zh-CN"/>
        </w:rPr>
        <w:t>磋商报价超过磋商文件中规定的项目预算金额或者最高限价的；</w:t>
      </w:r>
    </w:p>
    <w:p>
      <w:pPr>
        <w:spacing w:line="460" w:lineRule="atLeast"/>
        <w:ind w:firstLine="480" w:firstLineChars="200"/>
        <w:rPr>
          <w:rFonts w:ascii="宋体" w:hAnsi="宋体" w:cs="宋体"/>
          <w:sz w:val="24"/>
          <w:lang w:val="zh-CN"/>
        </w:rPr>
      </w:pPr>
      <w:r>
        <w:rPr>
          <w:rFonts w:hint="eastAsia" w:ascii="宋体" w:hAnsi="宋体" w:cs="宋体"/>
          <w:sz w:val="24"/>
        </w:rPr>
        <w:t>L.</w:t>
      </w:r>
      <w:r>
        <w:rPr>
          <w:rFonts w:hint="eastAsia" w:ascii="宋体" w:hAnsi="宋体" w:cs="宋体"/>
          <w:sz w:val="24"/>
          <w:lang w:val="zh-CN"/>
        </w:rPr>
        <w:t xml:space="preserve">响应文件中未提供参加本项目磋商过程中无提供虚假证明、开具虚假资质的说明函和其他磋商文件要求的说明函、声明函或承诺函的； </w:t>
      </w:r>
    </w:p>
    <w:p>
      <w:pPr>
        <w:spacing w:line="460" w:lineRule="atLeast"/>
        <w:ind w:firstLine="480" w:firstLineChars="200"/>
        <w:rPr>
          <w:rFonts w:ascii="宋体" w:hAnsi="宋体" w:cs="宋体"/>
          <w:sz w:val="24"/>
          <w:lang w:val="zh-CN"/>
        </w:rPr>
      </w:pPr>
      <w:r>
        <w:rPr>
          <w:rFonts w:hint="eastAsia" w:ascii="宋体" w:hAnsi="宋体" w:cs="宋体"/>
          <w:sz w:val="24"/>
        </w:rPr>
        <w:t>M.</w:t>
      </w:r>
      <w:r>
        <w:rPr>
          <w:rFonts w:hint="eastAsia" w:ascii="宋体" w:hAnsi="宋体" w:cs="宋体"/>
          <w:sz w:val="24"/>
          <w:lang w:val="zh-CN"/>
        </w:rPr>
        <w:t>不同供应商的磋商响应文件由同一单位或者个人编制；或不同供应商委托同一单位或者个人办理磋商事宜；或不同供应商的磋商响应文件载明的项目管理成员或者联系人员为同一人；或不同供应商的磋商响应文件异常一致或者磋商报价呈规律性差异；或不同供应商的磋商响应文件相互混装；</w:t>
      </w:r>
    </w:p>
    <w:p>
      <w:pPr>
        <w:spacing w:line="460" w:lineRule="atLeast"/>
        <w:ind w:firstLine="480" w:firstLineChars="200"/>
        <w:rPr>
          <w:rFonts w:ascii="宋体" w:hAnsi="宋体" w:cs="宋体"/>
          <w:sz w:val="24"/>
          <w:lang w:val="zh-CN"/>
        </w:rPr>
      </w:pPr>
      <w:r>
        <w:rPr>
          <w:rFonts w:hint="eastAsia" w:ascii="宋体" w:hAnsi="宋体" w:cs="宋体"/>
          <w:sz w:val="24"/>
          <w:lang w:val="zh-CN"/>
        </w:rPr>
        <w:t>说明：符合性审查结束后，评审小组当对审查结果进行签字确认，并告知无效供应商符合性审查未通过的原因。若评审时出现</w:t>
      </w:r>
      <w:r>
        <w:rPr>
          <w:rFonts w:hint="eastAsia" w:ascii="宋体" w:hAnsi="宋体" w:cs="宋体"/>
          <w:sz w:val="24"/>
        </w:rPr>
        <w:t>L</w:t>
      </w:r>
      <w:r>
        <w:rPr>
          <w:rFonts w:hint="eastAsia" w:ascii="宋体" w:hAnsi="宋体" w:cs="宋体"/>
          <w:sz w:val="24"/>
          <w:lang w:val="zh-CN"/>
        </w:rPr>
        <w:t>、</w:t>
      </w:r>
      <w:r>
        <w:rPr>
          <w:rFonts w:hint="eastAsia" w:ascii="宋体" w:hAnsi="宋体" w:cs="宋体"/>
          <w:sz w:val="24"/>
        </w:rPr>
        <w:t>M</w:t>
      </w:r>
      <w:r>
        <w:rPr>
          <w:rFonts w:hint="eastAsia" w:ascii="宋体" w:hAnsi="宋体" w:cs="宋体"/>
          <w:sz w:val="24"/>
          <w:lang w:val="zh-CN"/>
        </w:rPr>
        <w:t>情况，除按无效标处理外还进行相应的处罚。</w:t>
      </w:r>
    </w:p>
    <w:p>
      <w:pPr>
        <w:spacing w:line="460" w:lineRule="atLeast"/>
        <w:ind w:firstLine="480" w:firstLineChars="200"/>
        <w:rPr>
          <w:rFonts w:ascii="宋体" w:hAnsi="宋体" w:cs="宋体"/>
          <w:sz w:val="24"/>
          <w:lang w:val="zh-CN"/>
        </w:rPr>
      </w:pPr>
      <w:r>
        <w:rPr>
          <w:rFonts w:hint="eastAsia" w:ascii="宋体" w:hAnsi="宋体" w:cs="宋体"/>
          <w:sz w:val="24"/>
          <w:lang w:val="zh-CN"/>
        </w:rPr>
        <w:t>（三）磋商响应文件的澄清、说明或者更正</w:t>
      </w:r>
    </w:p>
    <w:p>
      <w:pPr>
        <w:spacing w:line="460" w:lineRule="atLeast"/>
        <w:ind w:firstLine="480" w:firstLineChars="200"/>
        <w:rPr>
          <w:rFonts w:ascii="宋体" w:hAnsi="宋体" w:cs="宋体"/>
          <w:sz w:val="24"/>
          <w:lang w:val="zh-CN"/>
        </w:rPr>
      </w:pPr>
      <w:r>
        <w:rPr>
          <w:rFonts w:hint="eastAsia" w:ascii="宋体" w:hAnsi="宋体" w:cs="宋体"/>
          <w:sz w:val="24"/>
          <w:lang w:val="zh-CN"/>
        </w:rPr>
        <w:t>1.磋商小组在对响应文件的有效性、完整性和响应程度进行审查时，可以要求供应商对响应文件中含义不明确、同类问题表述不一致或者有明显文字和计算错误的内容等作出必要的澄清、说明或者更正。供应商的澄清、说明或者更正不得超出响应文件的范围或者改变响应文件的实质性内容。</w:t>
      </w:r>
    </w:p>
    <w:p>
      <w:pPr>
        <w:spacing w:line="460" w:lineRule="atLeast"/>
        <w:ind w:firstLine="480" w:firstLineChars="200"/>
        <w:rPr>
          <w:rFonts w:ascii="宋体" w:hAnsi="宋体" w:cs="宋体"/>
          <w:sz w:val="24"/>
          <w:lang w:val="zh-CN"/>
        </w:rPr>
      </w:pPr>
      <w:r>
        <w:rPr>
          <w:rFonts w:hint="eastAsia" w:ascii="宋体" w:hAnsi="宋体" w:cs="宋体"/>
          <w:sz w:val="24"/>
          <w:lang w:val="zh-CN"/>
        </w:rPr>
        <w:t>2.磋商小组要求供应商澄清、说明或者更正响应文件应当以书面形式作出。供应商的澄清、说明或者更正应当由法定代表人或其授权代表签字或者加盖公章。由授权代表签字的，应当附法定代表人授权书。供应商为自然人的，应当由本人签字并附身份证明。</w:t>
      </w:r>
    </w:p>
    <w:p>
      <w:pPr>
        <w:spacing w:line="460" w:lineRule="atLeast"/>
        <w:ind w:firstLine="480" w:firstLineChars="200"/>
        <w:rPr>
          <w:rFonts w:ascii="宋体" w:hAnsi="宋体" w:cs="宋体"/>
          <w:sz w:val="24"/>
          <w:lang w:val="zh-CN"/>
        </w:rPr>
      </w:pPr>
      <w:r>
        <w:rPr>
          <w:rFonts w:hint="eastAsia" w:ascii="宋体" w:hAnsi="宋体" w:cs="宋体"/>
          <w:sz w:val="24"/>
        </w:rPr>
        <w:t>3.</w:t>
      </w:r>
      <w:r>
        <w:rPr>
          <w:rFonts w:hint="eastAsia" w:ascii="宋体" w:hAnsi="宋体" w:cs="宋体"/>
          <w:sz w:val="24"/>
          <w:lang w:val="zh-CN"/>
        </w:rPr>
        <w:t>磋商时，磋商响应文件中出现下列情况，修正原则为：</w:t>
      </w:r>
    </w:p>
    <w:p>
      <w:pPr>
        <w:spacing w:line="460" w:lineRule="atLeast"/>
        <w:ind w:firstLine="480" w:firstLineChars="200"/>
        <w:rPr>
          <w:rFonts w:ascii="宋体" w:hAnsi="宋体" w:cs="宋体"/>
          <w:sz w:val="24"/>
          <w:lang w:val="zh-CN"/>
        </w:rPr>
      </w:pPr>
      <w:r>
        <w:rPr>
          <w:rFonts w:hint="eastAsia" w:ascii="宋体" w:hAnsi="宋体" w:cs="宋体"/>
          <w:sz w:val="24"/>
          <w:lang w:val="zh-CN"/>
        </w:rPr>
        <w:t>A.磋商响应文件中报价一览表内容与磋商响应文件中明细内容不一致的，以报价一览表为准；</w:t>
      </w:r>
    </w:p>
    <w:p>
      <w:pPr>
        <w:spacing w:line="460" w:lineRule="atLeast"/>
        <w:ind w:firstLine="480" w:firstLineChars="200"/>
        <w:rPr>
          <w:rFonts w:ascii="宋体" w:hAnsi="宋体" w:cs="宋体"/>
          <w:sz w:val="24"/>
          <w:lang w:val="zh-CN"/>
        </w:rPr>
      </w:pPr>
      <w:r>
        <w:rPr>
          <w:rFonts w:hint="eastAsia" w:ascii="宋体" w:hAnsi="宋体" w:cs="宋体"/>
          <w:sz w:val="24"/>
          <w:lang w:val="zh-CN"/>
        </w:rPr>
        <w:t>B.磋商报价的大写金额和小写金额不一致的，以大写金额为准；</w:t>
      </w:r>
    </w:p>
    <w:p>
      <w:pPr>
        <w:spacing w:line="460" w:lineRule="atLeast"/>
        <w:ind w:firstLine="480" w:firstLineChars="200"/>
        <w:rPr>
          <w:rFonts w:ascii="宋体" w:hAnsi="宋体" w:cs="宋体"/>
          <w:sz w:val="24"/>
          <w:lang w:val="zh-CN"/>
        </w:rPr>
      </w:pPr>
      <w:r>
        <w:rPr>
          <w:rFonts w:hint="eastAsia" w:ascii="宋体" w:hAnsi="宋体" w:cs="宋体"/>
          <w:sz w:val="24"/>
          <w:lang w:val="zh-CN"/>
        </w:rPr>
        <w:t>C.总价金额与按单价汇总金额不一致的，以单价金额计算结果为准；</w:t>
      </w:r>
    </w:p>
    <w:p>
      <w:pPr>
        <w:spacing w:line="460" w:lineRule="atLeast"/>
        <w:ind w:firstLine="480" w:firstLineChars="200"/>
        <w:rPr>
          <w:rFonts w:ascii="宋体" w:hAnsi="宋体" w:cs="宋体"/>
          <w:sz w:val="24"/>
          <w:lang w:val="zh-CN"/>
        </w:rPr>
      </w:pPr>
      <w:r>
        <w:rPr>
          <w:rFonts w:hint="eastAsia" w:ascii="宋体" w:hAnsi="宋体" w:cs="宋体"/>
          <w:sz w:val="24"/>
          <w:lang w:val="zh-CN"/>
        </w:rPr>
        <w:t>D.单价金额小数点有明显错位的，以总价为准，并修改单价；</w:t>
      </w:r>
    </w:p>
    <w:p>
      <w:pPr>
        <w:spacing w:line="460" w:lineRule="atLeast"/>
        <w:ind w:firstLine="480" w:firstLineChars="200"/>
        <w:rPr>
          <w:rFonts w:ascii="宋体" w:hAnsi="宋体" w:cs="宋体"/>
          <w:sz w:val="24"/>
          <w:lang w:val="zh-CN"/>
        </w:rPr>
      </w:pPr>
      <w:r>
        <w:rPr>
          <w:rFonts w:hint="eastAsia" w:ascii="宋体" w:hAnsi="宋体" w:cs="宋体"/>
          <w:sz w:val="24"/>
          <w:lang w:val="zh-CN"/>
        </w:rPr>
        <w:t>E.磋商响应文件正本与副本不一致的，以正本为准；</w:t>
      </w:r>
    </w:p>
    <w:p>
      <w:pPr>
        <w:spacing w:line="460" w:lineRule="atLeast"/>
        <w:ind w:firstLine="480" w:firstLineChars="200"/>
        <w:rPr>
          <w:rFonts w:ascii="宋体" w:hAnsi="宋体" w:cs="宋体"/>
          <w:sz w:val="24"/>
          <w:lang w:val="zh-CN"/>
        </w:rPr>
      </w:pPr>
      <w:r>
        <w:rPr>
          <w:rFonts w:hint="eastAsia" w:ascii="宋体" w:hAnsi="宋体" w:cs="宋体"/>
          <w:sz w:val="24"/>
          <w:lang w:val="zh-CN"/>
        </w:rPr>
        <w:t>F.多处内容交叉不符时，以磋商小组成员会评审结果为准；</w:t>
      </w:r>
    </w:p>
    <w:p>
      <w:pPr>
        <w:spacing w:line="460" w:lineRule="atLeast"/>
        <w:ind w:firstLine="480" w:firstLineChars="200"/>
        <w:rPr>
          <w:rFonts w:ascii="宋体" w:hAnsi="宋体" w:cs="宋体"/>
          <w:sz w:val="24"/>
          <w:lang w:val="zh-CN"/>
        </w:rPr>
      </w:pPr>
      <w:r>
        <w:rPr>
          <w:rFonts w:hint="eastAsia" w:ascii="宋体" w:hAnsi="宋体" w:cs="宋体"/>
          <w:sz w:val="24"/>
          <w:lang w:val="zh-CN"/>
        </w:rPr>
        <w:t>G.文字与图表不符时以文字为准；</w:t>
      </w:r>
    </w:p>
    <w:p>
      <w:pPr>
        <w:spacing w:line="460" w:lineRule="atLeast"/>
        <w:ind w:firstLine="480" w:firstLineChars="200"/>
        <w:rPr>
          <w:rFonts w:ascii="宋体" w:hAnsi="宋体" w:cs="宋体"/>
          <w:sz w:val="24"/>
        </w:rPr>
      </w:pPr>
      <w:r>
        <w:rPr>
          <w:rFonts w:hint="eastAsia" w:ascii="宋体" w:hAnsi="宋体" w:cs="宋体"/>
          <w:sz w:val="24"/>
        </w:rPr>
        <w:t>按上述修正错误的原则及方法调整或修正磋商响应文件的报价，供应商同意后，调整后的内容对供应商起约束作用。如果供应商不接受修正后的内容，则其磋商活动将被拒绝。</w:t>
      </w:r>
    </w:p>
    <w:p>
      <w:pPr>
        <w:snapToGrid w:val="0"/>
        <w:spacing w:line="360" w:lineRule="auto"/>
        <w:ind w:firstLine="482" w:firstLineChars="200"/>
        <w:rPr>
          <w:rFonts w:ascii="仿宋_GB2312" w:eastAsia="仿宋_GB2312"/>
          <w:sz w:val="32"/>
          <w:szCs w:val="32"/>
        </w:rPr>
      </w:pPr>
      <w:r>
        <w:rPr>
          <w:rFonts w:hint="eastAsia" w:ascii="宋体" w:hAnsi="宋体" w:cs="宋体"/>
          <w:b/>
          <w:sz w:val="24"/>
        </w:rPr>
        <w:t>九、磋商</w:t>
      </w:r>
    </w:p>
    <w:p>
      <w:pPr>
        <w:spacing w:line="460" w:lineRule="atLeast"/>
        <w:ind w:firstLine="480" w:firstLineChars="200"/>
        <w:rPr>
          <w:rFonts w:ascii="宋体" w:hAnsi="宋体" w:cs="宋体"/>
          <w:sz w:val="24"/>
          <w:lang w:val="zh-CN"/>
        </w:rPr>
      </w:pPr>
      <w:r>
        <w:rPr>
          <w:rFonts w:hint="eastAsia" w:ascii="宋体" w:hAnsi="宋体" w:cs="宋体"/>
          <w:sz w:val="24"/>
          <w:lang w:val="zh-CN"/>
        </w:rPr>
        <w:t>磋商小组所有成员集中与单一供应商分别进行磋商，并给所有参加磋商供应商平等的磋商机会。</w:t>
      </w:r>
    </w:p>
    <w:p>
      <w:pPr>
        <w:spacing w:line="460" w:lineRule="atLeast"/>
        <w:ind w:firstLine="480" w:firstLineChars="200"/>
        <w:rPr>
          <w:rFonts w:ascii="宋体" w:hAnsi="宋体" w:cs="宋体"/>
          <w:sz w:val="24"/>
          <w:lang w:val="zh-CN"/>
        </w:rPr>
      </w:pPr>
      <w:r>
        <w:rPr>
          <w:rFonts w:hint="eastAsia" w:ascii="宋体" w:hAnsi="宋体" w:cs="宋体"/>
          <w:sz w:val="24"/>
          <w:lang w:val="zh-CN"/>
        </w:rPr>
        <w:t>1.在磋商过程中，磋商小组可以根据磋商文件和磋商情况实质性变动采购需求中的技术、服务要求以及合同草案条款，但不得变动磋商文件中的其他内容。实质性变动的内容，须经采购人代表确认。</w:t>
      </w:r>
    </w:p>
    <w:p>
      <w:pPr>
        <w:spacing w:line="460" w:lineRule="atLeast"/>
        <w:ind w:firstLine="480" w:firstLineChars="200"/>
        <w:rPr>
          <w:rFonts w:ascii="宋体" w:hAnsi="宋体" w:cs="宋体"/>
          <w:sz w:val="24"/>
          <w:lang w:val="zh-CN"/>
        </w:rPr>
      </w:pPr>
      <w:r>
        <w:rPr>
          <w:rFonts w:hint="eastAsia" w:ascii="宋体" w:hAnsi="宋体" w:cs="宋体"/>
          <w:sz w:val="24"/>
          <w:lang w:val="zh-CN"/>
        </w:rPr>
        <w:t>2.对磋商文件作出的实质性变动是磋商文件的有效组成部分，磋商小组应当及时以书面形式同时通知所有参加磋商的供应商。</w:t>
      </w:r>
    </w:p>
    <w:p>
      <w:pPr>
        <w:spacing w:line="460" w:lineRule="atLeast"/>
        <w:ind w:firstLine="480" w:firstLineChars="200"/>
        <w:rPr>
          <w:rFonts w:ascii="宋体" w:hAnsi="宋体" w:cs="宋体"/>
          <w:sz w:val="24"/>
          <w:lang w:val="zh-CN"/>
        </w:rPr>
      </w:pPr>
      <w:r>
        <w:rPr>
          <w:rFonts w:hint="eastAsia" w:ascii="宋体" w:hAnsi="宋体" w:cs="宋体"/>
          <w:sz w:val="24"/>
          <w:lang w:val="zh-CN"/>
        </w:rPr>
        <w:t>3.供应商应当按照磋商文件的变动情况和磋商小组的要求重新提交响应文件，并由其法定代表人或授权代表签字或者加盖公章。由授权代表签字的，应当附法定代表人授权书。供应商为自然人的，应当由本人签字并附身份证明。</w:t>
      </w:r>
    </w:p>
    <w:p>
      <w:pPr>
        <w:spacing w:line="460" w:lineRule="atLeast"/>
        <w:ind w:firstLine="482" w:firstLineChars="200"/>
        <w:rPr>
          <w:rFonts w:ascii="宋体" w:hAnsi="宋体" w:cs="宋体"/>
          <w:b/>
          <w:bCs/>
          <w:sz w:val="24"/>
          <w:lang w:val="zh-CN"/>
        </w:rPr>
      </w:pPr>
      <w:r>
        <w:rPr>
          <w:rFonts w:hint="eastAsia" w:ascii="宋体" w:hAnsi="宋体" w:cs="宋体"/>
          <w:b/>
          <w:bCs/>
          <w:sz w:val="24"/>
          <w:lang w:val="zh-CN"/>
        </w:rPr>
        <w:t>十、最终报价</w:t>
      </w:r>
    </w:p>
    <w:p>
      <w:pPr>
        <w:spacing w:line="460" w:lineRule="atLeast"/>
        <w:ind w:firstLine="480" w:firstLineChars="200"/>
        <w:rPr>
          <w:rFonts w:ascii="宋体" w:hAnsi="宋体" w:cs="宋体"/>
          <w:sz w:val="24"/>
          <w:lang w:val="zh-CN"/>
        </w:rPr>
      </w:pPr>
      <w:r>
        <w:rPr>
          <w:rFonts w:hint="eastAsia" w:ascii="宋体" w:hAnsi="宋体" w:cs="宋体"/>
          <w:sz w:val="24"/>
          <w:lang w:val="zh-CN"/>
        </w:rPr>
        <w:t>1.磋商文件能够详细列明采购标的的技术、服务要求的，磋商结束后，磋商小组应当要求所有实质性响应的供应商在规定时间内提交最后报价，提交最后报价的供应商不得少于3家。</w:t>
      </w:r>
    </w:p>
    <w:p>
      <w:pPr>
        <w:spacing w:line="460" w:lineRule="atLeast"/>
        <w:ind w:firstLine="480" w:firstLineChars="200"/>
        <w:rPr>
          <w:rFonts w:ascii="宋体" w:hAnsi="宋体" w:cs="宋体"/>
          <w:sz w:val="24"/>
          <w:lang w:val="zh-CN"/>
        </w:rPr>
      </w:pPr>
      <w:r>
        <w:rPr>
          <w:rFonts w:hint="eastAsia" w:ascii="宋体" w:hAnsi="宋体" w:cs="宋体"/>
          <w:sz w:val="24"/>
          <w:lang w:val="zh-CN"/>
        </w:rPr>
        <w:t>2.磋商文件不能详细列明采购标的的技术、服务要求，需经磋商由供应商提供最终服务方案或解决方案的，磋商结束后，磋商小组应当按照少数服从多数的原则投票推荐3家以上供应商的服务方案或者解决方案，并要求其在规定时间内提交最后报价。</w:t>
      </w:r>
    </w:p>
    <w:p>
      <w:pPr>
        <w:spacing w:line="460" w:lineRule="atLeast"/>
        <w:ind w:firstLine="480" w:firstLineChars="200"/>
        <w:rPr>
          <w:rFonts w:ascii="宋体" w:hAnsi="宋体" w:cs="宋体"/>
          <w:sz w:val="24"/>
          <w:lang w:val="zh-CN"/>
        </w:rPr>
      </w:pPr>
      <w:r>
        <w:rPr>
          <w:rFonts w:hint="eastAsia" w:ascii="宋体" w:hAnsi="宋体" w:cs="宋体"/>
          <w:sz w:val="24"/>
          <w:lang w:val="zh-CN"/>
        </w:rPr>
        <w:t>3.最后报价是供应商响应文件的有效组成部分。符合《政府采购竞争性磋商采购方式管理暂行办法》第三条第四项情形的，提交最后报价的供应商可以为2家。</w:t>
      </w:r>
    </w:p>
    <w:p>
      <w:pPr>
        <w:spacing w:line="460" w:lineRule="atLeast"/>
        <w:ind w:firstLine="480" w:firstLineChars="200"/>
        <w:rPr>
          <w:rFonts w:ascii="宋体" w:hAnsi="宋体" w:cs="宋体"/>
          <w:sz w:val="24"/>
          <w:lang w:val="zh-CN"/>
        </w:rPr>
      </w:pPr>
      <w:r>
        <w:rPr>
          <w:rFonts w:hint="eastAsia" w:ascii="宋体" w:hAnsi="宋体" w:cs="宋体"/>
          <w:sz w:val="24"/>
          <w:lang w:val="zh-CN"/>
        </w:rPr>
        <w:t>4.最后报价应按首次报价的格式内容填写，且由法定代表人（或授权代表）签字。</w:t>
      </w:r>
    </w:p>
    <w:p>
      <w:pPr>
        <w:spacing w:line="460" w:lineRule="atLeast"/>
        <w:ind w:firstLine="482" w:firstLineChars="200"/>
        <w:rPr>
          <w:rFonts w:ascii="宋体" w:hAnsi="宋体" w:cs="宋体"/>
          <w:b/>
          <w:bCs/>
          <w:sz w:val="24"/>
          <w:lang w:val="zh-CN"/>
        </w:rPr>
      </w:pPr>
      <w:r>
        <w:rPr>
          <w:rFonts w:hint="eastAsia" w:ascii="宋体" w:hAnsi="宋体" w:cs="宋体"/>
          <w:b/>
          <w:bCs/>
          <w:sz w:val="24"/>
          <w:lang w:val="zh-CN"/>
        </w:rPr>
        <w:t>十一、比较与评价</w:t>
      </w:r>
    </w:p>
    <w:p>
      <w:pPr>
        <w:spacing w:line="460" w:lineRule="atLeast"/>
        <w:ind w:firstLine="480" w:firstLineChars="200"/>
        <w:rPr>
          <w:rFonts w:ascii="宋体" w:hAnsi="宋体" w:cs="宋体"/>
          <w:sz w:val="24"/>
          <w:lang w:val="zh-CN"/>
        </w:rPr>
      </w:pPr>
      <w:r>
        <w:rPr>
          <w:rFonts w:hint="eastAsia" w:ascii="宋体" w:hAnsi="宋体" w:cs="宋体"/>
          <w:sz w:val="24"/>
        </w:rPr>
        <w:t>1</w:t>
      </w:r>
      <w:r>
        <w:rPr>
          <w:rFonts w:hint="eastAsia" w:ascii="宋体" w:hAnsi="宋体" w:cs="宋体"/>
          <w:sz w:val="24"/>
          <w:lang w:val="zh-CN"/>
        </w:rPr>
        <w:t>.评审指标分值构成（总计100分）</w:t>
      </w:r>
    </w:p>
    <w:p>
      <w:pPr>
        <w:pStyle w:val="14"/>
        <w:rPr>
          <w:lang w:val="zh-CN"/>
        </w:rPr>
      </w:pPr>
    </w:p>
    <w:tbl>
      <w:tblPr>
        <w:tblStyle w:val="19"/>
        <w:tblW w:w="9712" w:type="dxa"/>
        <w:tblInd w:w="209"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67"/>
        <w:gridCol w:w="1181"/>
        <w:gridCol w:w="686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67" w:type="dxa"/>
            <w:vAlign w:val="center"/>
          </w:tcPr>
          <w:p>
            <w:pPr>
              <w:spacing w:line="360" w:lineRule="auto"/>
              <w:jc w:val="center"/>
              <w:rPr>
                <w:rFonts w:ascii="宋体" w:hAnsi="宋体" w:cs="宋体"/>
                <w:color w:val="auto"/>
                <w:sz w:val="24"/>
              </w:rPr>
            </w:pPr>
            <w:r>
              <w:rPr>
                <w:rFonts w:hint="eastAsia" w:ascii="宋体" w:hAnsi="宋体" w:cs="宋体"/>
                <w:color w:val="auto"/>
                <w:sz w:val="24"/>
              </w:rPr>
              <w:t>评分因素</w:t>
            </w:r>
          </w:p>
        </w:tc>
        <w:tc>
          <w:tcPr>
            <w:tcW w:w="1181" w:type="dxa"/>
            <w:vAlign w:val="center"/>
          </w:tcPr>
          <w:p>
            <w:pPr>
              <w:spacing w:line="360" w:lineRule="auto"/>
              <w:ind w:firstLine="28"/>
              <w:jc w:val="center"/>
              <w:rPr>
                <w:rFonts w:ascii="宋体" w:hAnsi="宋体" w:cs="宋体"/>
                <w:color w:val="auto"/>
                <w:sz w:val="24"/>
              </w:rPr>
            </w:pPr>
            <w:r>
              <w:rPr>
                <w:rFonts w:hint="eastAsia" w:ascii="宋体" w:hAnsi="宋体" w:cs="宋体"/>
                <w:color w:val="auto"/>
                <w:sz w:val="24"/>
              </w:rPr>
              <w:t>分值</w:t>
            </w:r>
          </w:p>
        </w:tc>
        <w:tc>
          <w:tcPr>
            <w:tcW w:w="6864" w:type="dxa"/>
            <w:vAlign w:val="center"/>
          </w:tcPr>
          <w:p>
            <w:pPr>
              <w:spacing w:line="360" w:lineRule="auto"/>
              <w:ind w:firstLine="28"/>
              <w:jc w:val="center"/>
              <w:rPr>
                <w:rFonts w:ascii="宋体" w:hAnsi="宋体" w:cs="宋体"/>
                <w:color w:val="auto"/>
                <w:sz w:val="24"/>
              </w:rPr>
            </w:pPr>
            <w:r>
              <w:rPr>
                <w:rFonts w:hint="eastAsia" w:ascii="宋体" w:hAnsi="宋体" w:cs="宋体"/>
                <w:color w:val="auto"/>
                <w:sz w:val="24"/>
              </w:rPr>
              <w:t>评分标准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67" w:type="dxa"/>
            <w:vAlign w:val="center"/>
          </w:tcPr>
          <w:p>
            <w:pPr>
              <w:spacing w:line="360" w:lineRule="auto"/>
              <w:ind w:firstLine="28"/>
              <w:jc w:val="center"/>
              <w:rPr>
                <w:rFonts w:ascii="宋体" w:hAnsi="宋体" w:cs="宋体"/>
                <w:color w:val="auto"/>
                <w:sz w:val="24"/>
              </w:rPr>
            </w:pPr>
            <w:r>
              <w:rPr>
                <w:rFonts w:hint="eastAsia" w:ascii="宋体" w:hAnsi="宋体" w:cs="宋体"/>
                <w:color w:val="auto"/>
                <w:sz w:val="24"/>
              </w:rPr>
              <w:t>报价</w:t>
            </w:r>
          </w:p>
        </w:tc>
        <w:tc>
          <w:tcPr>
            <w:tcW w:w="1181" w:type="dxa"/>
            <w:vAlign w:val="center"/>
          </w:tcPr>
          <w:p>
            <w:pPr>
              <w:spacing w:line="360" w:lineRule="auto"/>
              <w:ind w:firstLine="28"/>
              <w:jc w:val="center"/>
              <w:rPr>
                <w:rFonts w:ascii="宋体" w:hAnsi="宋体" w:cs="宋体"/>
                <w:color w:val="auto"/>
                <w:sz w:val="24"/>
              </w:rPr>
            </w:pPr>
            <w:r>
              <w:rPr>
                <w:rFonts w:hint="eastAsia" w:ascii="宋体" w:hAnsi="宋体" w:cs="宋体"/>
                <w:color w:val="auto"/>
                <w:sz w:val="24"/>
              </w:rPr>
              <w:t>30分</w:t>
            </w:r>
          </w:p>
        </w:tc>
        <w:tc>
          <w:tcPr>
            <w:tcW w:w="6864" w:type="dxa"/>
            <w:vAlign w:val="center"/>
          </w:tcPr>
          <w:p>
            <w:pPr>
              <w:spacing w:line="360" w:lineRule="auto"/>
              <w:ind w:firstLine="28"/>
              <w:rPr>
                <w:rFonts w:ascii="宋体" w:hAnsi="宋体" w:cs="宋体"/>
                <w:color w:val="auto"/>
                <w:sz w:val="24"/>
              </w:rPr>
            </w:pPr>
            <w:r>
              <w:rPr>
                <w:rFonts w:hint="eastAsia" w:ascii="宋体" w:hAnsi="宋体" w:cs="宋体"/>
                <w:color w:val="auto"/>
                <w:sz w:val="24"/>
              </w:rPr>
              <w:t>采用低价优先法计算，即满足磋商文件要求且最终报价最低的供应商的价格为评标基准价，其价格分为满分。</w:t>
            </w:r>
          </w:p>
          <w:p>
            <w:pPr>
              <w:spacing w:line="360" w:lineRule="auto"/>
              <w:ind w:firstLine="28"/>
              <w:rPr>
                <w:rFonts w:ascii="宋体" w:hAnsi="宋体" w:cs="宋体"/>
                <w:color w:val="auto"/>
                <w:sz w:val="24"/>
              </w:rPr>
            </w:pPr>
            <w:r>
              <w:rPr>
                <w:rFonts w:hint="eastAsia" w:ascii="宋体" w:hAnsi="宋体" w:cs="宋体"/>
                <w:color w:val="auto"/>
                <w:sz w:val="24"/>
              </w:rPr>
              <w:t>磋商报价得分＝（评标基准价/磋商最终报价）×30</w:t>
            </w:r>
          </w:p>
          <w:p>
            <w:pPr>
              <w:spacing w:line="360" w:lineRule="auto"/>
              <w:ind w:firstLine="28"/>
              <w:rPr>
                <w:rFonts w:ascii="宋体" w:hAnsi="宋体" w:cs="宋体"/>
                <w:color w:val="auto"/>
                <w:sz w:val="24"/>
              </w:rPr>
            </w:pPr>
            <w:r>
              <w:rPr>
                <w:rFonts w:hint="eastAsia" w:ascii="宋体" w:hAnsi="宋体" w:cs="宋体"/>
                <w:color w:val="auto"/>
                <w:sz w:val="24"/>
              </w:rPr>
              <w:t>备注：当磋商小组认为某个供应商的报价明显低于其他通过符合性审查供应商的报价，有可能影响产品质量和不能诚信履约的，应要求该供应商在评标现场合理的时间内提供书面说明，必要时提交相关证明材料；供应商不能证明其报价合理的，磋商小组将其作为无效磋商处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67" w:type="dxa"/>
            <w:vAlign w:val="center"/>
          </w:tcPr>
          <w:p>
            <w:pPr>
              <w:spacing w:line="360" w:lineRule="auto"/>
              <w:ind w:firstLine="28"/>
              <w:jc w:val="center"/>
              <w:rPr>
                <w:rFonts w:ascii="宋体" w:hAnsi="宋体" w:cs="宋体"/>
                <w:color w:val="auto"/>
                <w:sz w:val="24"/>
                <w:lang w:val="zh-CN"/>
              </w:rPr>
            </w:pPr>
            <w:r>
              <w:rPr>
                <w:rFonts w:hint="eastAsia" w:ascii="宋体" w:hAnsi="宋体" w:cs="宋体"/>
                <w:color w:val="auto"/>
                <w:sz w:val="24"/>
              </w:rPr>
              <w:t>技术指标及功能配置</w:t>
            </w:r>
          </w:p>
        </w:tc>
        <w:tc>
          <w:tcPr>
            <w:tcW w:w="1181" w:type="dxa"/>
            <w:vAlign w:val="center"/>
          </w:tcPr>
          <w:p>
            <w:pPr>
              <w:spacing w:line="360" w:lineRule="auto"/>
              <w:ind w:firstLine="28"/>
              <w:jc w:val="center"/>
              <w:rPr>
                <w:rFonts w:ascii="宋体" w:hAnsi="宋体" w:cs="宋体"/>
                <w:color w:val="auto"/>
                <w:sz w:val="24"/>
              </w:rPr>
            </w:pPr>
            <w:r>
              <w:rPr>
                <w:rFonts w:hint="eastAsia" w:ascii="宋体" w:hAnsi="宋体" w:cs="宋体"/>
                <w:color w:val="auto"/>
                <w:sz w:val="24"/>
              </w:rPr>
              <w:t>35分</w:t>
            </w:r>
          </w:p>
        </w:tc>
        <w:tc>
          <w:tcPr>
            <w:tcW w:w="6864" w:type="dxa"/>
            <w:vAlign w:val="center"/>
          </w:tcPr>
          <w:p>
            <w:pPr>
              <w:spacing w:line="360" w:lineRule="auto"/>
              <w:rPr>
                <w:rFonts w:ascii="宋体" w:hAnsi="宋体" w:cs="宋体"/>
                <w:color w:val="auto"/>
                <w:sz w:val="24"/>
                <w:lang w:val="zh-CN"/>
              </w:rPr>
            </w:pPr>
            <w:r>
              <w:rPr>
                <w:rFonts w:hint="eastAsia" w:ascii="宋体" w:hAnsi="宋体" w:cs="宋体"/>
                <w:color w:val="auto"/>
                <w:sz w:val="24"/>
              </w:rPr>
              <w:t>1、</w:t>
            </w:r>
            <w:r>
              <w:rPr>
                <w:rFonts w:hint="eastAsia" w:ascii="宋体" w:hAnsi="宋体" w:cs="宋体"/>
                <w:color w:val="auto"/>
                <w:sz w:val="24"/>
                <w:lang w:val="zh-CN"/>
              </w:rPr>
              <w:t>所投产品内容齐全，产品选型符合磋商文件要求，数量准确，规格符合要求无缺漏项，配置完整，满足采购需求，根据响应情况计</w:t>
            </w:r>
            <w:r>
              <w:rPr>
                <w:rFonts w:hint="eastAsia" w:ascii="宋体" w:hAnsi="宋体" w:cs="宋体"/>
                <w:color w:val="auto"/>
                <w:sz w:val="24"/>
              </w:rPr>
              <w:t>0</w:t>
            </w:r>
            <w:r>
              <w:rPr>
                <w:rFonts w:hint="eastAsia" w:ascii="宋体" w:hAnsi="宋体" w:cs="宋体"/>
                <w:color w:val="auto"/>
                <w:sz w:val="24"/>
                <w:lang w:val="zh-CN"/>
              </w:rPr>
              <w:t>～</w:t>
            </w:r>
            <w:r>
              <w:rPr>
                <w:rFonts w:hint="eastAsia" w:ascii="宋体" w:hAnsi="宋体" w:cs="宋体"/>
                <w:color w:val="auto"/>
                <w:sz w:val="24"/>
              </w:rPr>
              <w:t>9</w:t>
            </w:r>
            <w:r>
              <w:rPr>
                <w:rFonts w:hint="eastAsia" w:ascii="宋体" w:hAnsi="宋体" w:cs="宋体"/>
                <w:color w:val="auto"/>
                <w:sz w:val="24"/>
                <w:lang w:val="zh-CN"/>
              </w:rPr>
              <w:t>分;</w:t>
            </w:r>
          </w:p>
          <w:p>
            <w:pPr>
              <w:spacing w:line="360" w:lineRule="auto"/>
              <w:rPr>
                <w:rFonts w:ascii="宋体" w:hAnsi="宋体" w:cs="宋体"/>
                <w:color w:val="auto"/>
                <w:sz w:val="24"/>
                <w:lang w:val="zh-CN"/>
              </w:rPr>
            </w:pPr>
            <w:r>
              <w:rPr>
                <w:rFonts w:hint="eastAsia" w:ascii="宋体" w:hAnsi="宋体" w:cs="宋体"/>
                <w:color w:val="auto"/>
                <w:sz w:val="24"/>
              </w:rPr>
              <w:t>2、所投产品功能满足要求且方便操作，安全可靠，技术资料和认证证书齐全、设备彩页清晰，设备功能描述详细，技术参数清楚明确，设备选型合理，且设备配套内容完整，符合采购要求，明确规格、型号、产地，</w:t>
            </w:r>
            <w:r>
              <w:rPr>
                <w:rFonts w:hint="eastAsia" w:ascii="宋体" w:hAnsi="宋体" w:cs="宋体"/>
                <w:color w:val="auto"/>
                <w:sz w:val="24"/>
                <w:lang w:val="zh-CN"/>
              </w:rPr>
              <w:t>根据响应情况计</w:t>
            </w:r>
            <w:r>
              <w:rPr>
                <w:rFonts w:hint="eastAsia" w:ascii="宋体" w:hAnsi="宋体" w:cs="宋体"/>
                <w:color w:val="auto"/>
                <w:sz w:val="24"/>
              </w:rPr>
              <w:t>0</w:t>
            </w:r>
            <w:r>
              <w:rPr>
                <w:rFonts w:hint="eastAsia" w:ascii="宋体" w:hAnsi="宋体" w:cs="宋体"/>
                <w:color w:val="auto"/>
                <w:sz w:val="24"/>
                <w:lang w:val="zh-CN"/>
              </w:rPr>
              <w:t>～</w:t>
            </w:r>
            <w:r>
              <w:rPr>
                <w:rFonts w:hint="eastAsia" w:ascii="宋体" w:hAnsi="宋体" w:cs="宋体"/>
                <w:color w:val="auto"/>
                <w:sz w:val="24"/>
              </w:rPr>
              <w:t>10</w:t>
            </w:r>
            <w:r>
              <w:rPr>
                <w:rFonts w:hint="eastAsia" w:ascii="宋体" w:hAnsi="宋体" w:cs="宋体"/>
                <w:color w:val="auto"/>
                <w:sz w:val="24"/>
                <w:lang w:val="zh-CN"/>
              </w:rPr>
              <w:t>分;</w:t>
            </w:r>
          </w:p>
          <w:p>
            <w:pPr>
              <w:spacing w:line="360" w:lineRule="auto"/>
              <w:rPr>
                <w:rFonts w:ascii="宋体" w:hAnsi="宋体" w:cs="宋体"/>
                <w:color w:val="auto"/>
                <w:sz w:val="24"/>
                <w:lang w:val="zh-CN"/>
              </w:rPr>
            </w:pPr>
            <w:r>
              <w:rPr>
                <w:rFonts w:hint="eastAsia" w:ascii="宋体" w:hAnsi="宋体" w:cs="宋体"/>
                <w:color w:val="auto"/>
                <w:sz w:val="24"/>
              </w:rPr>
              <w:t>3、</w:t>
            </w:r>
            <w:r>
              <w:rPr>
                <w:rFonts w:hint="eastAsia" w:ascii="宋体" w:hAnsi="宋体" w:cs="宋体"/>
                <w:color w:val="auto"/>
                <w:sz w:val="24"/>
                <w:lang w:val="zh-CN"/>
              </w:rPr>
              <w:t>适用校园环境的实用配置要求，逐条响应并提供的有效证明满足磋商文件要求得</w:t>
            </w:r>
            <w:r>
              <w:rPr>
                <w:rFonts w:hint="eastAsia" w:ascii="宋体" w:hAnsi="宋体" w:cs="宋体"/>
                <w:color w:val="auto"/>
                <w:sz w:val="24"/>
              </w:rPr>
              <w:t>5</w:t>
            </w:r>
            <w:r>
              <w:rPr>
                <w:rFonts w:hint="eastAsia" w:ascii="宋体" w:hAnsi="宋体" w:cs="宋体"/>
                <w:color w:val="auto"/>
                <w:sz w:val="24"/>
                <w:lang w:val="zh-CN"/>
              </w:rPr>
              <w:t>分;负偏离一项扣2分，扣完为止；正偏离一项加1分，最高不超过</w:t>
            </w:r>
            <w:r>
              <w:rPr>
                <w:rFonts w:hint="eastAsia" w:ascii="宋体" w:hAnsi="宋体" w:cs="宋体"/>
                <w:color w:val="auto"/>
                <w:sz w:val="24"/>
              </w:rPr>
              <w:t>3</w:t>
            </w:r>
            <w:r>
              <w:rPr>
                <w:rFonts w:hint="eastAsia" w:ascii="宋体" w:hAnsi="宋体" w:cs="宋体"/>
                <w:color w:val="auto"/>
                <w:sz w:val="24"/>
                <w:lang w:val="zh-CN"/>
              </w:rPr>
              <w:t>分；此项满分</w:t>
            </w:r>
            <w:r>
              <w:rPr>
                <w:rFonts w:hint="eastAsia" w:ascii="宋体" w:hAnsi="宋体" w:cs="宋体"/>
                <w:color w:val="auto"/>
                <w:sz w:val="24"/>
              </w:rPr>
              <w:t>8</w:t>
            </w:r>
            <w:r>
              <w:rPr>
                <w:rFonts w:hint="eastAsia" w:ascii="宋体" w:hAnsi="宋体" w:cs="宋体"/>
                <w:color w:val="auto"/>
                <w:sz w:val="24"/>
                <w:lang w:val="zh-CN"/>
              </w:rPr>
              <w:t>分。</w:t>
            </w:r>
          </w:p>
          <w:p>
            <w:pPr>
              <w:spacing w:line="360" w:lineRule="auto"/>
              <w:rPr>
                <w:rFonts w:ascii="宋体" w:hAnsi="宋体" w:cs="宋体"/>
                <w:color w:val="auto"/>
                <w:sz w:val="24"/>
              </w:rPr>
            </w:pPr>
            <w:r>
              <w:rPr>
                <w:rFonts w:hint="eastAsia" w:ascii="宋体" w:hAnsi="宋体" w:cs="宋体"/>
                <w:color w:val="auto"/>
                <w:sz w:val="24"/>
              </w:rPr>
              <w:t>4、其他技术指标、参数优于磋商文件规定的相应技术指标、参数，并且有实质性能提升的（提供相关证明材料），进行相应加分，每项加1分，最多加8分。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97" w:hRule="atLeast"/>
        </w:trPr>
        <w:tc>
          <w:tcPr>
            <w:tcW w:w="1667" w:type="dxa"/>
            <w:vAlign w:val="center"/>
          </w:tcPr>
          <w:p>
            <w:pPr>
              <w:spacing w:line="360" w:lineRule="auto"/>
              <w:ind w:firstLine="28"/>
              <w:jc w:val="center"/>
              <w:rPr>
                <w:rFonts w:ascii="宋体" w:hAnsi="宋体" w:cs="宋体"/>
                <w:color w:val="auto"/>
                <w:sz w:val="24"/>
              </w:rPr>
            </w:pPr>
            <w:r>
              <w:rPr>
                <w:rFonts w:hint="eastAsia" w:ascii="宋体" w:hAnsi="宋体" w:cs="宋体"/>
                <w:color w:val="auto"/>
                <w:sz w:val="24"/>
              </w:rPr>
              <w:t>质量保证</w:t>
            </w:r>
          </w:p>
          <w:p>
            <w:pPr>
              <w:spacing w:line="360" w:lineRule="auto"/>
              <w:ind w:firstLine="28"/>
              <w:jc w:val="center"/>
              <w:rPr>
                <w:rFonts w:ascii="宋体" w:hAnsi="宋体" w:cs="宋体"/>
                <w:color w:val="auto"/>
                <w:sz w:val="24"/>
              </w:rPr>
            </w:pPr>
            <w:r>
              <w:rPr>
                <w:rFonts w:hint="eastAsia" w:ascii="宋体" w:hAnsi="宋体" w:cs="宋体"/>
                <w:color w:val="auto"/>
                <w:sz w:val="24"/>
              </w:rPr>
              <w:t>承诺</w:t>
            </w:r>
          </w:p>
        </w:tc>
        <w:tc>
          <w:tcPr>
            <w:tcW w:w="1181" w:type="dxa"/>
            <w:vAlign w:val="center"/>
          </w:tcPr>
          <w:p>
            <w:pPr>
              <w:spacing w:line="360" w:lineRule="auto"/>
              <w:ind w:firstLine="28"/>
              <w:jc w:val="center"/>
              <w:rPr>
                <w:rFonts w:ascii="宋体" w:hAnsi="宋体" w:cs="宋体"/>
                <w:color w:val="auto"/>
                <w:sz w:val="24"/>
              </w:rPr>
            </w:pPr>
            <w:r>
              <w:rPr>
                <w:rFonts w:hint="eastAsia" w:ascii="宋体" w:hAnsi="宋体" w:cs="宋体"/>
                <w:color w:val="auto"/>
                <w:sz w:val="24"/>
              </w:rPr>
              <w:t>10分</w:t>
            </w:r>
          </w:p>
        </w:tc>
        <w:tc>
          <w:tcPr>
            <w:tcW w:w="6864" w:type="dxa"/>
            <w:vAlign w:val="center"/>
          </w:tcPr>
          <w:p>
            <w:pPr>
              <w:spacing w:line="360" w:lineRule="auto"/>
              <w:rPr>
                <w:rFonts w:ascii="宋体" w:hAnsi="宋体" w:cs="宋体"/>
                <w:color w:val="auto"/>
                <w:sz w:val="24"/>
              </w:rPr>
            </w:pPr>
            <w:r>
              <w:rPr>
                <w:rFonts w:hint="eastAsia" w:ascii="宋体" w:hAnsi="宋体" w:cs="宋体"/>
                <w:color w:val="auto"/>
                <w:sz w:val="24"/>
              </w:rPr>
              <w:t>产品供应渠道正常，质量保证完善，无劣质、假冒、瑕疵产品，针对本项目产品提供来源渠道合法证明材料（包括但不限于销售协议、代理协议、原厂授权及产品售后服务承诺书、检测报告等），</w:t>
            </w:r>
            <w:r>
              <w:rPr>
                <w:rFonts w:ascii="宋体" w:hAnsi="宋体" w:cs="宋体"/>
                <w:color w:val="auto"/>
                <w:sz w:val="24"/>
                <w:lang w:val="zh-CN"/>
              </w:rPr>
              <w:t>根据响应情况计0-</w:t>
            </w:r>
            <w:r>
              <w:rPr>
                <w:rFonts w:hint="eastAsia" w:ascii="宋体" w:hAnsi="宋体" w:cs="宋体"/>
                <w:color w:val="auto"/>
                <w:sz w:val="24"/>
              </w:rPr>
              <w:t>10</w:t>
            </w:r>
            <w:r>
              <w:rPr>
                <w:rFonts w:ascii="宋体" w:hAnsi="宋体" w:cs="宋体"/>
                <w:color w:val="auto"/>
                <w:sz w:val="24"/>
                <w:lang w:val="zh-CN"/>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67" w:type="dxa"/>
            <w:vAlign w:val="center"/>
          </w:tcPr>
          <w:p>
            <w:pPr>
              <w:widowControl/>
              <w:snapToGrid w:val="0"/>
              <w:spacing w:line="360" w:lineRule="auto"/>
              <w:jc w:val="center"/>
              <w:rPr>
                <w:rFonts w:ascii="宋体" w:hAnsi="宋体" w:cs="宋体"/>
                <w:color w:val="auto"/>
                <w:sz w:val="24"/>
              </w:rPr>
            </w:pPr>
            <w:r>
              <w:rPr>
                <w:rFonts w:hint="eastAsia" w:ascii="宋体" w:hAnsi="宋体" w:cs="宋体"/>
                <w:color w:val="auto"/>
                <w:sz w:val="24"/>
              </w:rPr>
              <w:t>实施方案、售后服务及培训方案</w:t>
            </w:r>
          </w:p>
        </w:tc>
        <w:tc>
          <w:tcPr>
            <w:tcW w:w="1181" w:type="dxa"/>
            <w:vAlign w:val="center"/>
          </w:tcPr>
          <w:p>
            <w:pPr>
              <w:snapToGrid w:val="0"/>
              <w:spacing w:line="360" w:lineRule="auto"/>
              <w:jc w:val="center"/>
              <w:rPr>
                <w:rFonts w:ascii="宋体" w:hAnsi="宋体" w:cs="宋体"/>
                <w:color w:val="auto"/>
                <w:sz w:val="24"/>
              </w:rPr>
            </w:pPr>
            <w:r>
              <w:rPr>
                <w:rFonts w:hint="eastAsia" w:ascii="宋体" w:hAnsi="宋体" w:cs="宋体"/>
                <w:color w:val="auto"/>
                <w:sz w:val="24"/>
              </w:rPr>
              <w:t>20分</w:t>
            </w:r>
          </w:p>
        </w:tc>
        <w:tc>
          <w:tcPr>
            <w:tcW w:w="6864" w:type="dxa"/>
            <w:vAlign w:val="center"/>
          </w:tcPr>
          <w:p>
            <w:pPr>
              <w:spacing w:line="360" w:lineRule="auto"/>
              <w:rPr>
                <w:rFonts w:ascii="宋体" w:hAnsi="宋体" w:cs="宋体"/>
                <w:color w:val="auto"/>
                <w:sz w:val="24"/>
              </w:rPr>
            </w:pPr>
            <w:r>
              <w:rPr>
                <w:rFonts w:hint="eastAsia" w:ascii="宋体" w:hAnsi="宋体" w:cs="宋体"/>
                <w:color w:val="auto"/>
                <w:sz w:val="24"/>
              </w:rPr>
              <w:t>1、对本项目的供货、安装调试、验收组织措施完善，并做出合理计划及调配，进行综合评分：方案制定合理、完善、可实施性强计3-5分，方案基本考虑全面可实施计1-2分</w:t>
            </w:r>
            <w:r>
              <w:rPr>
                <w:rFonts w:hint="eastAsia" w:ascii="宋体" w:hAnsi="宋体" w:cs="宋体"/>
                <w:color w:val="auto"/>
                <w:kern w:val="0"/>
                <w:sz w:val="24"/>
              </w:rPr>
              <w:t>（含）</w:t>
            </w:r>
            <w:r>
              <w:rPr>
                <w:rFonts w:hint="eastAsia" w:ascii="宋体" w:hAnsi="宋体" w:cs="宋体"/>
                <w:color w:val="auto"/>
                <w:sz w:val="24"/>
              </w:rPr>
              <w:t>，方案不完整、实施性差计0分。</w:t>
            </w:r>
          </w:p>
          <w:p>
            <w:pPr>
              <w:spacing w:line="360" w:lineRule="auto"/>
              <w:rPr>
                <w:rFonts w:ascii="宋体" w:hAnsi="宋体" w:cs="宋体"/>
                <w:color w:val="auto"/>
                <w:sz w:val="24"/>
              </w:rPr>
            </w:pPr>
            <w:r>
              <w:rPr>
                <w:rFonts w:hint="eastAsia" w:ascii="宋体" w:hAnsi="宋体" w:cs="宋体"/>
                <w:color w:val="auto"/>
                <w:sz w:val="24"/>
              </w:rPr>
              <w:t>2、根据供应商提供的施工图纸、施工工艺等进行综合评分：图纸完善、详细、可实施性强计3-5分，方案基本考虑全面可实施计1-2分；差计0分。</w:t>
            </w:r>
          </w:p>
          <w:p>
            <w:pPr>
              <w:spacing w:line="360" w:lineRule="auto"/>
              <w:rPr>
                <w:rFonts w:ascii="宋体" w:hAnsi="宋体" w:cs="宋体"/>
                <w:color w:val="auto"/>
                <w:sz w:val="24"/>
              </w:rPr>
            </w:pPr>
            <w:r>
              <w:rPr>
                <w:rFonts w:hint="eastAsia" w:ascii="宋体" w:hAnsi="宋体" w:cs="宋体"/>
                <w:color w:val="auto"/>
                <w:sz w:val="24"/>
              </w:rPr>
              <w:t>3、根据供应商承诺的质量保证范围，提供详细的本地售后服务方案及其人员组成与经验、产品检验、产品发生故障后的补救措施及响应时间长短等进行综合评分：人员配置合理、响应及时、售后方案考虑全面计3-5分，方案较全面、人员配置较合理，能够响应售后计1-2分；差计0分。</w:t>
            </w:r>
          </w:p>
          <w:p>
            <w:pPr>
              <w:snapToGrid w:val="0"/>
              <w:spacing w:line="360" w:lineRule="auto"/>
              <w:rPr>
                <w:rFonts w:ascii="宋体" w:hAnsi="宋体" w:cs="宋体"/>
                <w:color w:val="auto"/>
                <w:sz w:val="24"/>
              </w:rPr>
            </w:pPr>
            <w:r>
              <w:rPr>
                <w:rFonts w:hint="eastAsia" w:ascii="宋体" w:hAnsi="宋体" w:cs="宋体"/>
                <w:color w:val="auto"/>
                <w:sz w:val="24"/>
              </w:rPr>
              <w:t>4、根据供应商提供的培训方案及其人员组成与经验等进行综合评分：培训安排合理，人员专业性强，经验丰富计3-5分，培训方案较为合理，人员配置得当得1-2分。差计0分。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667" w:type="dxa"/>
            <w:vAlign w:val="center"/>
          </w:tcPr>
          <w:p>
            <w:pPr>
              <w:autoSpaceDE w:val="0"/>
              <w:autoSpaceDN w:val="0"/>
              <w:adjustRightInd w:val="0"/>
              <w:spacing w:line="360" w:lineRule="auto"/>
              <w:jc w:val="center"/>
              <w:rPr>
                <w:rFonts w:ascii="宋体" w:hAnsi="宋体" w:cs="宋体"/>
                <w:color w:val="auto"/>
                <w:sz w:val="24"/>
              </w:rPr>
            </w:pPr>
            <w:r>
              <w:rPr>
                <w:rFonts w:hint="eastAsia" w:ascii="宋体" w:hAnsi="宋体" w:cs="宋体"/>
                <w:bCs/>
                <w:color w:val="auto"/>
                <w:sz w:val="24"/>
              </w:rPr>
              <w:t>商务响应</w:t>
            </w:r>
          </w:p>
        </w:tc>
        <w:tc>
          <w:tcPr>
            <w:tcW w:w="1181" w:type="dxa"/>
            <w:vAlign w:val="center"/>
          </w:tcPr>
          <w:p>
            <w:pPr>
              <w:autoSpaceDE w:val="0"/>
              <w:autoSpaceDN w:val="0"/>
              <w:adjustRightInd w:val="0"/>
              <w:spacing w:line="360" w:lineRule="auto"/>
              <w:jc w:val="center"/>
              <w:rPr>
                <w:rFonts w:ascii="宋体" w:hAnsi="宋体" w:cs="宋体"/>
                <w:color w:val="auto"/>
                <w:sz w:val="24"/>
              </w:rPr>
            </w:pPr>
            <w:r>
              <w:rPr>
                <w:rFonts w:hint="eastAsia" w:ascii="宋体" w:hAnsi="宋体" w:cs="宋体"/>
                <w:bCs/>
                <w:color w:val="auto"/>
                <w:sz w:val="24"/>
              </w:rPr>
              <w:t>5分</w:t>
            </w:r>
          </w:p>
        </w:tc>
        <w:tc>
          <w:tcPr>
            <w:tcW w:w="6864" w:type="dxa"/>
            <w:vAlign w:val="center"/>
          </w:tcPr>
          <w:p>
            <w:pPr>
              <w:snapToGrid w:val="0"/>
              <w:spacing w:line="360" w:lineRule="auto"/>
              <w:rPr>
                <w:rFonts w:ascii="宋体" w:hAnsi="宋体" w:cs="宋体"/>
                <w:color w:val="auto"/>
                <w:sz w:val="24"/>
              </w:rPr>
            </w:pPr>
            <w:r>
              <w:rPr>
                <w:rFonts w:hint="eastAsia" w:ascii="宋体" w:hAnsi="宋体" w:cs="宋体"/>
                <w:color w:val="auto"/>
                <w:sz w:val="24"/>
              </w:rPr>
              <w:t>根据供应商履行合同所必需的设备和专业技术能力、交货期、质保期、验收方式等合同主要条款优于招标文件要求的，视响应情况进行综合评分得0-5分；</w:t>
            </w:r>
          </w:p>
        </w:tc>
      </w:tr>
    </w:tbl>
    <w:p>
      <w:pPr>
        <w:pStyle w:val="14"/>
        <w:rPr>
          <w:lang w:val="zh-CN"/>
        </w:rPr>
      </w:pPr>
    </w:p>
    <w:p>
      <w:pPr>
        <w:spacing w:line="460" w:lineRule="atLeast"/>
        <w:ind w:firstLine="480" w:firstLineChars="200"/>
        <w:rPr>
          <w:rFonts w:ascii="宋体" w:hAnsi="宋体" w:cs="宋体"/>
          <w:sz w:val="24"/>
          <w:lang w:val="zh-CN"/>
        </w:rPr>
      </w:pPr>
      <w:r>
        <w:rPr>
          <w:rFonts w:hint="eastAsia" w:ascii="宋体" w:hAnsi="宋体" w:cs="宋体"/>
          <w:sz w:val="24"/>
        </w:rPr>
        <w:t>2</w:t>
      </w:r>
      <w:r>
        <w:rPr>
          <w:rFonts w:hint="eastAsia" w:ascii="宋体" w:hAnsi="宋体" w:cs="宋体"/>
          <w:sz w:val="24"/>
          <w:lang w:val="zh-CN"/>
        </w:rPr>
        <w:t>.其他事项说明</w:t>
      </w:r>
    </w:p>
    <w:p>
      <w:pPr>
        <w:spacing w:line="460" w:lineRule="atLeast"/>
        <w:ind w:firstLine="480" w:firstLineChars="200"/>
        <w:rPr>
          <w:rFonts w:ascii="宋体" w:hAnsi="宋体" w:cs="宋体"/>
          <w:sz w:val="24"/>
          <w:lang w:val="zh-CN"/>
        </w:rPr>
      </w:pPr>
      <w:r>
        <w:rPr>
          <w:rFonts w:hint="eastAsia" w:ascii="宋体" w:hAnsi="宋体" w:cs="宋体"/>
          <w:sz w:val="24"/>
          <w:lang w:val="zh-CN"/>
        </w:rPr>
        <w:t>（1）政策性扣减方式：</w:t>
      </w:r>
    </w:p>
    <w:p>
      <w:pPr>
        <w:spacing w:line="460" w:lineRule="atLeast"/>
        <w:ind w:firstLine="480" w:firstLineChars="200"/>
        <w:rPr>
          <w:rFonts w:ascii="宋体" w:hAnsi="宋体" w:cs="宋体"/>
          <w:sz w:val="24"/>
          <w:lang w:val="zh-CN"/>
        </w:rPr>
      </w:pPr>
      <w:r>
        <w:rPr>
          <w:rFonts w:hint="eastAsia" w:ascii="宋体" w:hAnsi="宋体" w:cs="宋体"/>
          <w:sz w:val="24"/>
        </w:rPr>
        <w:t>A.</w:t>
      </w:r>
      <w:r>
        <w:rPr>
          <w:rFonts w:hint="eastAsia" w:ascii="宋体" w:hAnsi="宋体" w:cs="宋体"/>
          <w:sz w:val="24"/>
          <w:lang w:val="zh-CN"/>
        </w:rPr>
        <w:t>在磋商报价的基础上，对小微企业、监狱企业、残疾人福利性单位，按“磋商报价×6%”进行扣减；</w:t>
      </w:r>
    </w:p>
    <w:p>
      <w:pPr>
        <w:spacing w:line="460" w:lineRule="atLeast"/>
        <w:ind w:firstLine="480" w:firstLineChars="200"/>
        <w:rPr>
          <w:rFonts w:ascii="宋体" w:hAnsi="宋体" w:cs="宋体"/>
          <w:sz w:val="24"/>
          <w:lang w:val="zh-CN"/>
        </w:rPr>
      </w:pPr>
      <w:r>
        <w:rPr>
          <w:rFonts w:hint="eastAsia" w:ascii="宋体" w:hAnsi="宋体" w:cs="宋体"/>
          <w:sz w:val="24"/>
        </w:rPr>
        <w:t>B.</w:t>
      </w:r>
      <w:r>
        <w:rPr>
          <w:rFonts w:hint="eastAsia" w:ascii="宋体" w:hAnsi="宋体" w:cs="宋体"/>
          <w:sz w:val="24"/>
          <w:lang w:val="zh-CN"/>
        </w:rPr>
        <w:t>供应商为联合体参与磋商，且联合协议中约定小型或微型企业的协议合同金额占到联合体协议合同总金额30％以上的，按“磋商报价×2%”进行扣减；</w:t>
      </w:r>
    </w:p>
    <w:p>
      <w:pPr>
        <w:spacing w:line="460" w:lineRule="atLeast"/>
        <w:ind w:firstLine="480" w:firstLineChars="200"/>
        <w:rPr>
          <w:rFonts w:ascii="宋体" w:hAnsi="宋体" w:cs="宋体"/>
          <w:sz w:val="24"/>
          <w:lang w:val="zh-CN"/>
        </w:rPr>
      </w:pPr>
      <w:r>
        <w:rPr>
          <w:rFonts w:hint="eastAsia" w:ascii="宋体" w:hAnsi="宋体" w:cs="宋体"/>
          <w:sz w:val="24"/>
        </w:rPr>
        <w:t>C.</w:t>
      </w:r>
      <w:r>
        <w:rPr>
          <w:rFonts w:hint="eastAsia" w:ascii="宋体" w:hAnsi="宋体" w:cs="宋体"/>
          <w:sz w:val="24"/>
          <w:lang w:val="zh-CN"/>
        </w:rPr>
        <w:t>扣除后的价格只作为其评标价，但不作为其中标价格</w:t>
      </w:r>
    </w:p>
    <w:p>
      <w:pPr>
        <w:spacing w:line="460" w:lineRule="atLeast"/>
        <w:ind w:firstLine="480" w:firstLineChars="200"/>
        <w:rPr>
          <w:rFonts w:ascii="宋体" w:hAnsi="宋体" w:cs="宋体"/>
          <w:sz w:val="24"/>
        </w:rPr>
      </w:pPr>
      <w:r>
        <w:rPr>
          <w:rFonts w:hint="eastAsia" w:ascii="宋体" w:hAnsi="宋体" w:cs="宋体"/>
          <w:sz w:val="24"/>
        </w:rPr>
        <w:t>D.</w:t>
      </w:r>
      <w:r>
        <w:rPr>
          <w:rFonts w:hint="eastAsia" w:ascii="宋体" w:hAnsi="宋体" w:cs="宋体"/>
          <w:sz w:val="24"/>
          <w:lang w:val="zh-CN"/>
        </w:rPr>
        <w:t>满足价格扣除的，须在报价一览表备注栏中注明扣除类型，并按格式要求填写声明函、提供相应证明材料，对未在报价一览表备注栏中注明是否属于小微企业、监狱企业、福利性单位的或未填写声明函的，在评审时不予扣除；</w:t>
      </w:r>
    </w:p>
    <w:p>
      <w:pPr>
        <w:spacing w:line="460" w:lineRule="atLeast"/>
        <w:ind w:firstLine="480" w:firstLineChars="200"/>
        <w:rPr>
          <w:rFonts w:ascii="宋体" w:hAnsi="宋体" w:cs="宋体"/>
          <w:sz w:val="24"/>
          <w:lang w:val="zh-CN"/>
        </w:rPr>
      </w:pPr>
      <w:r>
        <w:rPr>
          <w:rFonts w:hint="eastAsia" w:ascii="宋体" w:hAnsi="宋体" w:cs="宋体"/>
          <w:sz w:val="24"/>
          <w:lang w:val="zh-CN"/>
        </w:rPr>
        <w:t>（2）评审时，磋商小组根据以上内容进行综合比较，自主打分，分数四舍五入保留两位小数，独立对每个供应商的磋商响应文件进行评价，并汇总每个供应商的得分。</w:t>
      </w:r>
    </w:p>
    <w:p>
      <w:pPr>
        <w:spacing w:line="460" w:lineRule="atLeast"/>
        <w:ind w:firstLine="480" w:firstLineChars="200"/>
        <w:rPr>
          <w:rFonts w:ascii="宋体" w:hAnsi="宋体" w:cs="宋体"/>
          <w:b/>
          <w:sz w:val="24"/>
          <w:lang w:val="zh-CN"/>
        </w:rPr>
      </w:pPr>
      <w:r>
        <w:rPr>
          <w:rFonts w:hint="eastAsia" w:ascii="宋体" w:hAnsi="宋体" w:cs="宋体"/>
          <w:sz w:val="24"/>
          <w:lang w:val="zh-CN"/>
        </w:rPr>
        <w:t>（3）</w:t>
      </w:r>
      <w:r>
        <w:rPr>
          <w:rFonts w:hint="eastAsia" w:ascii="宋体" w:hAnsi="宋体" w:cs="宋体"/>
          <w:b/>
          <w:sz w:val="24"/>
          <w:lang w:val="zh-CN"/>
        </w:rPr>
        <w:t>技术参数正偏离须在技术响应表中注明正偏离的理由和佐证材料的页码</w:t>
      </w:r>
    </w:p>
    <w:p>
      <w:pPr>
        <w:spacing w:line="460" w:lineRule="atLeast"/>
        <w:ind w:firstLine="480" w:firstLineChars="200"/>
        <w:rPr>
          <w:rFonts w:ascii="宋体" w:hAnsi="宋体" w:cs="宋体"/>
          <w:sz w:val="24"/>
          <w:lang w:val="zh-CN"/>
        </w:rPr>
      </w:pPr>
      <w:r>
        <w:rPr>
          <w:rFonts w:hint="eastAsia" w:ascii="宋体" w:hAnsi="宋体" w:cs="宋体"/>
          <w:sz w:val="24"/>
          <w:lang w:val="zh-CN"/>
        </w:rPr>
        <w:t>（3）提供相同品牌产品且通过资格审查、符合性审查的不同供应商参加同一合同项下磋商活动的，按一家供应商计算，评审后得分最高的同品牌供应商获得成交供应商推荐资格；评审得分相同的，采取随机抽取方式确定，其他同品牌供应商不作为成交候选人。非单一产品采购项目，多家供应商提供的核心产品（计算机）品牌相同的，按以上规定处理。</w:t>
      </w:r>
    </w:p>
    <w:p>
      <w:pPr>
        <w:spacing w:line="460" w:lineRule="atLeast"/>
        <w:ind w:firstLine="480" w:firstLineChars="200"/>
        <w:rPr>
          <w:rFonts w:ascii="宋体" w:hAnsi="宋体" w:cs="宋体"/>
          <w:sz w:val="24"/>
        </w:rPr>
      </w:pPr>
      <w:r>
        <w:rPr>
          <w:rFonts w:hint="eastAsia" w:ascii="宋体" w:hAnsi="宋体" w:cs="宋体"/>
          <w:sz w:val="24"/>
        </w:rPr>
        <w:t>3.推荐成交候选供应商名单</w:t>
      </w:r>
    </w:p>
    <w:p>
      <w:pPr>
        <w:spacing w:line="460" w:lineRule="atLeast"/>
        <w:ind w:firstLine="480" w:firstLineChars="200"/>
        <w:rPr>
          <w:rFonts w:ascii="宋体" w:hAnsi="宋体" w:cs="宋体"/>
          <w:sz w:val="24"/>
        </w:rPr>
      </w:pPr>
      <w:r>
        <w:rPr>
          <w:rFonts w:hint="eastAsia" w:ascii="宋体" w:hAnsi="宋体" w:cs="宋体"/>
          <w:sz w:val="24"/>
        </w:rPr>
        <w:t>磋商小组应当根据综合评分情况，按照评审得分由高到低顺序推荐1至3名成交候选人，并编写评审报告。符合《政府采购竞争性磋商采购方式管理暂行办法》第二十一条第三款情形的，可以推荐2家成交候选供应商。评审得分相同的，按照最后报价由低到高的顺序推荐。评审得分且最后报价相同的，按照技术指标优劣顺序推荐。</w:t>
      </w:r>
    </w:p>
    <w:p>
      <w:pPr>
        <w:spacing w:line="460" w:lineRule="atLeast"/>
        <w:ind w:firstLine="482" w:firstLineChars="200"/>
        <w:rPr>
          <w:rFonts w:ascii="宋体" w:hAnsi="宋体" w:cs="宋体"/>
          <w:b/>
          <w:bCs/>
          <w:sz w:val="24"/>
          <w:lang w:val="zh-CN"/>
        </w:rPr>
      </w:pPr>
      <w:r>
        <w:rPr>
          <w:rFonts w:hint="eastAsia" w:ascii="宋体" w:hAnsi="宋体" w:cs="宋体"/>
          <w:b/>
          <w:bCs/>
          <w:sz w:val="24"/>
          <w:lang w:val="zh-CN"/>
        </w:rPr>
        <w:t>十二、需要落实的政府采购政策</w:t>
      </w:r>
    </w:p>
    <w:p>
      <w:pPr>
        <w:spacing w:line="460" w:lineRule="atLeast"/>
        <w:ind w:firstLine="480" w:firstLineChars="200"/>
        <w:rPr>
          <w:rFonts w:ascii="宋体" w:hAnsi="宋体" w:cs="宋体"/>
          <w:sz w:val="24"/>
          <w:lang w:val="zh-CN"/>
        </w:rPr>
      </w:pPr>
      <w:r>
        <w:rPr>
          <w:rFonts w:hint="eastAsia" w:ascii="宋体" w:hAnsi="宋体" w:cs="宋体"/>
          <w:sz w:val="24"/>
        </w:rPr>
        <w:t>1.</w:t>
      </w:r>
      <w:r>
        <w:rPr>
          <w:rFonts w:hint="eastAsia" w:ascii="宋体" w:hAnsi="宋体" w:cs="宋体"/>
          <w:sz w:val="24"/>
          <w:lang w:val="zh-CN"/>
        </w:rPr>
        <w:t>供应商企业政府采购政策</w:t>
      </w:r>
    </w:p>
    <w:p>
      <w:pPr>
        <w:spacing w:line="360" w:lineRule="auto"/>
        <w:ind w:firstLine="480" w:firstLineChars="200"/>
        <w:rPr>
          <w:rFonts w:ascii="宋体" w:hAnsi="宋体"/>
          <w:color w:val="000000"/>
          <w:sz w:val="24"/>
          <w:lang w:val="zh-CN"/>
        </w:rPr>
      </w:pPr>
      <w:bookmarkStart w:id="107" w:name="_Toc5898"/>
      <w:bookmarkStart w:id="108" w:name="_Toc29653"/>
      <w:bookmarkStart w:id="109" w:name="_Toc21215"/>
      <w:bookmarkStart w:id="110" w:name="_Toc18625"/>
      <w:bookmarkStart w:id="111" w:name="_Toc23239"/>
      <w:bookmarkStart w:id="112" w:name="_Toc29740"/>
      <w:bookmarkStart w:id="113" w:name="_Toc5798"/>
      <w:bookmarkStart w:id="114" w:name="_Toc30607"/>
      <w:bookmarkStart w:id="115" w:name="_Toc17157"/>
      <w:bookmarkStart w:id="116" w:name="_Toc31793"/>
      <w:bookmarkStart w:id="117" w:name="_Toc25261"/>
      <w:bookmarkStart w:id="118" w:name="_Toc23379"/>
      <w:bookmarkStart w:id="119" w:name="_Toc10381"/>
      <w:bookmarkStart w:id="120" w:name="_Toc14274"/>
      <w:bookmarkStart w:id="121" w:name="_Toc24137"/>
      <w:bookmarkStart w:id="122" w:name="_Toc20731"/>
      <w:bookmarkStart w:id="123" w:name="_Toc28733"/>
      <w:bookmarkStart w:id="124" w:name="_Toc3862"/>
      <w:bookmarkStart w:id="125" w:name="_Toc23089"/>
      <w:bookmarkStart w:id="126" w:name="_Toc17215"/>
      <w:bookmarkStart w:id="127" w:name="_Toc495681387"/>
      <w:bookmarkStart w:id="128" w:name="_Toc1760"/>
      <w:bookmarkStart w:id="129" w:name="_Toc495681514"/>
      <w:bookmarkStart w:id="130" w:name="_Toc495909078"/>
      <w:bookmarkStart w:id="131" w:name="_Toc495681233"/>
      <w:bookmarkStart w:id="132" w:name="_Toc495908032"/>
      <w:bookmarkStart w:id="133" w:name="_Toc7148"/>
      <w:bookmarkStart w:id="134" w:name="_Toc27934"/>
      <w:bookmarkStart w:id="135" w:name="_Toc4880"/>
      <w:r>
        <w:rPr>
          <w:rFonts w:hint="eastAsia" w:ascii="宋体" w:hAnsi="宋体" w:cs="宋体"/>
          <w:sz w:val="24"/>
          <w:lang w:val="zh-CN"/>
        </w:rPr>
        <w:t>供应商</w:t>
      </w:r>
      <w:r>
        <w:rPr>
          <w:rFonts w:hint="eastAsia" w:ascii="宋体" w:hAnsi="宋体"/>
          <w:color w:val="000000"/>
          <w:sz w:val="24"/>
          <w:lang w:val="zh-CN"/>
        </w:rPr>
        <w:t>磋商时应如实提供所需要的证明文件，如存在虚假应标，将取消其成交资格。</w:t>
      </w:r>
    </w:p>
    <w:p>
      <w:pPr>
        <w:spacing w:line="360" w:lineRule="auto"/>
        <w:ind w:firstLine="480" w:firstLineChars="200"/>
        <w:rPr>
          <w:rFonts w:ascii="宋体" w:hAnsi="宋体"/>
          <w:color w:val="000000"/>
          <w:sz w:val="24"/>
          <w:lang w:val="zh-CN"/>
        </w:rPr>
      </w:pPr>
      <w:r>
        <w:rPr>
          <w:rFonts w:hint="eastAsia" w:ascii="宋体" w:hAnsi="宋体"/>
          <w:color w:val="000000"/>
          <w:sz w:val="24"/>
          <w:lang w:val="zh-CN"/>
        </w:rPr>
        <w:t>满足以下三条中任意一条，其报价给予6%的扣除，用扣除后价格参与评审。</w:t>
      </w:r>
    </w:p>
    <w:p>
      <w:pPr>
        <w:spacing w:line="360" w:lineRule="auto"/>
        <w:ind w:firstLine="480" w:firstLineChars="200"/>
        <w:rPr>
          <w:rFonts w:ascii="宋体" w:hAnsi="宋体"/>
          <w:color w:val="000000"/>
          <w:sz w:val="24"/>
        </w:rPr>
      </w:pPr>
      <w:r>
        <w:rPr>
          <w:rFonts w:hint="eastAsia" w:ascii="宋体" w:hAnsi="宋体" w:cs="宋体"/>
          <w:sz w:val="24"/>
          <w:lang w:val="zh-CN"/>
        </w:rPr>
        <w:t>供应商</w:t>
      </w:r>
      <w:r>
        <w:rPr>
          <w:rFonts w:hint="eastAsia" w:ascii="宋体" w:hAnsi="宋体"/>
          <w:color w:val="000000"/>
          <w:sz w:val="24"/>
          <w:lang w:val="zh-CN"/>
        </w:rPr>
        <w:t>为联合体参与磋商，且联合协议中约定小型或微型企业的协议合同金额占到联合体协议合同总金额30％以上的，按“投标报价×2%”进行扣减。</w:t>
      </w:r>
    </w:p>
    <w:p>
      <w:pPr>
        <w:spacing w:line="360" w:lineRule="auto"/>
        <w:ind w:firstLine="480" w:firstLineChars="200"/>
        <w:rPr>
          <w:rFonts w:ascii="宋体" w:hAnsi="宋体"/>
          <w:color w:val="000000"/>
          <w:sz w:val="24"/>
          <w:lang w:val="zh-CN"/>
        </w:rPr>
      </w:pPr>
      <w:r>
        <w:rPr>
          <w:rFonts w:hint="eastAsia" w:ascii="宋体" w:hAnsi="宋体"/>
          <w:color w:val="000000"/>
          <w:sz w:val="24"/>
        </w:rPr>
        <w:t>A.</w:t>
      </w:r>
      <w:r>
        <w:rPr>
          <w:rFonts w:hint="eastAsia" w:ascii="宋体" w:hAnsi="宋体"/>
          <w:color w:val="000000"/>
          <w:sz w:val="24"/>
          <w:lang w:val="zh-CN"/>
        </w:rPr>
        <w:t>小微企业（含小型、微型企业）</w:t>
      </w:r>
    </w:p>
    <w:p>
      <w:pPr>
        <w:spacing w:line="360" w:lineRule="auto"/>
        <w:ind w:firstLine="480" w:firstLineChars="200"/>
        <w:rPr>
          <w:rFonts w:ascii="宋体" w:hAnsi="宋体"/>
          <w:color w:val="000000"/>
          <w:sz w:val="24"/>
          <w:lang w:val="zh-CN"/>
        </w:rPr>
      </w:pPr>
      <w:r>
        <w:rPr>
          <w:rFonts w:hint="eastAsia" w:ascii="宋体" w:hAnsi="宋体"/>
          <w:color w:val="000000"/>
          <w:sz w:val="24"/>
          <w:lang w:val="zh-CN"/>
        </w:rPr>
        <w:t>①符合国务院有关部门根据企业从业人员、营业收入、资产总额等指标制定的中小企业划型标准（工信部联企业〔2011〕300号）。</w:t>
      </w:r>
    </w:p>
    <w:p>
      <w:pPr>
        <w:spacing w:line="360" w:lineRule="auto"/>
        <w:ind w:firstLine="480" w:firstLineChars="200"/>
        <w:rPr>
          <w:rFonts w:ascii="宋体" w:hAnsi="宋体"/>
          <w:color w:val="000000"/>
          <w:sz w:val="24"/>
          <w:lang w:val="zh-CN"/>
        </w:rPr>
      </w:pPr>
      <w:r>
        <w:rPr>
          <w:rFonts w:hint="eastAsia" w:ascii="宋体" w:hAnsi="宋体"/>
          <w:color w:val="000000"/>
          <w:sz w:val="24"/>
          <w:lang w:val="zh-CN"/>
        </w:rPr>
        <w:t>②小微企业是指提供本企业制造的货物、承担的工程或者服务，或者提供其他小微企业制造的货物。</w:t>
      </w:r>
    </w:p>
    <w:p>
      <w:pPr>
        <w:spacing w:line="360" w:lineRule="auto"/>
        <w:ind w:firstLine="480" w:firstLineChars="200"/>
        <w:rPr>
          <w:rFonts w:ascii="宋体" w:hAnsi="宋体"/>
          <w:color w:val="000000"/>
          <w:sz w:val="24"/>
          <w:lang w:val="zh-CN"/>
        </w:rPr>
      </w:pPr>
      <w:r>
        <w:rPr>
          <w:rFonts w:hint="eastAsia" w:ascii="宋体" w:hAnsi="宋体"/>
          <w:color w:val="000000"/>
          <w:sz w:val="24"/>
          <w:lang w:val="zh-CN"/>
        </w:rPr>
        <w:t>③小微企业提供有中型企业制造的货物的，视同为中型企业；小微企业提供有大型企业制造的货物的，视同为大型企业。</w:t>
      </w:r>
    </w:p>
    <w:p>
      <w:pPr>
        <w:spacing w:line="360" w:lineRule="auto"/>
        <w:ind w:firstLine="480" w:firstLineChars="200"/>
        <w:rPr>
          <w:rFonts w:ascii="宋体" w:hAnsi="宋体"/>
          <w:color w:val="000000"/>
          <w:sz w:val="24"/>
          <w:lang w:val="zh-CN"/>
        </w:rPr>
      </w:pPr>
      <w:r>
        <w:rPr>
          <w:rFonts w:hint="eastAsia" w:ascii="宋体" w:hAnsi="宋体"/>
          <w:color w:val="000000"/>
          <w:sz w:val="24"/>
          <w:lang w:val="zh-CN"/>
        </w:rPr>
        <w:t xml:space="preserve">④磋商小组根据《中小企业划型标准规定》审定，符合条件的企业享受政府采购政策。供应商提供的《中小型企业声明函》证明资料必须真实，否则，按照有关规定予以处理。 </w:t>
      </w:r>
    </w:p>
    <w:p>
      <w:pPr>
        <w:spacing w:line="360" w:lineRule="auto"/>
        <w:ind w:firstLine="480" w:firstLineChars="200"/>
        <w:rPr>
          <w:rFonts w:ascii="宋体" w:hAnsi="宋体"/>
          <w:color w:val="000000"/>
          <w:sz w:val="24"/>
          <w:lang w:val="zh-CN"/>
        </w:rPr>
      </w:pPr>
      <w:r>
        <w:rPr>
          <w:rFonts w:hint="eastAsia" w:ascii="宋体" w:hAnsi="宋体"/>
          <w:color w:val="000000"/>
          <w:sz w:val="24"/>
        </w:rPr>
        <w:t>B.</w:t>
      </w:r>
      <w:r>
        <w:rPr>
          <w:rFonts w:hint="eastAsia" w:ascii="宋体" w:hAnsi="宋体"/>
          <w:color w:val="000000"/>
          <w:sz w:val="24"/>
          <w:lang w:val="zh-CN"/>
        </w:rPr>
        <w:t>监狱企业</w:t>
      </w:r>
    </w:p>
    <w:p>
      <w:pPr>
        <w:spacing w:line="360" w:lineRule="auto"/>
        <w:ind w:firstLine="480" w:firstLineChars="200"/>
        <w:rPr>
          <w:rFonts w:ascii="宋体" w:hAnsi="宋体"/>
          <w:color w:val="000000"/>
          <w:sz w:val="24"/>
          <w:lang w:val="zh-CN"/>
        </w:rPr>
      </w:pPr>
      <w:r>
        <w:rPr>
          <w:rFonts w:hint="eastAsia" w:ascii="宋体" w:hAnsi="宋体"/>
          <w:color w:val="000000"/>
          <w:sz w:val="24"/>
          <w:lang w:val="zh-CN"/>
        </w:rPr>
        <w:t>监狱和戒毒企业应符合《财政部 司法部关于政府采购支持监狱企业发展有关问题的通知》--财库〔2014〕68号，并提供证明。</w:t>
      </w:r>
    </w:p>
    <w:p>
      <w:pPr>
        <w:spacing w:line="360" w:lineRule="auto"/>
        <w:ind w:firstLine="480" w:firstLineChars="200"/>
        <w:rPr>
          <w:rFonts w:ascii="宋体" w:hAnsi="宋体"/>
          <w:color w:val="000000"/>
          <w:sz w:val="24"/>
          <w:lang w:val="zh-CN"/>
        </w:rPr>
      </w:pPr>
      <w:r>
        <w:rPr>
          <w:rFonts w:hint="eastAsia" w:ascii="宋体" w:hAnsi="宋体"/>
          <w:color w:val="000000"/>
          <w:sz w:val="24"/>
        </w:rPr>
        <w:t>C.</w:t>
      </w:r>
      <w:r>
        <w:rPr>
          <w:rFonts w:hint="eastAsia" w:ascii="宋体" w:hAnsi="宋体"/>
          <w:color w:val="000000"/>
          <w:sz w:val="24"/>
          <w:lang w:val="zh-CN"/>
        </w:rPr>
        <w:t>残疾人福利性单位</w:t>
      </w:r>
    </w:p>
    <w:p>
      <w:pPr>
        <w:spacing w:line="360" w:lineRule="auto"/>
        <w:ind w:firstLine="480" w:firstLineChars="200"/>
        <w:rPr>
          <w:rFonts w:ascii="宋体" w:hAnsi="宋体"/>
          <w:color w:val="000000"/>
          <w:sz w:val="24"/>
          <w:lang w:val="zh-CN"/>
        </w:rPr>
      </w:pPr>
      <w:r>
        <w:rPr>
          <w:rFonts w:hint="eastAsia" w:ascii="宋体" w:hAnsi="宋体"/>
          <w:color w:val="000000"/>
          <w:sz w:val="24"/>
          <w:lang w:val="zh-CN"/>
        </w:rPr>
        <w:t>①符合（财库〔2017〕141号）文件规定的残疾人福利性单位，提供本单位制造的货物、承担的工程或者服务（以下简称产品），或者提供其他残疾人福利性单位制造的货物（不包括使用非残疾人福利性单位注册商标的货物）。</w:t>
      </w:r>
    </w:p>
    <w:p>
      <w:pPr>
        <w:spacing w:line="360" w:lineRule="auto"/>
        <w:ind w:firstLine="480" w:firstLineChars="200"/>
        <w:rPr>
          <w:rFonts w:ascii="宋体" w:hAnsi="宋体"/>
          <w:color w:val="000000"/>
          <w:sz w:val="24"/>
          <w:lang w:val="zh-CN"/>
        </w:rPr>
      </w:pPr>
      <w:r>
        <w:rPr>
          <w:rFonts w:hint="eastAsia" w:ascii="宋体" w:hAnsi="宋体"/>
          <w:color w:val="000000"/>
          <w:sz w:val="24"/>
          <w:lang w:val="zh-CN"/>
        </w:rPr>
        <w:t>②磋商时须提供《残疾人福利性单位声明函》，并对声明的真实性负责。</w:t>
      </w:r>
    </w:p>
    <w:p>
      <w:pPr>
        <w:spacing w:line="360" w:lineRule="auto"/>
        <w:ind w:firstLine="480" w:firstLineChars="200"/>
        <w:rPr>
          <w:rFonts w:ascii="宋体" w:hAnsi="宋体"/>
          <w:color w:val="000000"/>
          <w:sz w:val="24"/>
          <w:lang w:val="zh-CN"/>
        </w:rPr>
      </w:pPr>
      <w:r>
        <w:rPr>
          <w:rFonts w:hint="eastAsia" w:ascii="宋体" w:hAnsi="宋体"/>
          <w:color w:val="000000"/>
          <w:sz w:val="24"/>
          <w:lang w:val="zh-CN"/>
        </w:rPr>
        <w:t xml:space="preserve">③成交供应商为残疾人福利性单位的，采购人或者其委托的采购代理机构应当随成交结果同时公告其《残疾人福利性单位声明函》，接受社会监督。 </w:t>
      </w:r>
    </w:p>
    <w:p>
      <w:pPr>
        <w:spacing w:line="360" w:lineRule="auto"/>
        <w:ind w:firstLine="480" w:firstLineChars="200"/>
        <w:rPr>
          <w:rFonts w:ascii="宋体" w:hAnsi="宋体"/>
          <w:color w:val="000000"/>
          <w:sz w:val="24"/>
          <w:lang w:val="zh-CN"/>
        </w:rPr>
      </w:pPr>
      <w:r>
        <w:rPr>
          <w:rFonts w:hint="eastAsia" w:ascii="宋体" w:hAnsi="宋体"/>
          <w:color w:val="000000"/>
          <w:sz w:val="24"/>
          <w:lang w:val="zh-CN"/>
        </w:rPr>
        <w:t>④供应商提供的《残疾人福利性单位声明函》与事实不符的，依照《政府采购法》第七十七条第一款的规定追究法律责任。</w:t>
      </w:r>
    </w:p>
    <w:p>
      <w:pPr>
        <w:spacing w:line="360" w:lineRule="auto"/>
        <w:ind w:firstLine="480" w:firstLineChars="200"/>
        <w:rPr>
          <w:rFonts w:ascii="宋体" w:hAnsi="宋体"/>
          <w:color w:val="000000"/>
          <w:sz w:val="24"/>
          <w:lang w:val="zh-CN"/>
        </w:rPr>
      </w:pPr>
      <w:r>
        <w:rPr>
          <w:rFonts w:hint="eastAsia" w:ascii="宋体" w:hAnsi="宋体"/>
          <w:color w:val="000000"/>
          <w:sz w:val="24"/>
          <w:lang w:val="zh-CN"/>
        </w:rPr>
        <w:t>（</w:t>
      </w:r>
      <w:r>
        <w:rPr>
          <w:rFonts w:hint="eastAsia" w:ascii="宋体" w:hAnsi="宋体"/>
          <w:color w:val="000000"/>
          <w:sz w:val="24"/>
        </w:rPr>
        <w:t>2</w:t>
      </w:r>
      <w:r>
        <w:rPr>
          <w:rFonts w:hint="eastAsia" w:ascii="宋体" w:hAnsi="宋体"/>
          <w:color w:val="000000"/>
          <w:sz w:val="24"/>
          <w:lang w:val="zh-CN"/>
        </w:rPr>
        <w:t>）投标产品政府采购政策</w:t>
      </w:r>
    </w:p>
    <w:p>
      <w:pPr>
        <w:spacing w:line="360" w:lineRule="auto"/>
        <w:ind w:firstLine="480" w:firstLineChars="200"/>
        <w:rPr>
          <w:rFonts w:ascii="宋体" w:hAnsi="宋体"/>
          <w:color w:val="000000"/>
          <w:sz w:val="24"/>
          <w:lang w:val="zh-CN"/>
        </w:rPr>
      </w:pPr>
      <w:r>
        <w:rPr>
          <w:rFonts w:hint="eastAsia" w:ascii="宋体" w:hAnsi="宋体"/>
          <w:color w:val="000000"/>
          <w:sz w:val="24"/>
        </w:rPr>
        <w:t>A.</w:t>
      </w:r>
      <w:r>
        <w:rPr>
          <w:rFonts w:hint="eastAsia" w:ascii="宋体" w:hAnsi="宋体"/>
          <w:color w:val="000000"/>
          <w:sz w:val="24"/>
          <w:lang w:val="zh-CN"/>
        </w:rPr>
        <w:t>供应商所投产品属于《关于印发环境标志产品政府采购品目清单的通知》（财库[2019]18号文）、《关于印发节能产品政府采购品目清单的通知》（财库[2019]19号文）中品目清单内的产品，供应商在采购时提供经国家确定的认证机构出具的、处于有效期之内的节能产品、环境标志产品认证证书，采购人对获得证书的产品实施政府优先采购或强制采购。</w:t>
      </w:r>
    </w:p>
    <w:p>
      <w:pPr>
        <w:spacing w:line="360" w:lineRule="auto"/>
        <w:ind w:firstLine="480" w:firstLineChars="200"/>
        <w:rPr>
          <w:rFonts w:ascii="宋体" w:hAnsi="宋体"/>
          <w:color w:val="000000"/>
          <w:sz w:val="24"/>
          <w:lang w:val="zh-CN"/>
        </w:rPr>
      </w:pPr>
      <w:r>
        <w:rPr>
          <w:rFonts w:hint="eastAsia" w:ascii="宋体" w:hAnsi="宋体"/>
          <w:color w:val="000000"/>
          <w:sz w:val="24"/>
        </w:rPr>
        <w:t>B.</w:t>
      </w:r>
      <w:r>
        <w:rPr>
          <w:rFonts w:hint="eastAsia" w:ascii="宋体" w:hAnsi="宋体"/>
          <w:color w:val="000000"/>
          <w:sz w:val="24"/>
          <w:lang w:val="zh-CN"/>
        </w:rPr>
        <w:t>供应商在磋商响应文件中必须按照《节能产品、环境标志产品明细表》格式对此类产品单独分项报价计算出占磋商报价总金额的百分比。</w:t>
      </w:r>
    </w:p>
    <w:p>
      <w:pPr>
        <w:spacing w:line="460" w:lineRule="atLeast"/>
        <w:ind w:firstLine="480" w:firstLineChars="200"/>
        <w:rPr>
          <w:rFonts w:ascii="宋体" w:hAnsi="宋体" w:cs="宋体"/>
          <w:sz w:val="24"/>
          <w:lang w:val="zh-CN"/>
        </w:rPr>
      </w:pPr>
      <w:r>
        <w:rPr>
          <w:rFonts w:hint="eastAsia" w:ascii="宋体" w:hAnsi="宋体" w:cs="宋体"/>
          <w:sz w:val="24"/>
        </w:rPr>
        <w:t>3.</w:t>
      </w:r>
      <w:r>
        <w:rPr>
          <w:rFonts w:hint="eastAsia" w:ascii="宋体" w:hAnsi="宋体" w:cs="宋体"/>
          <w:sz w:val="24"/>
          <w:lang w:val="zh-CN"/>
        </w:rPr>
        <w:t>《财政部 国务院扶贫办关于运用政府采购政策支持脱贫攻坚的通知》--财库〔2019〕27号</w:t>
      </w:r>
    </w:p>
    <w:p>
      <w:pPr>
        <w:spacing w:line="460" w:lineRule="atLeast"/>
        <w:ind w:firstLine="480" w:firstLineChars="200"/>
        <w:rPr>
          <w:rFonts w:ascii="宋体" w:hAnsi="宋体" w:cs="宋体"/>
          <w:sz w:val="24"/>
          <w:lang w:val="zh-CN"/>
        </w:rPr>
      </w:pPr>
      <w:r>
        <w:rPr>
          <w:rFonts w:hint="eastAsia" w:ascii="宋体" w:hAnsi="宋体" w:cs="宋体"/>
          <w:sz w:val="24"/>
          <w:lang w:val="zh-CN"/>
        </w:rPr>
        <w:t>采购农副产品的，同等条件下应优先采购贫困地区农副产品。各主管预算单位要做好统筹协调，确定并预留本部门各预算单位食堂采购农副产品总额的一定比例定向采购贫困地区农副产品。各级预算单位要按照积极稳妥的原则确定预留比例，购买贫困地区农副产品时要遵循就近、经济的原则，在确保完成既定预留比例的基础上，鼓励更多采购贫困地区农副产品，注重扶贫实际效果。</w:t>
      </w:r>
    </w:p>
    <w:p>
      <w:pPr>
        <w:spacing w:line="460" w:lineRule="atLeast"/>
        <w:ind w:firstLine="480" w:firstLineChars="200"/>
        <w:rPr>
          <w:rFonts w:ascii="宋体" w:hAnsi="宋体" w:cs="宋体"/>
          <w:sz w:val="24"/>
          <w:lang w:val="zh-CN"/>
        </w:rPr>
      </w:pPr>
      <w:r>
        <w:rPr>
          <w:rFonts w:hint="eastAsia" w:ascii="宋体" w:hAnsi="宋体" w:cs="宋体"/>
          <w:sz w:val="24"/>
          <w:lang w:val="zh-CN"/>
        </w:rPr>
        <w:t>贫困地区农副产品是指832个国家级贫困县域内注册的企业、农民专业合作社、家庭农场等出产的农副产品。</w:t>
      </w:r>
    </w:p>
    <w:p>
      <w:pPr>
        <w:spacing w:line="460" w:lineRule="atLeast"/>
        <w:ind w:firstLine="480" w:firstLineChars="200"/>
        <w:rPr>
          <w:rFonts w:ascii="宋体" w:hAnsi="宋体" w:cs="宋体"/>
          <w:sz w:val="24"/>
        </w:rPr>
      </w:pPr>
      <w:r>
        <w:rPr>
          <w:rFonts w:hint="eastAsia" w:ascii="宋体" w:hAnsi="宋体" w:cs="宋体"/>
          <w:sz w:val="24"/>
          <w:lang w:val="zh-CN"/>
        </w:rPr>
        <w:t>使用财政性资金采购物业服务的，有条件的应当优先采购注册地在832个国家级贫困县域内，且聘用建档立卡贫困人员物业公司提供的物业服务。对注册地在832个国家级贫困县域内，且聘用建档立卡贫困人员达到公司员工（含服务外包用工）30%以上的物业公司，各级预算单位可根据符合条件的物业公司数量等具体情况，按规定履行有关变更采购方式报批程序后，采用竞争性谈判、竞争性磋商、单一来源等非公开招标采购方式，采购有关物业公司提供的物业服务。</w:t>
      </w:r>
    </w:p>
    <w:p>
      <w:pPr>
        <w:spacing w:line="460" w:lineRule="atLeast"/>
        <w:ind w:firstLine="482" w:firstLineChars="200"/>
        <w:rPr>
          <w:rFonts w:ascii="宋体" w:hAnsi="宋体" w:cs="宋体"/>
          <w:b/>
          <w:bCs/>
          <w:sz w:val="24"/>
        </w:rPr>
      </w:pPr>
      <w:r>
        <w:rPr>
          <w:rFonts w:hint="eastAsia" w:ascii="宋体" w:hAnsi="宋体" w:cs="宋体"/>
          <w:b/>
          <w:bCs/>
          <w:sz w:val="24"/>
        </w:rPr>
        <w:t>十三、确定成交供应商</w:t>
      </w:r>
      <w:bookmarkEnd w:id="107"/>
      <w:bookmarkEnd w:id="108"/>
      <w:bookmarkEnd w:id="109"/>
      <w:bookmarkEnd w:id="110"/>
      <w:bookmarkEnd w:id="111"/>
      <w:bookmarkEnd w:id="112"/>
      <w:bookmarkEnd w:id="113"/>
      <w:bookmarkEnd w:id="114"/>
      <w:bookmarkEnd w:id="115"/>
      <w:bookmarkEnd w:id="116"/>
      <w:bookmarkEnd w:id="117"/>
      <w:bookmarkEnd w:id="118"/>
      <w:bookmarkEnd w:id="119"/>
      <w:bookmarkEnd w:id="120"/>
      <w:bookmarkEnd w:id="121"/>
      <w:bookmarkEnd w:id="122"/>
      <w:bookmarkEnd w:id="123"/>
      <w:bookmarkEnd w:id="124"/>
      <w:bookmarkEnd w:id="125"/>
      <w:bookmarkEnd w:id="126"/>
      <w:bookmarkEnd w:id="127"/>
      <w:bookmarkEnd w:id="128"/>
      <w:bookmarkEnd w:id="129"/>
      <w:bookmarkEnd w:id="130"/>
      <w:bookmarkEnd w:id="131"/>
      <w:bookmarkEnd w:id="132"/>
      <w:bookmarkEnd w:id="133"/>
      <w:bookmarkEnd w:id="134"/>
    </w:p>
    <w:p>
      <w:pPr>
        <w:spacing w:line="460" w:lineRule="atLeast"/>
        <w:ind w:firstLine="480" w:firstLineChars="200"/>
        <w:rPr>
          <w:rFonts w:ascii="宋体" w:hAnsi="宋体" w:cs="宋体"/>
          <w:sz w:val="24"/>
        </w:rPr>
      </w:pPr>
      <w:r>
        <w:rPr>
          <w:rFonts w:hint="eastAsia" w:ascii="宋体" w:hAnsi="宋体" w:cs="宋体"/>
          <w:sz w:val="24"/>
        </w:rPr>
        <w:t>（一）采购代理机构应在评审结束后两个工作日内，将评审报告送采购人确定成交供应商。</w:t>
      </w:r>
    </w:p>
    <w:p>
      <w:pPr>
        <w:spacing w:line="460" w:lineRule="atLeast"/>
        <w:ind w:firstLine="480" w:firstLineChars="200"/>
        <w:rPr>
          <w:rFonts w:ascii="宋体" w:hAnsi="宋体" w:cs="宋体"/>
          <w:sz w:val="24"/>
        </w:rPr>
      </w:pPr>
      <w:r>
        <w:rPr>
          <w:rFonts w:hint="eastAsia" w:ascii="宋体" w:hAnsi="宋体" w:cs="宋体"/>
          <w:sz w:val="24"/>
        </w:rPr>
        <w:t>（二）采购人在收到评审报告后</w:t>
      </w:r>
      <w:r>
        <w:rPr>
          <w:rFonts w:hint="eastAsia" w:ascii="宋体" w:hAnsi="宋体" w:cs="宋体"/>
          <w:color w:val="FF0000"/>
          <w:sz w:val="24"/>
        </w:rPr>
        <w:t>三个</w:t>
      </w:r>
      <w:r>
        <w:rPr>
          <w:rFonts w:hint="eastAsia" w:ascii="宋体" w:hAnsi="宋体" w:cs="宋体"/>
          <w:sz w:val="24"/>
        </w:rPr>
        <w:t>工作日内，从评审报告提出的成交候选人中，按照排序由高到低的原则确定成交供应商，也可以书面授权磋商小组直接确定成交供应商。</w:t>
      </w:r>
    </w:p>
    <w:p>
      <w:pPr>
        <w:spacing w:line="460" w:lineRule="atLeast"/>
        <w:ind w:firstLine="480" w:firstLineChars="200"/>
        <w:rPr>
          <w:rFonts w:ascii="宋体" w:hAnsi="宋体" w:cs="宋体"/>
          <w:sz w:val="24"/>
        </w:rPr>
      </w:pPr>
      <w:r>
        <w:rPr>
          <w:rFonts w:hint="eastAsia" w:ascii="宋体" w:hAnsi="宋体" w:cs="宋体"/>
          <w:sz w:val="24"/>
        </w:rPr>
        <w:t>（三）采购代理机构在接到采购人的“成交复函”确认文件后两个工作日内，在省级以上财政部门指定的政府采购信息发布媒体上公告成交结果，同时向成交供应商发出成交通知书。</w:t>
      </w:r>
    </w:p>
    <w:p>
      <w:pPr>
        <w:ind w:firstLine="482" w:firstLineChars="200"/>
        <w:rPr>
          <w:rFonts w:ascii="宋体" w:hAnsi="宋体" w:cs="宋体"/>
          <w:b/>
          <w:bCs/>
          <w:sz w:val="24"/>
          <w:lang w:val="zh-CN"/>
        </w:rPr>
      </w:pPr>
      <w:bookmarkStart w:id="136" w:name="_Toc495908924"/>
      <w:bookmarkStart w:id="137" w:name="_Toc26928"/>
      <w:bookmarkStart w:id="138" w:name="_Toc27951"/>
      <w:bookmarkStart w:id="139" w:name="_Toc10467"/>
      <w:bookmarkStart w:id="140" w:name="_Toc5954"/>
      <w:bookmarkStart w:id="141" w:name="_Toc11084"/>
      <w:bookmarkStart w:id="142" w:name="_Toc4304"/>
      <w:bookmarkStart w:id="143" w:name="_Toc27339"/>
      <w:bookmarkStart w:id="144" w:name="_Toc12926"/>
      <w:bookmarkStart w:id="145" w:name="_Toc14388"/>
      <w:bookmarkStart w:id="146" w:name="_Toc25554"/>
      <w:bookmarkStart w:id="147" w:name="_Toc29903"/>
      <w:bookmarkStart w:id="148" w:name="_Toc513108171"/>
      <w:bookmarkStart w:id="149" w:name="_Toc2833"/>
      <w:bookmarkStart w:id="150" w:name="_Toc28693"/>
      <w:bookmarkStart w:id="151" w:name="_Toc2382"/>
      <w:bookmarkStart w:id="152" w:name="_Toc16564"/>
      <w:bookmarkStart w:id="153" w:name="_Toc12996"/>
      <w:bookmarkStart w:id="154" w:name="_Toc511298200"/>
      <w:bookmarkStart w:id="155" w:name="_Toc30366"/>
      <w:bookmarkStart w:id="156" w:name="_Toc24268"/>
      <w:bookmarkStart w:id="157" w:name="_Toc17240"/>
      <w:bookmarkStart w:id="158" w:name="_Toc13034"/>
      <w:bookmarkStart w:id="159" w:name="_Toc28095"/>
      <w:bookmarkStart w:id="160" w:name="_Toc18574"/>
      <w:bookmarkStart w:id="161" w:name="_Toc24615"/>
      <w:r>
        <w:rPr>
          <w:rFonts w:hint="eastAsia" w:ascii="宋体" w:hAnsi="宋体" w:cs="宋体"/>
          <w:b/>
          <w:bCs/>
          <w:sz w:val="24"/>
          <w:lang w:val="zh-CN"/>
        </w:rPr>
        <w:t>十四、质疑</w:t>
      </w:r>
      <w:bookmarkEnd w:id="136"/>
      <w:r>
        <w:rPr>
          <w:rFonts w:hint="eastAsia" w:ascii="宋体" w:hAnsi="宋体" w:cs="宋体"/>
          <w:b/>
          <w:bCs/>
          <w:sz w:val="24"/>
          <w:lang w:val="zh-CN"/>
        </w:rPr>
        <w:t>与投诉</w:t>
      </w:r>
      <w:bookmarkEnd w:id="137"/>
      <w:bookmarkEnd w:id="138"/>
      <w:bookmarkEnd w:id="139"/>
      <w:bookmarkEnd w:id="140"/>
      <w:bookmarkEnd w:id="141"/>
      <w:bookmarkEnd w:id="142"/>
      <w:bookmarkEnd w:id="143"/>
      <w:bookmarkEnd w:id="144"/>
      <w:bookmarkEnd w:id="145"/>
      <w:bookmarkEnd w:id="146"/>
      <w:bookmarkEnd w:id="147"/>
      <w:bookmarkEnd w:id="148"/>
      <w:bookmarkEnd w:id="149"/>
      <w:bookmarkEnd w:id="150"/>
      <w:bookmarkEnd w:id="151"/>
      <w:bookmarkEnd w:id="152"/>
      <w:bookmarkEnd w:id="153"/>
      <w:bookmarkEnd w:id="154"/>
      <w:bookmarkEnd w:id="155"/>
      <w:bookmarkEnd w:id="156"/>
      <w:bookmarkEnd w:id="157"/>
      <w:bookmarkEnd w:id="158"/>
      <w:bookmarkEnd w:id="159"/>
      <w:bookmarkEnd w:id="160"/>
      <w:bookmarkEnd w:id="161"/>
    </w:p>
    <w:p>
      <w:pPr>
        <w:spacing w:line="460" w:lineRule="atLeast"/>
        <w:ind w:firstLine="480" w:firstLineChars="200"/>
        <w:rPr>
          <w:rFonts w:ascii="宋体" w:hAnsi="宋体" w:cs="宋体"/>
          <w:sz w:val="24"/>
        </w:rPr>
      </w:pPr>
      <w:r>
        <w:rPr>
          <w:rFonts w:hint="eastAsia" w:ascii="宋体" w:hAnsi="宋体" w:cs="宋体"/>
          <w:sz w:val="24"/>
        </w:rPr>
        <w:t>（一）质疑</w:t>
      </w:r>
    </w:p>
    <w:p>
      <w:pPr>
        <w:spacing w:line="460" w:lineRule="atLeast"/>
        <w:ind w:firstLine="480" w:firstLineChars="200"/>
        <w:rPr>
          <w:rFonts w:ascii="宋体" w:hAnsi="宋体" w:cs="宋体"/>
          <w:sz w:val="24"/>
        </w:rPr>
      </w:pPr>
      <w:r>
        <w:rPr>
          <w:rFonts w:hint="eastAsia" w:ascii="宋体" w:hAnsi="宋体" w:cs="宋体"/>
          <w:sz w:val="24"/>
          <w:lang w:val="zh-CN"/>
        </w:rPr>
        <w:t>1.供应商认为磋商文件、磋商过程或成交结果使自身的合法权益受到损害，可以在法定期限内</w:t>
      </w:r>
      <w:r>
        <w:rPr>
          <w:rFonts w:hint="eastAsia" w:ascii="宋体" w:hAnsi="宋体" w:cs="宋体"/>
          <w:sz w:val="24"/>
        </w:rPr>
        <w:t xml:space="preserve">可以在法定期限内(对磋商文件提出质疑为获取采购文件之日起7个工作日内,对磋商过程提出质疑为各采购环节结束之日起7个工作日内,对成交结果提出质疑的为成交公告期限届满之日起7个工作日内)一次性提出针对同一采购程序环节以书面形式向采购代理机构或采购人当面递交质疑。  </w:t>
      </w:r>
    </w:p>
    <w:p>
      <w:pPr>
        <w:spacing w:line="460" w:lineRule="atLeast"/>
        <w:ind w:firstLine="480" w:firstLineChars="200"/>
        <w:rPr>
          <w:rFonts w:ascii="宋体" w:hAnsi="宋体" w:cs="宋体"/>
          <w:sz w:val="24"/>
        </w:rPr>
      </w:pPr>
      <w:r>
        <w:rPr>
          <w:rFonts w:hint="eastAsia" w:ascii="宋体" w:hAnsi="宋体" w:cs="宋体"/>
          <w:sz w:val="24"/>
        </w:rPr>
        <w:t>（1）提出质疑应当提交质疑函和必要的证明材料，质疑函应当包括以下主要内容：</w:t>
      </w:r>
    </w:p>
    <w:p>
      <w:pPr>
        <w:spacing w:line="460" w:lineRule="atLeast"/>
        <w:ind w:firstLine="480" w:firstLineChars="200"/>
        <w:rPr>
          <w:rFonts w:ascii="宋体" w:hAnsi="宋体" w:cs="宋体"/>
          <w:sz w:val="24"/>
        </w:rPr>
      </w:pPr>
      <w:r>
        <w:rPr>
          <w:rFonts w:hint="eastAsia" w:ascii="宋体" w:hAnsi="宋体" w:cs="宋体"/>
          <w:sz w:val="24"/>
        </w:rPr>
        <w:t xml:space="preserve">①供应商的姓名或者名称、地址、邮编、联系人及联系电话；②质疑项目的名称、编号；③具体、明确的质疑事项和与质疑事项相关的请求；④事实依据；⑤必要的法律依据；⑥提出质疑的日期。 </w:t>
      </w:r>
    </w:p>
    <w:p>
      <w:pPr>
        <w:spacing w:line="460" w:lineRule="atLeast"/>
        <w:ind w:firstLine="480" w:firstLineChars="200"/>
        <w:rPr>
          <w:rFonts w:ascii="宋体" w:hAnsi="宋体" w:cs="宋体"/>
          <w:sz w:val="24"/>
        </w:rPr>
      </w:pPr>
      <w:r>
        <w:rPr>
          <w:rFonts w:hint="eastAsia" w:ascii="宋体" w:hAnsi="宋体" w:cs="宋体"/>
          <w:sz w:val="24"/>
        </w:rPr>
        <w:t>（2）质疑函应当由法定代表人签字并加盖公章，公章不得以合同章或其他印章代替。</w:t>
      </w:r>
    </w:p>
    <w:p>
      <w:pPr>
        <w:spacing w:line="460" w:lineRule="atLeast"/>
        <w:ind w:firstLine="480" w:firstLineChars="200"/>
        <w:rPr>
          <w:rFonts w:ascii="宋体" w:hAnsi="宋体" w:cs="宋体"/>
          <w:sz w:val="24"/>
        </w:rPr>
      </w:pPr>
      <w:r>
        <w:rPr>
          <w:rFonts w:hint="eastAsia" w:ascii="宋体" w:hAnsi="宋体" w:cs="宋体"/>
          <w:sz w:val="24"/>
        </w:rPr>
        <w:t>（3）质疑人可以委托授权代表办理质疑事项，代理人办理质疑事项时，除提交质疑函外，还应当提交法人授权委托书及代理人的有效身份证明，授权委托书应当载明委托代理的具体权限和事项。</w:t>
      </w:r>
    </w:p>
    <w:p>
      <w:pPr>
        <w:spacing w:line="460" w:lineRule="atLeast"/>
        <w:ind w:firstLine="480" w:firstLineChars="200"/>
        <w:rPr>
          <w:rFonts w:ascii="宋体" w:hAnsi="宋体" w:cs="宋体"/>
          <w:sz w:val="24"/>
        </w:rPr>
      </w:pPr>
      <w:r>
        <w:rPr>
          <w:rFonts w:hint="eastAsia" w:ascii="宋体" w:hAnsi="宋体" w:cs="宋体"/>
          <w:sz w:val="24"/>
        </w:rPr>
        <w:t>（4）有下列情形之一的，属于无效质疑：</w:t>
      </w:r>
    </w:p>
    <w:p>
      <w:pPr>
        <w:spacing w:line="460" w:lineRule="atLeast"/>
        <w:ind w:firstLine="480" w:firstLineChars="200"/>
        <w:rPr>
          <w:rFonts w:ascii="宋体" w:hAnsi="宋体" w:cs="宋体"/>
          <w:sz w:val="24"/>
        </w:rPr>
      </w:pPr>
      <w:r>
        <w:rPr>
          <w:rFonts w:hint="eastAsia" w:ascii="宋体" w:hAnsi="宋体" w:cs="宋体"/>
          <w:sz w:val="24"/>
        </w:rPr>
        <w:t>①质疑人不是参与本次政府采购项目的供应商或潜在供应商；</w:t>
      </w:r>
    </w:p>
    <w:p>
      <w:pPr>
        <w:spacing w:line="460" w:lineRule="atLeast"/>
        <w:ind w:firstLine="480" w:firstLineChars="200"/>
        <w:rPr>
          <w:rFonts w:ascii="宋体" w:hAnsi="宋体" w:cs="宋体"/>
          <w:sz w:val="24"/>
        </w:rPr>
      </w:pPr>
      <w:r>
        <w:rPr>
          <w:rFonts w:hint="eastAsia" w:ascii="宋体" w:hAnsi="宋体" w:cs="宋体"/>
          <w:sz w:val="24"/>
        </w:rPr>
        <w:t>②质疑人与质疑事项不存在利害关系的；</w:t>
      </w:r>
    </w:p>
    <w:p>
      <w:pPr>
        <w:spacing w:line="460" w:lineRule="atLeast"/>
        <w:ind w:firstLine="480" w:firstLineChars="200"/>
        <w:rPr>
          <w:rFonts w:ascii="宋体" w:hAnsi="宋体" w:cs="宋体"/>
          <w:sz w:val="24"/>
        </w:rPr>
      </w:pPr>
      <w:r>
        <w:rPr>
          <w:rFonts w:hint="eastAsia" w:ascii="宋体" w:hAnsi="宋体" w:cs="宋体"/>
          <w:sz w:val="24"/>
        </w:rPr>
        <w:t>③未在法定期限内提出质疑的；</w:t>
      </w:r>
    </w:p>
    <w:p>
      <w:pPr>
        <w:spacing w:line="460" w:lineRule="atLeast"/>
        <w:ind w:firstLine="480" w:firstLineChars="200"/>
        <w:rPr>
          <w:rFonts w:ascii="宋体" w:hAnsi="宋体" w:cs="宋体"/>
          <w:sz w:val="24"/>
        </w:rPr>
      </w:pPr>
      <w:r>
        <w:rPr>
          <w:rFonts w:hint="eastAsia" w:ascii="宋体" w:hAnsi="宋体" w:cs="宋体"/>
          <w:sz w:val="24"/>
        </w:rPr>
        <w:t>④质疑未以书面形式提出，或质疑函主要内容构成不完整的；</w:t>
      </w:r>
    </w:p>
    <w:p>
      <w:pPr>
        <w:spacing w:line="460" w:lineRule="atLeast"/>
        <w:ind w:firstLine="480" w:firstLineChars="200"/>
        <w:rPr>
          <w:rFonts w:ascii="宋体" w:hAnsi="宋体" w:cs="宋体"/>
          <w:sz w:val="24"/>
        </w:rPr>
      </w:pPr>
      <w:r>
        <w:rPr>
          <w:rFonts w:hint="eastAsia" w:ascii="宋体" w:hAnsi="宋体" w:cs="宋体"/>
          <w:sz w:val="24"/>
        </w:rPr>
        <w:t>⑤质疑函没有合法有效的签字、盖章或授权的；</w:t>
      </w:r>
    </w:p>
    <w:p>
      <w:pPr>
        <w:spacing w:line="460" w:lineRule="atLeast"/>
        <w:ind w:firstLine="480" w:firstLineChars="200"/>
        <w:rPr>
          <w:rFonts w:ascii="宋体" w:hAnsi="宋体" w:cs="宋体"/>
          <w:sz w:val="24"/>
        </w:rPr>
      </w:pPr>
      <w:r>
        <w:rPr>
          <w:rFonts w:hint="eastAsia" w:ascii="宋体" w:hAnsi="宋体" w:cs="宋体"/>
          <w:sz w:val="24"/>
        </w:rPr>
        <w:t>⑥以非法手段取得证据、材料的；</w:t>
      </w:r>
    </w:p>
    <w:p>
      <w:pPr>
        <w:spacing w:line="460" w:lineRule="atLeast"/>
        <w:ind w:firstLine="480" w:firstLineChars="200"/>
        <w:rPr>
          <w:rFonts w:ascii="宋体" w:hAnsi="宋体" w:cs="宋体"/>
          <w:sz w:val="24"/>
        </w:rPr>
      </w:pPr>
      <w:r>
        <w:rPr>
          <w:rFonts w:hint="eastAsia" w:ascii="宋体" w:hAnsi="宋体" w:cs="宋体"/>
          <w:sz w:val="24"/>
        </w:rPr>
        <w:t>⑦质疑答复后，同一质疑人就同一事项再次提出质疑的；</w:t>
      </w:r>
    </w:p>
    <w:p>
      <w:pPr>
        <w:spacing w:line="460" w:lineRule="atLeast"/>
        <w:ind w:firstLine="480" w:firstLineChars="200"/>
        <w:rPr>
          <w:rFonts w:ascii="宋体" w:hAnsi="宋体" w:cs="宋体"/>
          <w:sz w:val="24"/>
        </w:rPr>
      </w:pPr>
      <w:r>
        <w:rPr>
          <w:rFonts w:hint="eastAsia" w:ascii="宋体" w:hAnsi="宋体" w:cs="宋体"/>
          <w:sz w:val="24"/>
        </w:rPr>
        <w:t>⑧不符合法律、法规、规章和政府采购监管机构规定的其他条件的。</w:t>
      </w:r>
    </w:p>
    <w:p>
      <w:pPr>
        <w:spacing w:line="460" w:lineRule="atLeast"/>
        <w:ind w:firstLine="480" w:firstLineChars="200"/>
        <w:rPr>
          <w:rFonts w:ascii="宋体" w:hAnsi="宋体" w:cs="宋体"/>
          <w:sz w:val="24"/>
        </w:rPr>
      </w:pPr>
      <w:r>
        <w:rPr>
          <w:rFonts w:hint="eastAsia" w:ascii="宋体" w:hAnsi="宋体" w:cs="宋体"/>
          <w:sz w:val="24"/>
        </w:rPr>
        <w:t>2.符合要求的质疑，采购代理机构将予以受理并答复，具体联系方式如下：</w:t>
      </w:r>
    </w:p>
    <w:p>
      <w:pPr>
        <w:spacing w:line="460" w:lineRule="atLeast"/>
        <w:ind w:firstLine="480" w:firstLineChars="200"/>
        <w:rPr>
          <w:rFonts w:ascii="宋体" w:hAnsi="宋体" w:cs="宋体"/>
          <w:kern w:val="0"/>
          <w:sz w:val="24"/>
        </w:rPr>
      </w:pPr>
      <w:r>
        <w:rPr>
          <w:rFonts w:hint="eastAsia" w:ascii="宋体" w:hAnsi="宋体" w:cs="宋体"/>
          <w:sz w:val="24"/>
        </w:rPr>
        <w:t>联系人：</w:t>
      </w:r>
      <w:r>
        <w:rPr>
          <w:rFonts w:hint="eastAsia" w:ascii="宋体" w:hAnsi="宋体" w:cs="宋体"/>
          <w:kern w:val="0"/>
          <w:sz w:val="24"/>
        </w:rPr>
        <w:t>陕西盛世嘉和招标有限公司前台</w:t>
      </w:r>
    </w:p>
    <w:p>
      <w:pPr>
        <w:spacing w:line="460" w:lineRule="atLeast"/>
        <w:ind w:firstLine="480" w:firstLineChars="200"/>
        <w:rPr>
          <w:rFonts w:ascii="宋体" w:hAnsi="宋体" w:cs="宋体"/>
          <w:sz w:val="24"/>
        </w:rPr>
      </w:pPr>
      <w:r>
        <w:rPr>
          <w:rFonts w:hint="eastAsia" w:ascii="宋体" w:hAnsi="宋体" w:cs="宋体"/>
          <w:sz w:val="24"/>
        </w:rPr>
        <w:t>联系电话：029-88601068</w:t>
      </w:r>
    </w:p>
    <w:p>
      <w:pPr>
        <w:spacing w:line="460" w:lineRule="atLeast"/>
        <w:ind w:firstLine="480" w:firstLineChars="200"/>
        <w:rPr>
          <w:rFonts w:ascii="宋体" w:hAnsi="宋体" w:cs="宋体"/>
          <w:sz w:val="24"/>
        </w:rPr>
      </w:pPr>
      <w:r>
        <w:rPr>
          <w:rFonts w:hint="eastAsia" w:ascii="宋体" w:hAnsi="宋体" w:cs="宋体"/>
          <w:sz w:val="24"/>
        </w:rPr>
        <w:t>地址：陕西省西安市莲湖区南二环西段财富中心I期A座802室</w:t>
      </w:r>
    </w:p>
    <w:p>
      <w:pPr>
        <w:spacing w:line="460" w:lineRule="atLeast"/>
        <w:ind w:firstLine="480" w:firstLineChars="200"/>
        <w:rPr>
          <w:rFonts w:ascii="宋体" w:hAnsi="宋体" w:cs="宋体"/>
          <w:sz w:val="24"/>
        </w:rPr>
      </w:pPr>
      <w:r>
        <w:rPr>
          <w:rFonts w:hint="eastAsia" w:ascii="宋体" w:hAnsi="宋体" w:cs="宋体"/>
          <w:sz w:val="24"/>
        </w:rPr>
        <w:t>3.采购代理机构或采购人将在收到书面质疑后7个工作日内做出答复，并以书面形式通知质疑人和其他有关供应商。</w:t>
      </w:r>
    </w:p>
    <w:p>
      <w:pPr>
        <w:spacing w:line="460" w:lineRule="atLeast"/>
        <w:ind w:firstLine="480" w:firstLineChars="200"/>
        <w:rPr>
          <w:rFonts w:ascii="宋体" w:hAnsi="宋体" w:cs="宋体"/>
          <w:sz w:val="24"/>
        </w:rPr>
      </w:pPr>
      <w:r>
        <w:rPr>
          <w:rFonts w:hint="eastAsia" w:ascii="宋体" w:hAnsi="宋体" w:cs="宋体"/>
          <w:sz w:val="24"/>
        </w:rPr>
        <w:t>（二）投诉</w:t>
      </w:r>
    </w:p>
    <w:p>
      <w:pPr>
        <w:spacing w:line="460" w:lineRule="atLeast"/>
        <w:ind w:firstLine="480" w:firstLineChars="200"/>
        <w:rPr>
          <w:rFonts w:ascii="宋体" w:hAnsi="宋体" w:cs="宋体"/>
          <w:sz w:val="24"/>
        </w:rPr>
      </w:pPr>
      <w:r>
        <w:rPr>
          <w:rFonts w:hint="eastAsia" w:ascii="宋体" w:hAnsi="宋体" w:cs="宋体"/>
          <w:sz w:val="24"/>
        </w:rPr>
        <w:t>1.质疑人对采购代理机构或采购人的答复不满意，以及采购代理机构或采购人未在规定时间内做出答复的，可以在答复期满后15个工作日内向政府采购监管机构提出投诉。</w:t>
      </w:r>
    </w:p>
    <w:p>
      <w:pPr>
        <w:spacing w:line="460" w:lineRule="atLeast"/>
        <w:ind w:firstLine="480" w:firstLineChars="200"/>
        <w:rPr>
          <w:rFonts w:ascii="宋体" w:hAnsi="宋体" w:cs="宋体"/>
          <w:sz w:val="24"/>
        </w:rPr>
      </w:pPr>
      <w:r>
        <w:rPr>
          <w:rFonts w:hint="eastAsia" w:ascii="宋体" w:hAnsi="宋体" w:cs="宋体"/>
          <w:sz w:val="24"/>
        </w:rPr>
        <w:t>2.投诉的事项不得超出已质疑事项的范围。</w:t>
      </w:r>
    </w:p>
    <w:p>
      <w:pPr>
        <w:spacing w:line="460" w:lineRule="atLeast"/>
        <w:ind w:firstLine="480" w:firstLineChars="200"/>
        <w:rPr>
          <w:rFonts w:ascii="宋体" w:hAnsi="宋体" w:cs="宋体"/>
          <w:sz w:val="24"/>
        </w:rPr>
      </w:pPr>
      <w:r>
        <w:rPr>
          <w:rFonts w:hint="eastAsia" w:ascii="宋体" w:hAnsi="宋体" w:cs="宋体"/>
          <w:sz w:val="24"/>
        </w:rPr>
        <w:t>依据《中华人民共和国政府采购法》及其实施条例、《中华人民共和国招标投标法》及其实施条例、《政府采购供应商投诉处理办法》等法律法规的规定，供应商质疑、投诉应当有明确的请求和必要的证明材料。对于捏造事实、提供虚假材料或者以非法手段取得证明材料进行投诉的，财政部门应当予以驳回，并将其列入不良行为记录名单，禁止其一至三年内参加政府采购活动。</w:t>
      </w:r>
    </w:p>
    <w:p>
      <w:pPr>
        <w:spacing w:line="460" w:lineRule="atLeast"/>
        <w:ind w:firstLine="480" w:firstLineChars="200"/>
        <w:rPr>
          <w:rFonts w:ascii="宋体" w:hAnsi="宋体" w:cs="宋体"/>
          <w:sz w:val="24"/>
        </w:rPr>
      </w:pPr>
      <w:r>
        <w:rPr>
          <w:rFonts w:hint="eastAsia" w:ascii="宋体" w:hAnsi="宋体" w:cs="宋体"/>
          <w:sz w:val="24"/>
        </w:rPr>
        <w:t>3.对捏造事实、提供虚假材料进行质疑、投诉的行为予以严肃处理：</w:t>
      </w:r>
    </w:p>
    <w:p>
      <w:pPr>
        <w:spacing w:line="460" w:lineRule="atLeast"/>
        <w:ind w:firstLine="480" w:firstLineChars="200"/>
        <w:rPr>
          <w:rFonts w:ascii="宋体" w:hAnsi="宋体" w:cs="宋体"/>
          <w:sz w:val="24"/>
        </w:rPr>
      </w:pPr>
      <w:r>
        <w:rPr>
          <w:rFonts w:hint="eastAsia" w:ascii="宋体" w:hAnsi="宋体" w:cs="宋体"/>
          <w:sz w:val="24"/>
        </w:rPr>
        <w:t>《中华人民共和国刑法》第243条【诬告陷害罪】捏造事实诬告陷害他人，意图使他人受刑事追究，情节严重的，处三年以下有期徒刑、拘役或者管制；造成严重后果的，处三年以上十年以下有期徒刑。</w:t>
      </w:r>
    </w:p>
    <w:p>
      <w:pPr>
        <w:spacing w:line="460" w:lineRule="atLeast"/>
        <w:ind w:firstLine="480" w:firstLineChars="200"/>
        <w:rPr>
          <w:rFonts w:ascii="宋体" w:hAnsi="宋体" w:cs="宋体"/>
          <w:sz w:val="24"/>
        </w:rPr>
      </w:pPr>
      <w:r>
        <w:rPr>
          <w:rFonts w:hint="eastAsia" w:ascii="宋体" w:hAnsi="宋体" w:cs="宋体"/>
          <w:sz w:val="24"/>
        </w:rPr>
        <w:t>《中华人民共和国刑法》第246条【侮辱罪、诽谤罪】以暴力或者其他方法公然侮辱他人或者捏造事实诽谤他人，情节严重的，处三年以下有期徒刑、拘役、管制或者剥夺政治权利。</w:t>
      </w:r>
    </w:p>
    <w:p>
      <w:pPr>
        <w:pStyle w:val="14"/>
      </w:pPr>
    </w:p>
    <w:p>
      <w:pPr>
        <w:ind w:firstLine="482" w:firstLineChars="200"/>
        <w:rPr>
          <w:rFonts w:ascii="宋体" w:hAnsi="宋体" w:cs="宋体"/>
          <w:b/>
          <w:sz w:val="24"/>
        </w:rPr>
      </w:pPr>
      <w:r>
        <w:rPr>
          <w:rFonts w:hint="eastAsia" w:ascii="宋体" w:hAnsi="宋体" w:cs="宋体"/>
          <w:b/>
          <w:sz w:val="24"/>
        </w:rPr>
        <w:t>十五、签订合同</w:t>
      </w:r>
      <w:bookmarkEnd w:id="135"/>
    </w:p>
    <w:p>
      <w:pPr>
        <w:spacing w:line="520" w:lineRule="exact"/>
        <w:ind w:firstLine="480" w:firstLineChars="200"/>
        <w:rPr>
          <w:rFonts w:ascii="宋体" w:hAnsi="宋体" w:cs="宋体"/>
          <w:sz w:val="24"/>
        </w:rPr>
      </w:pPr>
      <w:r>
        <w:rPr>
          <w:rFonts w:hint="eastAsia" w:ascii="宋体" w:hAnsi="宋体" w:cs="宋体"/>
          <w:sz w:val="24"/>
        </w:rPr>
        <w:t>1.成交后，成交供应商（单位）在收到成交通知书后三十个日历日内，应按磋商文件的要求与采购人洽谈合同条款，并签订施工合同，同时送监督机构备案，磋商文件及成交供应商（单位）的磋商响应文件均作为合同的组成部分；</w:t>
      </w:r>
    </w:p>
    <w:p>
      <w:pPr>
        <w:spacing w:line="450" w:lineRule="exact"/>
        <w:ind w:firstLine="480" w:firstLineChars="200"/>
        <w:rPr>
          <w:rFonts w:ascii="宋体" w:hAnsi="宋体" w:cs="宋体"/>
          <w:sz w:val="24"/>
        </w:rPr>
      </w:pPr>
      <w:r>
        <w:rPr>
          <w:rFonts w:hint="eastAsia" w:ascii="宋体" w:hAnsi="宋体" w:cs="宋体"/>
          <w:sz w:val="24"/>
        </w:rPr>
        <w:t>2.政府采购合同履行中，采购人需追加与合同标的相同的货物、工程或者服务的，在不改变合同其他条款的前提下，可以与成交供应商协商签订补充合同，但所有补充合同的采购金额不得超过原合同采购金额的百分之十；</w:t>
      </w:r>
    </w:p>
    <w:p>
      <w:pPr>
        <w:spacing w:line="450" w:lineRule="exact"/>
        <w:ind w:firstLine="480" w:firstLineChars="200"/>
        <w:rPr>
          <w:rFonts w:ascii="宋体" w:hAnsi="宋体" w:cs="宋体"/>
          <w:sz w:val="24"/>
        </w:rPr>
      </w:pPr>
      <w:r>
        <w:rPr>
          <w:rFonts w:hint="eastAsia" w:ascii="宋体" w:hAnsi="宋体" w:cs="宋体"/>
          <w:sz w:val="24"/>
        </w:rPr>
        <w:t>3.根据需要，采购代理机构可会同采购人负责监督、协调和处理履约过程中出现的问题。</w:t>
      </w:r>
    </w:p>
    <w:p>
      <w:pPr>
        <w:spacing w:line="450" w:lineRule="exact"/>
        <w:ind w:firstLine="482" w:firstLineChars="200"/>
        <w:jc w:val="left"/>
        <w:outlineLvl w:val="1"/>
        <w:rPr>
          <w:rFonts w:ascii="宋体" w:hAnsi="宋体" w:cs="宋体"/>
          <w:b/>
          <w:sz w:val="24"/>
        </w:rPr>
      </w:pPr>
      <w:r>
        <w:rPr>
          <w:rFonts w:hint="eastAsia" w:ascii="宋体" w:hAnsi="宋体" w:cs="宋体"/>
          <w:b/>
          <w:sz w:val="24"/>
        </w:rPr>
        <w:t>十六、成交服务费</w:t>
      </w:r>
    </w:p>
    <w:p>
      <w:pPr>
        <w:snapToGrid w:val="0"/>
        <w:spacing w:line="450" w:lineRule="exact"/>
        <w:ind w:firstLine="480" w:firstLineChars="200"/>
        <w:rPr>
          <w:rFonts w:ascii="宋体" w:hAnsi="宋体" w:cs="宋体"/>
          <w:sz w:val="24"/>
        </w:rPr>
      </w:pPr>
      <w:r>
        <w:rPr>
          <w:rFonts w:hint="eastAsia" w:ascii="宋体" w:hAnsi="宋体" w:cs="宋体"/>
          <w:sz w:val="24"/>
        </w:rPr>
        <w:t>1.招标代理服务费由成交人缴纳。</w:t>
      </w:r>
    </w:p>
    <w:p>
      <w:pPr>
        <w:snapToGrid w:val="0"/>
        <w:spacing w:line="450" w:lineRule="exact"/>
        <w:ind w:firstLine="480" w:firstLineChars="200"/>
        <w:rPr>
          <w:rFonts w:ascii="宋体" w:hAnsi="宋体" w:cs="宋体"/>
          <w:sz w:val="24"/>
        </w:rPr>
      </w:pPr>
      <w:r>
        <w:rPr>
          <w:rFonts w:hint="eastAsia" w:ascii="宋体" w:hAnsi="宋体" w:cs="宋体"/>
          <w:sz w:val="24"/>
        </w:rPr>
        <w:t>2.成交人应依据成交金额向代理机构缴纳代理服务费，招标代理服务费收取按照国家计委颁布的《招标代理服务收费管理暂行办法》（计价格[2002]1980号）和（发改办价格[2003]857号）文收费标准计取，此服务费应计入磋商报价中，但不需要单独开列。</w:t>
      </w:r>
    </w:p>
    <w:p>
      <w:pPr>
        <w:snapToGrid w:val="0"/>
        <w:spacing w:line="450" w:lineRule="exact"/>
        <w:ind w:firstLine="480" w:firstLineChars="200"/>
        <w:rPr>
          <w:rFonts w:ascii="宋体" w:hAnsi="宋体" w:cs="宋体"/>
          <w:sz w:val="24"/>
        </w:rPr>
      </w:pPr>
      <w:r>
        <w:rPr>
          <w:rFonts w:hint="eastAsia" w:ascii="宋体" w:hAnsi="宋体" w:cs="宋体"/>
          <w:sz w:val="24"/>
        </w:rPr>
        <w:t>3.招标代理服务费交纳信息</w:t>
      </w:r>
    </w:p>
    <w:p>
      <w:pPr>
        <w:snapToGrid w:val="0"/>
        <w:spacing w:line="450" w:lineRule="exact"/>
        <w:ind w:firstLine="720" w:firstLineChars="300"/>
        <w:rPr>
          <w:rFonts w:ascii="宋体" w:hAnsi="宋体" w:cs="宋体"/>
          <w:sz w:val="24"/>
        </w:rPr>
      </w:pPr>
      <w:r>
        <w:rPr>
          <w:rFonts w:hint="eastAsia" w:ascii="宋体" w:hAnsi="宋体" w:cs="宋体"/>
          <w:sz w:val="24"/>
        </w:rPr>
        <w:t>银行户名：陕西盛世嘉和招标有限公司</w:t>
      </w:r>
    </w:p>
    <w:p>
      <w:pPr>
        <w:snapToGrid w:val="0"/>
        <w:spacing w:line="450" w:lineRule="exact"/>
        <w:ind w:firstLine="720" w:firstLineChars="300"/>
        <w:rPr>
          <w:rFonts w:ascii="宋体" w:hAnsi="宋体" w:cs="宋体"/>
          <w:sz w:val="24"/>
        </w:rPr>
      </w:pPr>
      <w:r>
        <w:rPr>
          <w:rFonts w:hint="eastAsia" w:ascii="宋体" w:hAnsi="宋体" w:cs="宋体"/>
          <w:sz w:val="24"/>
        </w:rPr>
        <w:t xml:space="preserve">帐    号：72040078801400000854    </w:t>
      </w:r>
    </w:p>
    <w:p>
      <w:pPr>
        <w:snapToGrid w:val="0"/>
        <w:spacing w:line="450" w:lineRule="exact"/>
        <w:ind w:firstLine="720" w:firstLineChars="300"/>
        <w:rPr>
          <w:rFonts w:ascii="宋体" w:hAnsi="宋体" w:cs="宋体"/>
          <w:sz w:val="24"/>
        </w:rPr>
      </w:pPr>
      <w:r>
        <w:rPr>
          <w:rFonts w:hint="eastAsia" w:ascii="宋体" w:hAnsi="宋体" w:cs="宋体"/>
          <w:sz w:val="24"/>
        </w:rPr>
        <w:t>开 户 行：上海浦东发展银行股份有限公司西安高新开发区支行</w:t>
      </w:r>
    </w:p>
    <w:p>
      <w:pPr>
        <w:snapToGrid w:val="0"/>
        <w:spacing w:line="450" w:lineRule="exact"/>
        <w:ind w:firstLine="720" w:firstLineChars="300"/>
        <w:rPr>
          <w:rFonts w:ascii="宋体" w:hAnsi="宋体" w:cs="宋体"/>
          <w:sz w:val="24"/>
        </w:rPr>
      </w:pPr>
      <w:r>
        <w:rPr>
          <w:rFonts w:hint="eastAsia" w:ascii="宋体" w:hAnsi="宋体" w:cs="宋体"/>
          <w:sz w:val="24"/>
        </w:rPr>
        <w:t>联 系 人：孙媛媛</w:t>
      </w:r>
    </w:p>
    <w:p>
      <w:pPr>
        <w:snapToGrid w:val="0"/>
        <w:spacing w:line="450" w:lineRule="exact"/>
        <w:ind w:firstLine="720" w:firstLineChars="300"/>
        <w:rPr>
          <w:rFonts w:ascii="宋体" w:hAnsi="宋体" w:cs="宋体"/>
          <w:sz w:val="24"/>
        </w:rPr>
      </w:pPr>
      <w:r>
        <w:rPr>
          <w:rFonts w:hint="eastAsia" w:ascii="宋体" w:hAnsi="宋体" w:cs="宋体"/>
          <w:sz w:val="24"/>
        </w:rPr>
        <w:t>联系电话：029-88601068</w:t>
      </w:r>
    </w:p>
    <w:p>
      <w:pPr>
        <w:spacing w:line="450" w:lineRule="exact"/>
        <w:ind w:firstLine="482" w:firstLineChars="200"/>
        <w:jc w:val="left"/>
        <w:outlineLvl w:val="1"/>
        <w:rPr>
          <w:rFonts w:ascii="宋体" w:hAnsi="宋体" w:cs="宋体"/>
          <w:b/>
          <w:sz w:val="24"/>
        </w:rPr>
      </w:pPr>
      <w:bookmarkStart w:id="162" w:name="_Toc8334"/>
      <w:r>
        <w:rPr>
          <w:rFonts w:hint="eastAsia" w:ascii="宋体" w:hAnsi="宋体" w:cs="宋体"/>
          <w:b/>
          <w:sz w:val="24"/>
        </w:rPr>
        <w:t>十七、其它事项</w:t>
      </w:r>
      <w:bookmarkEnd w:id="162"/>
    </w:p>
    <w:p>
      <w:pPr>
        <w:spacing w:line="450" w:lineRule="exact"/>
        <w:ind w:firstLine="480" w:firstLineChars="200"/>
        <w:rPr>
          <w:rFonts w:ascii="宋体" w:hAnsi="宋体" w:cs="宋体"/>
          <w:sz w:val="24"/>
        </w:rPr>
      </w:pPr>
      <w:r>
        <w:rPr>
          <w:rFonts w:hint="eastAsia" w:ascii="宋体" w:hAnsi="宋体" w:cs="宋体"/>
          <w:sz w:val="24"/>
        </w:rPr>
        <w:t>1.磋商后，如果发生有效供应商不足三家(财库〔2015〕124号规定的情形、陕财办采资〔2018〕26号规定的特殊情形处理除外)或所有供应商的报价均超过采购预算，采购人不能支付的情况，可决定废标或选用其它采购方式进行采购。</w:t>
      </w:r>
    </w:p>
    <w:p>
      <w:pPr>
        <w:spacing w:line="450" w:lineRule="exact"/>
        <w:ind w:firstLine="480" w:firstLineChars="200"/>
        <w:rPr>
          <w:rFonts w:ascii="宋体" w:hAnsi="宋体" w:cs="宋体"/>
          <w:sz w:val="24"/>
        </w:rPr>
      </w:pPr>
      <w:r>
        <w:rPr>
          <w:rFonts w:hint="eastAsia" w:ascii="宋体" w:hAnsi="宋体" w:cs="宋体"/>
          <w:sz w:val="24"/>
        </w:rPr>
        <w:t>2.成交供应商确定后，成交供应商无正当理由拖延或拒签合同的，或未能按照规定的时间提供履约担保，采购人有权取消其成交资格，并按评审顺序重新确定成交供应商。同时报请监督机构予以通报。给采购人造成损失，还应当对超过部分予以赔偿，并依法承担相应法律责任。</w:t>
      </w:r>
    </w:p>
    <w:p>
      <w:pPr>
        <w:spacing w:line="360" w:lineRule="auto"/>
        <w:rPr>
          <w:rStyle w:val="32"/>
          <w:rFonts w:ascii="宋体" w:hAnsi="宋体" w:cs="宋体"/>
        </w:rPr>
      </w:pPr>
      <w:bookmarkStart w:id="163" w:name="_Toc24900"/>
      <w:bookmarkStart w:id="164" w:name="_Toc13170"/>
      <w:bookmarkStart w:id="165" w:name="_Toc27798"/>
      <w:bookmarkStart w:id="166" w:name="_Toc14055"/>
      <w:bookmarkStart w:id="167" w:name="_Toc13427"/>
      <w:bookmarkStart w:id="168" w:name="_Toc31680_WPSOffice_Level1"/>
    </w:p>
    <w:p>
      <w:pPr>
        <w:spacing w:line="360" w:lineRule="auto"/>
        <w:rPr>
          <w:rStyle w:val="32"/>
          <w:rFonts w:ascii="宋体" w:hAnsi="宋体" w:cs="宋体"/>
        </w:rPr>
        <w:sectPr>
          <w:footerReference r:id="rId12" w:type="default"/>
          <w:pgSz w:w="11906" w:h="16838"/>
          <w:pgMar w:top="1440" w:right="1080" w:bottom="1440" w:left="1080" w:header="1077" w:footer="907" w:gutter="0"/>
          <w:cols w:space="720" w:num="1"/>
          <w:titlePg/>
          <w:docGrid w:type="lines" w:linePitch="312" w:charSpace="0"/>
        </w:sectPr>
      </w:pPr>
    </w:p>
    <w:bookmarkEnd w:id="163"/>
    <w:bookmarkEnd w:id="164"/>
    <w:bookmarkEnd w:id="165"/>
    <w:bookmarkEnd w:id="166"/>
    <w:bookmarkEnd w:id="167"/>
    <w:bookmarkEnd w:id="168"/>
    <w:p>
      <w:pPr>
        <w:numPr>
          <w:ilvl w:val="0"/>
          <w:numId w:val="2"/>
        </w:numPr>
        <w:spacing w:line="360" w:lineRule="auto"/>
        <w:ind w:firstLine="643" w:firstLineChars="200"/>
        <w:jc w:val="center"/>
        <w:rPr>
          <w:rStyle w:val="32"/>
          <w:rFonts w:ascii="宋体" w:hAnsi="宋体" w:cs="宋体"/>
        </w:rPr>
      </w:pPr>
      <w:bookmarkStart w:id="169" w:name="_Toc11114_WPSOffice_Level1"/>
      <w:bookmarkStart w:id="170" w:name="_Toc29145"/>
      <w:r>
        <w:rPr>
          <w:rStyle w:val="32"/>
          <w:rFonts w:hint="eastAsia" w:ascii="宋体" w:hAnsi="宋体" w:cs="宋体"/>
        </w:rPr>
        <w:t>技术参数及要求</w:t>
      </w:r>
      <w:bookmarkEnd w:id="169"/>
    </w:p>
    <w:bookmarkEnd w:id="170"/>
    <w:tbl>
      <w:tblPr>
        <w:tblStyle w:val="19"/>
        <w:tblW w:w="5000" w:type="pct"/>
        <w:tblInd w:w="0" w:type="dxa"/>
        <w:tblLayout w:type="fixed"/>
        <w:tblCellMar>
          <w:top w:w="0" w:type="dxa"/>
          <w:left w:w="0" w:type="dxa"/>
          <w:bottom w:w="0" w:type="dxa"/>
          <w:right w:w="0" w:type="dxa"/>
        </w:tblCellMar>
      </w:tblPr>
      <w:tblGrid>
        <w:gridCol w:w="318"/>
        <w:gridCol w:w="482"/>
        <w:gridCol w:w="7989"/>
        <w:gridCol w:w="473"/>
        <w:gridCol w:w="514"/>
      </w:tblGrid>
      <w:tr>
        <w:tblPrEx>
          <w:tblCellMar>
            <w:top w:w="0" w:type="dxa"/>
            <w:left w:w="0" w:type="dxa"/>
            <w:bottom w:w="0" w:type="dxa"/>
            <w:right w:w="0" w:type="dxa"/>
          </w:tblCellMar>
        </w:tblPrEx>
        <w:trPr>
          <w:trHeight w:val="402" w:hRule="atLeast"/>
        </w:trPr>
        <w:tc>
          <w:tcPr>
            <w:tcW w:w="162"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宋体" w:hAnsi="宋体" w:cs="宋体"/>
                <w:b/>
                <w:color w:val="000000"/>
                <w:sz w:val="24"/>
              </w:rPr>
            </w:pPr>
            <w:r>
              <w:rPr>
                <w:rFonts w:hint="eastAsia" w:ascii="宋体" w:hAnsi="宋体" w:cs="宋体"/>
                <w:b/>
                <w:color w:val="000000"/>
                <w:kern w:val="0"/>
                <w:sz w:val="24"/>
              </w:rPr>
              <w:t>序号</w:t>
            </w:r>
          </w:p>
        </w:tc>
        <w:tc>
          <w:tcPr>
            <w:tcW w:w="246"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cs="宋体"/>
                <w:b/>
                <w:color w:val="000000"/>
                <w:sz w:val="24"/>
              </w:rPr>
            </w:pPr>
            <w:r>
              <w:rPr>
                <w:rFonts w:hint="eastAsia" w:ascii="宋体" w:hAnsi="宋体" w:cs="宋体"/>
                <w:b/>
                <w:color w:val="000000"/>
                <w:kern w:val="0"/>
                <w:sz w:val="24"/>
              </w:rPr>
              <w:t>产品类别</w:t>
            </w:r>
          </w:p>
        </w:tc>
        <w:tc>
          <w:tcPr>
            <w:tcW w:w="4084"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宋体" w:hAnsi="宋体" w:cs="宋体"/>
                <w:b/>
                <w:color w:val="000000"/>
                <w:sz w:val="24"/>
              </w:rPr>
            </w:pPr>
            <w:r>
              <w:rPr>
                <w:rFonts w:hint="eastAsia" w:ascii="宋体" w:hAnsi="宋体" w:cs="宋体"/>
                <w:b/>
                <w:color w:val="000000"/>
                <w:kern w:val="0"/>
                <w:sz w:val="24"/>
              </w:rPr>
              <w:t>技术规格</w:t>
            </w:r>
          </w:p>
        </w:tc>
        <w:tc>
          <w:tcPr>
            <w:tcW w:w="242"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b/>
                <w:color w:val="000000"/>
                <w:sz w:val="24"/>
              </w:rPr>
            </w:pPr>
            <w:r>
              <w:rPr>
                <w:rFonts w:hint="eastAsia" w:ascii="宋体" w:hAnsi="宋体" w:cs="宋体"/>
                <w:b/>
                <w:color w:val="000000"/>
                <w:kern w:val="0"/>
                <w:sz w:val="24"/>
              </w:rPr>
              <w:t>单位</w:t>
            </w:r>
          </w:p>
        </w:tc>
        <w:tc>
          <w:tcPr>
            <w:tcW w:w="26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b/>
                <w:color w:val="000000"/>
                <w:sz w:val="24"/>
              </w:rPr>
            </w:pPr>
            <w:r>
              <w:rPr>
                <w:rFonts w:hint="eastAsia" w:ascii="宋体" w:hAnsi="宋体" w:cs="宋体"/>
                <w:b/>
                <w:color w:val="000000"/>
                <w:kern w:val="0"/>
                <w:sz w:val="24"/>
              </w:rPr>
              <w:t>数量</w:t>
            </w:r>
          </w:p>
        </w:tc>
      </w:tr>
      <w:tr>
        <w:tblPrEx>
          <w:tblCellMar>
            <w:top w:w="0" w:type="dxa"/>
            <w:left w:w="0" w:type="dxa"/>
            <w:bottom w:w="0" w:type="dxa"/>
            <w:right w:w="0" w:type="dxa"/>
          </w:tblCellMar>
        </w:tblPrEx>
        <w:trPr>
          <w:trHeight w:val="402" w:hRule="atLeast"/>
        </w:trPr>
        <w:tc>
          <w:tcPr>
            <w:tcW w:w="162"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rPr>
              <w:t>1</w:t>
            </w:r>
          </w:p>
        </w:tc>
        <w:tc>
          <w:tcPr>
            <w:tcW w:w="246"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rPr>
              <w:t>网络摄像机（筒机）</w:t>
            </w:r>
          </w:p>
        </w:tc>
        <w:tc>
          <w:tcPr>
            <w:tcW w:w="408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rPr>
              <w:t>具有400万像素CMOS传感器。最大分辨率2560x1440。 最低照度彩色：0.0008lx，黑白：0.0001lx，灰度等级不小于11级。红外补光距离不小于85米。需支持三码流技术，可同时输出三路码流，主码流最高2560x1440@30fps，第三码流最大2560x1440@30fps，子码流704x576@30fps。在2560x1440@25fps下，清晰度不小于1400TVL。支持H.264、H.265、MJPEG视频编码格式，且具有HighProfile编码能力。</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需具备人脸检测、区域入侵检测、越界检测、虚焦检测、进入区域、离开区域、徘徊、人员聚集、逆行、场景变更等功能。需具有电子防抖、ROI感兴趣区域、SVC可伸缩编码、自动增益、背光补偿、数字降噪、强光抑制、走廊模式、视频水印等功能。不低于IP67防尘防水等级。需支持DC12V供电，且在不小于DC12V±30%范围内变化时可以正常工作。设备工作状态时，支持空气放电8kV，接触放电6kV，通讯端口支持6kV峰值电压。</w:t>
            </w:r>
          </w:p>
        </w:tc>
        <w:tc>
          <w:tcPr>
            <w:tcW w:w="242"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台</w:t>
            </w:r>
          </w:p>
        </w:tc>
        <w:tc>
          <w:tcPr>
            <w:tcW w:w="26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212</w:t>
            </w:r>
          </w:p>
        </w:tc>
      </w:tr>
      <w:tr>
        <w:tblPrEx>
          <w:tblCellMar>
            <w:top w:w="0" w:type="dxa"/>
            <w:left w:w="0" w:type="dxa"/>
            <w:bottom w:w="0" w:type="dxa"/>
            <w:right w:w="0" w:type="dxa"/>
          </w:tblCellMar>
        </w:tblPrEx>
        <w:trPr>
          <w:trHeight w:val="402" w:hRule="atLeast"/>
        </w:trPr>
        <w:tc>
          <w:tcPr>
            <w:tcW w:w="162"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rPr>
              <w:t>2</w:t>
            </w:r>
          </w:p>
        </w:tc>
        <w:tc>
          <w:tcPr>
            <w:tcW w:w="246"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rPr>
              <w:t>网络摄像机（半球）</w:t>
            </w:r>
          </w:p>
        </w:tc>
        <w:tc>
          <w:tcPr>
            <w:tcW w:w="408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rPr>
              <w:t>具有400万像素 CMOS传感器。 内置GPU芯片。（公安部检验报告证明） 内置红外与白光补光灯。（公安部检验报告证明）最低照度彩色：0.001 lx ，灰度等级不小于11级。白光补光距离不小于15米。需支持双码流技术，主码流最高2688x1520@25fps，子码流704x576@25fps。在2688x1520 @ 30fps下，清晰度不小于1500TVL。支持H.264、H.265视频编码格式，且具有High Profile编码能力。</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 xml:space="preserve"> 支持白光报警功能，当报警产生时，可触发联动白光闪烁。（公安部检验报告证明）</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需支持DC12V/POE供电。</w:t>
            </w:r>
          </w:p>
        </w:tc>
        <w:tc>
          <w:tcPr>
            <w:tcW w:w="242"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台</w:t>
            </w:r>
          </w:p>
        </w:tc>
        <w:tc>
          <w:tcPr>
            <w:tcW w:w="26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106</w:t>
            </w:r>
          </w:p>
        </w:tc>
      </w:tr>
      <w:tr>
        <w:tblPrEx>
          <w:tblCellMar>
            <w:top w:w="0" w:type="dxa"/>
            <w:left w:w="0" w:type="dxa"/>
            <w:bottom w:w="0" w:type="dxa"/>
            <w:right w:w="0" w:type="dxa"/>
          </w:tblCellMar>
        </w:tblPrEx>
        <w:trPr>
          <w:trHeight w:val="402" w:hRule="atLeast"/>
        </w:trPr>
        <w:tc>
          <w:tcPr>
            <w:tcW w:w="162"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rPr>
              <w:t>3</w:t>
            </w:r>
          </w:p>
        </w:tc>
        <w:tc>
          <w:tcPr>
            <w:tcW w:w="246"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rPr>
              <w:t>摄像机支架</w:t>
            </w:r>
          </w:p>
        </w:tc>
        <w:tc>
          <w:tcPr>
            <w:tcW w:w="4084"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rPr>
              <w:t>通用壁装支架/199.3×83.04mm</w:t>
            </w:r>
          </w:p>
        </w:tc>
        <w:tc>
          <w:tcPr>
            <w:tcW w:w="242"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个</w:t>
            </w:r>
          </w:p>
        </w:tc>
        <w:tc>
          <w:tcPr>
            <w:tcW w:w="26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212</w:t>
            </w:r>
          </w:p>
        </w:tc>
      </w:tr>
      <w:tr>
        <w:tblPrEx>
          <w:tblCellMar>
            <w:top w:w="0" w:type="dxa"/>
            <w:left w:w="0" w:type="dxa"/>
            <w:bottom w:w="0" w:type="dxa"/>
            <w:right w:w="0" w:type="dxa"/>
          </w:tblCellMar>
        </w:tblPrEx>
        <w:trPr>
          <w:trHeight w:val="402" w:hRule="atLeast"/>
        </w:trPr>
        <w:tc>
          <w:tcPr>
            <w:tcW w:w="162"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rPr>
              <w:t>4</w:t>
            </w:r>
          </w:p>
        </w:tc>
        <w:tc>
          <w:tcPr>
            <w:tcW w:w="246"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rPr>
              <w:t>FA电源系列</w:t>
            </w:r>
          </w:p>
        </w:tc>
        <w:tc>
          <w:tcPr>
            <w:tcW w:w="408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rPr>
              <w:t>国标,12V1A输出,Φ2.1圆头，输入电压：AC170V~240V</w:t>
            </w:r>
          </w:p>
        </w:tc>
        <w:tc>
          <w:tcPr>
            <w:tcW w:w="242"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个</w:t>
            </w:r>
          </w:p>
        </w:tc>
        <w:tc>
          <w:tcPr>
            <w:tcW w:w="26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318</w:t>
            </w:r>
          </w:p>
        </w:tc>
      </w:tr>
      <w:tr>
        <w:tblPrEx>
          <w:tblCellMar>
            <w:top w:w="0" w:type="dxa"/>
            <w:left w:w="0" w:type="dxa"/>
            <w:bottom w:w="0" w:type="dxa"/>
            <w:right w:w="0" w:type="dxa"/>
          </w:tblCellMar>
        </w:tblPrEx>
        <w:trPr>
          <w:trHeight w:val="402" w:hRule="atLeast"/>
        </w:trPr>
        <w:tc>
          <w:tcPr>
            <w:tcW w:w="162"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rPr>
              <w:t>5</w:t>
            </w:r>
          </w:p>
        </w:tc>
        <w:tc>
          <w:tcPr>
            <w:tcW w:w="246"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rPr>
              <w:t>立杆</w:t>
            </w:r>
          </w:p>
        </w:tc>
        <w:tc>
          <w:tcPr>
            <w:tcW w:w="4084"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rPr>
              <w:t>Q235镀锌钢管，壁厚2.0mm，标准横臂30mm</w:t>
            </w:r>
          </w:p>
        </w:tc>
        <w:tc>
          <w:tcPr>
            <w:tcW w:w="242"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个</w:t>
            </w:r>
          </w:p>
        </w:tc>
        <w:tc>
          <w:tcPr>
            <w:tcW w:w="26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20</w:t>
            </w:r>
          </w:p>
        </w:tc>
      </w:tr>
      <w:tr>
        <w:tblPrEx>
          <w:tblCellMar>
            <w:top w:w="0" w:type="dxa"/>
            <w:left w:w="0" w:type="dxa"/>
            <w:bottom w:w="0" w:type="dxa"/>
            <w:right w:w="0" w:type="dxa"/>
          </w:tblCellMar>
        </w:tblPrEx>
        <w:trPr>
          <w:trHeight w:val="402" w:hRule="atLeast"/>
        </w:trPr>
        <w:tc>
          <w:tcPr>
            <w:tcW w:w="162"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rPr>
              <w:t>6</w:t>
            </w:r>
          </w:p>
        </w:tc>
        <w:tc>
          <w:tcPr>
            <w:tcW w:w="246"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rPr>
              <w:t>接入交换机</w:t>
            </w:r>
          </w:p>
        </w:tc>
        <w:tc>
          <w:tcPr>
            <w:tcW w:w="4084"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rPr>
              <w:t xml:space="preserve">端口及硬件要求 ≥24个10/100/1000M,以太网电接口≥2个千兆光接口,特性,拨码开关 ;交换容量 ≥56Gbps ;包转发速率 ≥39Mpps ;MAC ≥16K，支持MAC地址学习数目限制  </w:t>
            </w:r>
          </w:p>
        </w:tc>
        <w:tc>
          <w:tcPr>
            <w:tcW w:w="242"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个</w:t>
            </w:r>
          </w:p>
        </w:tc>
        <w:tc>
          <w:tcPr>
            <w:tcW w:w="26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25</w:t>
            </w:r>
          </w:p>
        </w:tc>
      </w:tr>
      <w:tr>
        <w:tblPrEx>
          <w:tblCellMar>
            <w:top w:w="0" w:type="dxa"/>
            <w:left w:w="0" w:type="dxa"/>
            <w:bottom w:w="0" w:type="dxa"/>
            <w:right w:w="0" w:type="dxa"/>
          </w:tblCellMar>
        </w:tblPrEx>
        <w:trPr>
          <w:trHeight w:val="402" w:hRule="atLeast"/>
        </w:trPr>
        <w:tc>
          <w:tcPr>
            <w:tcW w:w="162"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rPr>
              <w:t>7</w:t>
            </w:r>
          </w:p>
        </w:tc>
        <w:tc>
          <w:tcPr>
            <w:tcW w:w="246"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rPr>
              <w:t>汇聚交换机</w:t>
            </w:r>
          </w:p>
        </w:tc>
        <w:tc>
          <w:tcPr>
            <w:tcW w:w="408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rPr>
              <w:t>整机交换容量：≥256Gbps  转发性能：≥96Mpps   端口及硬件要求：≥24个100/1000Base-X 千兆光口（其中8个Combo口）≥4个SFP+万兆光端口要求整机达全线速转发能力。  VLAN特性：支持基于端口的VLAN、支持基于协议的VLAN、支持Voice VLAN、支持Guest VLAN、支持基于MAC的VLAN、最大VLAN数(不是VLAN ID)&gt;=4094、支持QinQ，灵活QinQ、支持VLAN Mapping，MAC表：≥16K</w:t>
            </w:r>
          </w:p>
        </w:tc>
        <w:tc>
          <w:tcPr>
            <w:tcW w:w="242"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套</w:t>
            </w:r>
          </w:p>
        </w:tc>
        <w:tc>
          <w:tcPr>
            <w:tcW w:w="26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7</w:t>
            </w:r>
          </w:p>
        </w:tc>
      </w:tr>
      <w:tr>
        <w:tblPrEx>
          <w:tblCellMar>
            <w:top w:w="0" w:type="dxa"/>
            <w:left w:w="0" w:type="dxa"/>
            <w:bottom w:w="0" w:type="dxa"/>
            <w:right w:w="0" w:type="dxa"/>
          </w:tblCellMar>
        </w:tblPrEx>
        <w:trPr>
          <w:trHeight w:val="402" w:hRule="atLeast"/>
        </w:trPr>
        <w:tc>
          <w:tcPr>
            <w:tcW w:w="162"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rPr>
              <w:t>8</w:t>
            </w:r>
          </w:p>
        </w:tc>
        <w:tc>
          <w:tcPr>
            <w:tcW w:w="246"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rPr>
              <w:t>机柜</w:t>
            </w:r>
          </w:p>
        </w:tc>
        <w:tc>
          <w:tcPr>
            <w:tcW w:w="4084"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rPr>
              <w:t>6U</w:t>
            </w:r>
          </w:p>
        </w:tc>
        <w:tc>
          <w:tcPr>
            <w:tcW w:w="242"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个</w:t>
            </w:r>
          </w:p>
        </w:tc>
        <w:tc>
          <w:tcPr>
            <w:tcW w:w="26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13</w:t>
            </w:r>
          </w:p>
        </w:tc>
      </w:tr>
      <w:tr>
        <w:tblPrEx>
          <w:tblCellMar>
            <w:top w:w="0" w:type="dxa"/>
            <w:left w:w="0" w:type="dxa"/>
            <w:bottom w:w="0" w:type="dxa"/>
            <w:right w:w="0" w:type="dxa"/>
          </w:tblCellMar>
        </w:tblPrEx>
        <w:trPr>
          <w:trHeight w:val="402" w:hRule="atLeast"/>
        </w:trPr>
        <w:tc>
          <w:tcPr>
            <w:tcW w:w="162"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rPr>
              <w:t>9</w:t>
            </w:r>
          </w:p>
        </w:tc>
        <w:tc>
          <w:tcPr>
            <w:tcW w:w="246"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rPr>
              <w:t>网线</w:t>
            </w:r>
          </w:p>
        </w:tc>
        <w:tc>
          <w:tcPr>
            <w:tcW w:w="4084"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rPr>
              <w:t>6类，非屏蔽网线</w:t>
            </w:r>
          </w:p>
        </w:tc>
        <w:tc>
          <w:tcPr>
            <w:tcW w:w="242"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箱</w:t>
            </w:r>
          </w:p>
        </w:tc>
        <w:tc>
          <w:tcPr>
            <w:tcW w:w="26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80</w:t>
            </w:r>
          </w:p>
        </w:tc>
      </w:tr>
      <w:tr>
        <w:tblPrEx>
          <w:tblCellMar>
            <w:top w:w="0" w:type="dxa"/>
            <w:left w:w="0" w:type="dxa"/>
            <w:bottom w:w="0" w:type="dxa"/>
            <w:right w:w="0" w:type="dxa"/>
          </w:tblCellMar>
        </w:tblPrEx>
        <w:trPr>
          <w:trHeight w:val="402" w:hRule="atLeast"/>
        </w:trPr>
        <w:tc>
          <w:tcPr>
            <w:tcW w:w="162"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rPr>
              <w:t>10</w:t>
            </w:r>
          </w:p>
        </w:tc>
        <w:tc>
          <w:tcPr>
            <w:tcW w:w="246"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rPr>
              <w:t>全景摄像机（体育场）</w:t>
            </w:r>
          </w:p>
        </w:tc>
        <w:tc>
          <w:tcPr>
            <w:tcW w:w="408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cs="宋体"/>
                <w:color w:val="000000"/>
                <w:kern w:val="0"/>
                <w:sz w:val="22"/>
                <w:szCs w:val="22"/>
              </w:rPr>
            </w:pPr>
            <w:r>
              <w:rPr>
                <w:rFonts w:hint="eastAsia" w:ascii="宋体" w:hAnsi="宋体" w:cs="宋体"/>
                <w:color w:val="000000"/>
                <w:kern w:val="0"/>
                <w:sz w:val="22"/>
                <w:szCs w:val="22"/>
              </w:rPr>
              <w:t xml:space="preserve"> 自带镜头，另配4个图像采集模块，可输出1路主视频图像和4路辅视频图像。拼接后抓拍图片的分辨率为：主视频：2560×1440；辅视频：5520×2400</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全景摄像机采用4个 1/1.8＂4MP CMOS，特写球型摄像机采用1个 1/1.8＂4MP CMOS。</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 xml:space="preserve"> 水平视场角不小于180°，垂直视场角不小于90° 内置GPU芯。</w:t>
            </w:r>
          </w:p>
          <w:p>
            <w:pPr>
              <w:widowControl/>
              <w:jc w:val="left"/>
              <w:textAlignment w:val="center"/>
              <w:rPr>
                <w:rFonts w:ascii="宋体" w:hAnsi="宋体" w:cs="宋体"/>
                <w:color w:val="000000"/>
                <w:kern w:val="0"/>
                <w:sz w:val="22"/>
                <w:szCs w:val="22"/>
              </w:rPr>
            </w:pPr>
            <w:r>
              <w:rPr>
                <w:rFonts w:hint="eastAsia" w:ascii="宋体" w:hAnsi="宋体" w:cs="宋体"/>
                <w:color w:val="000000"/>
                <w:kern w:val="0"/>
                <w:sz w:val="22"/>
                <w:szCs w:val="22"/>
              </w:rPr>
              <w:t xml:space="preserve">  主视频图像：2560×1440@25fps，辅视频图像：5520×2400@30fps。主视频支持不小于40倍光学变倍，彩色：0.0003lux；黑白：0.0001lux， 支持水平手控速度不小于240°/S，云台定位精度为不大于0.1°。垂直手控速度不小于200°/S。水平连续360°旋转。垂直旋转范围为-20°~90°支持7路报警输入接口，2路报警输出接口，支持1路音频输入，1路输出接口。支持500个预置位，支持32条巡航扫描，每条巡航路径可设置16个预置点。支持三码流输出，主码流球机摄像机通道支持输出2560×1440@25fps图像、全景通道支持输出5520×2400@25fps图像；第三码流球机摄像机通道支持输出1920×1080@25fps图像、全景通道支持输出4096×1800@25fps图像。</w:t>
            </w:r>
          </w:p>
          <w:p>
            <w:pPr>
              <w:widowControl/>
              <w:ind w:firstLine="220" w:firstLineChars="100"/>
              <w:jc w:val="left"/>
              <w:textAlignment w:val="center"/>
              <w:rPr>
                <w:rFonts w:ascii="宋体" w:hAnsi="宋体" w:cs="宋体"/>
                <w:color w:val="000000"/>
                <w:kern w:val="0"/>
                <w:sz w:val="22"/>
                <w:szCs w:val="22"/>
              </w:rPr>
            </w:pPr>
            <w:r>
              <w:rPr>
                <w:rFonts w:hint="eastAsia" w:ascii="宋体" w:hAnsi="宋体" w:cs="宋体"/>
                <w:color w:val="000000"/>
                <w:kern w:val="0"/>
                <w:sz w:val="22"/>
                <w:szCs w:val="22"/>
              </w:rPr>
              <w:t xml:space="preserve"> 产品支持定位联动、自动跟踪、手动跟踪、混合跟踪功能，在辅视频图像中跟踪目标的灵敏度及时间可设；并且自动跟踪模式下，最多对60个目标进行检测并抓拍。</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 xml:space="preserve"> 产品支持畸变调整功能，支持通过客户端对辅助视频图像的全景画面进行远，中，近3种畸变调整。产品支持画面调整功能，支持通过客户端对辅助视频图像的全景画面进行上，下，左，右平移和三维空间旋转，进而调整视场画面。</w:t>
            </w:r>
          </w:p>
          <w:p>
            <w:pPr>
              <w:widowControl/>
              <w:ind w:firstLine="220" w:firstLineChars="100"/>
              <w:jc w:val="left"/>
              <w:textAlignment w:val="center"/>
              <w:rPr>
                <w:rFonts w:ascii="宋体" w:hAnsi="宋体" w:cs="宋体"/>
                <w:color w:val="000000"/>
                <w:kern w:val="0"/>
                <w:sz w:val="22"/>
                <w:szCs w:val="22"/>
              </w:rPr>
            </w:pPr>
            <w:r>
              <w:rPr>
                <w:rFonts w:hint="eastAsia" w:ascii="宋体" w:hAnsi="宋体" w:cs="宋体"/>
                <w:color w:val="000000"/>
                <w:kern w:val="0"/>
                <w:sz w:val="22"/>
                <w:szCs w:val="22"/>
              </w:rPr>
              <w:t xml:space="preserve"> 产品支持全景剪裁功能，支持对辅助图像的全景画面进行框选裁剪，只显示框选内的画面，且检测框可拖拽。剪裁分辨率根据主码流，子码流和第三码流进行设置。</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电源具有较强适应性，电源电压在DC36V±47%范围内变化时，摄像机可以正常工作</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具备较好防护性能和环境适应性，支持IP67，10KV防浪涌，工作温度范围可达-45℃-75℃。</w:t>
            </w:r>
          </w:p>
          <w:p>
            <w:pPr>
              <w:widowControl/>
              <w:ind w:firstLine="220" w:firstLineChars="100"/>
              <w:jc w:val="left"/>
              <w:textAlignment w:val="center"/>
              <w:rPr>
                <w:rFonts w:ascii="宋体" w:hAnsi="宋体" w:cs="宋体"/>
                <w:color w:val="000000"/>
                <w:sz w:val="22"/>
                <w:szCs w:val="22"/>
              </w:rPr>
            </w:pPr>
            <w:r>
              <w:rPr>
                <w:rFonts w:hint="eastAsia" w:ascii="宋体" w:hAnsi="宋体" w:cs="宋体"/>
                <w:color w:val="000000"/>
                <w:kern w:val="0"/>
                <w:sz w:val="22"/>
                <w:szCs w:val="22"/>
              </w:rPr>
              <w:t>红外灯开启时，样机可根据被摄物的距离自动调节红外灯功率密度。红外夜视距离：可识别距离样机550m外人体轮廓， 可对距设备100米处的人脸进行抓拍。 可通过IE浏览器设置8个场景进行人脸抓拍，可设置每个场景的布防时间。当通过IE浏览器手动点击或框选预览画面中的人脸时，设备能通过PTZ转动将人脸置于画面中心，并对人脸进行抓拍。</w:t>
            </w:r>
          </w:p>
        </w:tc>
        <w:tc>
          <w:tcPr>
            <w:tcW w:w="242"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台</w:t>
            </w:r>
          </w:p>
        </w:tc>
        <w:tc>
          <w:tcPr>
            <w:tcW w:w="26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1</w:t>
            </w:r>
          </w:p>
        </w:tc>
      </w:tr>
      <w:tr>
        <w:tblPrEx>
          <w:tblCellMar>
            <w:top w:w="0" w:type="dxa"/>
            <w:left w:w="0" w:type="dxa"/>
            <w:bottom w:w="0" w:type="dxa"/>
            <w:right w:w="0" w:type="dxa"/>
          </w:tblCellMar>
        </w:tblPrEx>
        <w:trPr>
          <w:trHeight w:val="402" w:hRule="atLeast"/>
        </w:trPr>
        <w:tc>
          <w:tcPr>
            <w:tcW w:w="162"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rPr>
              <w:t>11</w:t>
            </w:r>
          </w:p>
        </w:tc>
        <w:tc>
          <w:tcPr>
            <w:tcW w:w="246"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rPr>
              <w:t>支架</w:t>
            </w:r>
          </w:p>
        </w:tc>
        <w:tc>
          <w:tcPr>
            <w:tcW w:w="4084"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rPr>
              <w:t>长壁装</w:t>
            </w:r>
          </w:p>
        </w:tc>
        <w:tc>
          <w:tcPr>
            <w:tcW w:w="242"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个</w:t>
            </w:r>
          </w:p>
        </w:tc>
        <w:tc>
          <w:tcPr>
            <w:tcW w:w="26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1</w:t>
            </w:r>
          </w:p>
        </w:tc>
      </w:tr>
      <w:tr>
        <w:tblPrEx>
          <w:tblCellMar>
            <w:top w:w="0" w:type="dxa"/>
            <w:left w:w="0" w:type="dxa"/>
            <w:bottom w:w="0" w:type="dxa"/>
            <w:right w:w="0" w:type="dxa"/>
          </w:tblCellMar>
        </w:tblPrEx>
        <w:trPr>
          <w:trHeight w:val="402" w:hRule="atLeast"/>
        </w:trPr>
        <w:tc>
          <w:tcPr>
            <w:tcW w:w="162"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rPr>
              <w:t>12</w:t>
            </w:r>
          </w:p>
        </w:tc>
        <w:tc>
          <w:tcPr>
            <w:tcW w:w="246"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rPr>
              <w:t>全景摄像机（前广场）</w:t>
            </w:r>
          </w:p>
        </w:tc>
        <w:tc>
          <w:tcPr>
            <w:tcW w:w="408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cs="宋体"/>
                <w:color w:val="000000"/>
                <w:kern w:val="0"/>
                <w:sz w:val="22"/>
                <w:szCs w:val="22"/>
              </w:rPr>
            </w:pPr>
            <w:r>
              <w:rPr>
                <w:rFonts w:hint="eastAsia" w:ascii="宋体" w:hAnsi="宋体" w:cs="宋体"/>
                <w:color w:val="000000"/>
                <w:kern w:val="0"/>
                <w:sz w:val="22"/>
                <w:szCs w:val="22"/>
              </w:rPr>
              <w:t xml:space="preserve">  自带镜头，另配4个图像采集模块，可输出1路主视频图像和4路辅视频图像。拼接后抓拍图片的分辨率为：主视频：2560×1440；辅视频：5520×2400。</w:t>
            </w:r>
          </w:p>
          <w:p>
            <w:pPr>
              <w:widowControl/>
              <w:ind w:firstLine="110" w:firstLineChars="50"/>
              <w:jc w:val="left"/>
              <w:textAlignment w:val="center"/>
              <w:rPr>
                <w:rFonts w:ascii="宋体" w:hAnsi="宋体" w:cs="宋体"/>
                <w:color w:val="000000"/>
                <w:sz w:val="22"/>
                <w:szCs w:val="22"/>
              </w:rPr>
            </w:pPr>
            <w:r>
              <w:rPr>
                <w:rFonts w:hint="eastAsia" w:ascii="宋体" w:hAnsi="宋体" w:cs="宋体"/>
                <w:color w:val="000000"/>
                <w:kern w:val="0"/>
                <w:sz w:val="22"/>
                <w:szCs w:val="22"/>
              </w:rPr>
              <w:t>全景摄像机采用4个 1/1.8＂4MP CMOS，特写球型摄像机采用1个 1/1.8＂4MP CMOS。 水平视场角不小于180°，垂直视场角不小于90°， 内置GPU芯片</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主视频图像：2560×1440@25fps，辅视频图像：5520×2400@30fps。主视频支持不小于40倍光学变倍</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彩色：0.0003lux；黑白：0.0001lux</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 xml:space="preserve"> 支持水平手控速度不小于240°/S，云台定位精度为不大于0.1°。垂直手控速度不小于200°/S。水平连续360°旋转。垂直旋转范围为-20°~90°</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支持7路报警输入接口，2路报警输出接口，支持1路音频输入，1路输出接口。</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支持500个预置位，支持32条巡航扫描，每条巡航路径可设置16个预置点。</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支持三码流输出，主码流球机摄像机通道支持输出2560×1440@25fps图像、全景通道支持输出5520×2400@25fps图像；第三码流球机摄像机通道支持输出1920×1080@25fps图像、全景通道支持输出4096×1800@25fps图像。</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 xml:space="preserve"> 产品支持定位联动、自动跟踪、手动跟踪、混合跟踪功能，在辅视频图像中跟踪目标的灵敏度及时间可设；并且自动跟踪模式下，最多对60个目标进行检测并抓拍。</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 xml:space="preserve"> 产品支持畸变调整功能，支持通过客户端对辅助视频图像的全景画面进行远，中，近3种畸变调整。产品支持画面调整功能，支持通过客户端对辅助视频图像的全景画面进行上，下，左，右平移和三维空间旋转，进而调整视场画面。</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 xml:space="preserve"> 产品支持全景剪裁功能，支持对辅助图像的全景画面进行框选裁剪，只显示框选内的画面，且检测框可拖拽。剪裁分辨率根据主码流，子码流和第三码流进行设置。</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电源具有较强适应性，电源电压在DC36V±47%范围内变化时，摄像机可以正常工作</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具备较好防护性能和环境适应性，支持IP67，10KV防浪涌，工作温度范围可达-45℃-75℃。</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红外灯开启时，样机可根据被摄物的距离自动调节红外灯功率密度。红外夜视距离：可识别距离样机550m外人体轮廓</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 xml:space="preserve"> 可对距设备100米处的人脸进行抓拍。</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 xml:space="preserve"> 可通过IE浏览器设置8个场景进行人脸抓拍，可设置每个场景的布防时间。</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 xml:space="preserve"> 当通过IE浏览器手动点击或框选预览画面中的人脸时，设备能通过PTZ转动将人脸置于画面中心，并对人脸进行抓拍。</w:t>
            </w:r>
          </w:p>
        </w:tc>
        <w:tc>
          <w:tcPr>
            <w:tcW w:w="242"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台</w:t>
            </w:r>
          </w:p>
        </w:tc>
        <w:tc>
          <w:tcPr>
            <w:tcW w:w="26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1</w:t>
            </w:r>
          </w:p>
        </w:tc>
      </w:tr>
      <w:tr>
        <w:tblPrEx>
          <w:tblCellMar>
            <w:top w:w="0" w:type="dxa"/>
            <w:left w:w="0" w:type="dxa"/>
            <w:bottom w:w="0" w:type="dxa"/>
            <w:right w:w="0" w:type="dxa"/>
          </w:tblCellMar>
        </w:tblPrEx>
        <w:trPr>
          <w:trHeight w:val="402" w:hRule="atLeast"/>
        </w:trPr>
        <w:tc>
          <w:tcPr>
            <w:tcW w:w="162"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rPr>
              <w:t>13</w:t>
            </w:r>
          </w:p>
        </w:tc>
        <w:tc>
          <w:tcPr>
            <w:tcW w:w="246"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rPr>
              <w:t>支架</w:t>
            </w:r>
          </w:p>
        </w:tc>
        <w:tc>
          <w:tcPr>
            <w:tcW w:w="4084"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rPr>
              <w:t>长壁装</w:t>
            </w:r>
          </w:p>
        </w:tc>
        <w:tc>
          <w:tcPr>
            <w:tcW w:w="242"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个</w:t>
            </w:r>
          </w:p>
        </w:tc>
        <w:tc>
          <w:tcPr>
            <w:tcW w:w="26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1</w:t>
            </w:r>
          </w:p>
        </w:tc>
      </w:tr>
      <w:tr>
        <w:tblPrEx>
          <w:tblCellMar>
            <w:top w:w="0" w:type="dxa"/>
            <w:left w:w="0" w:type="dxa"/>
            <w:bottom w:w="0" w:type="dxa"/>
            <w:right w:w="0" w:type="dxa"/>
          </w:tblCellMar>
        </w:tblPrEx>
        <w:trPr>
          <w:trHeight w:val="402" w:hRule="atLeast"/>
        </w:trPr>
        <w:tc>
          <w:tcPr>
            <w:tcW w:w="162"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rPr>
              <w:t>14</w:t>
            </w:r>
          </w:p>
        </w:tc>
        <w:tc>
          <w:tcPr>
            <w:tcW w:w="246"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rPr>
              <w:t>智能球型摄像机</w:t>
            </w:r>
          </w:p>
        </w:tc>
        <w:tc>
          <w:tcPr>
            <w:tcW w:w="408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rPr>
              <w:t>摄像机靶面尺寸不小于1/2.8英寸</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视频输出支持2560×1440@25fps，分辨力不小于1400TVL，红外距离可达300米</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焦距: 4.8-96mm，20倍光学</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 xml:space="preserve"> 支持最低照度可达彩色0.0005Lux，黑白0.0001Lux</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支持水平手控速度不小于160°/S，云台定位精度为±0.1°</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水平旋转范围为360°连续旋转，垂直旋转范围为-15°~90°</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支持300个预置位，可按照所设置的预置位完成不小于8条巡航路径，支持不小于4条模式路径设置,支持预置位视频冻结功能;可实现RS485接口优先或RJ45网络接口优先控制功能</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 xml:space="preserve"> 具备较强的网络自适应能力，在丢包率为20%的网络环境下，仍可正常显示监视画面。</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支持透雾、强光抑制、电子防抖、数字降噪、防红外过曝功能</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支持采用H.265、H.264视频编码标准，H.265、H.264编码支持Baseline/Main/High Profile，音频编码支持G.711ulaw/G.711alaw/G.726/G.722.1/G.723/G.729/PCM</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支持三码流同时输出，主码流、第三码流同时支持2560×1440@30fps，2048×1536@30fps</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支持区域入侵、越界入侵、徘徊、物品移除、物品遗留、人员聚集、停车、人脸检测、音频异常检测、场景变更侦测、并联动报警</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支持IP67，TVS 8kV防浪涌，工作温度范围可达-40℃-70℃</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 xml:space="preserve"> 电压在DC24V±30% 和AC24V±30%范围内变化时，设备可正常工作</w:t>
            </w:r>
          </w:p>
        </w:tc>
        <w:tc>
          <w:tcPr>
            <w:tcW w:w="242"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台</w:t>
            </w:r>
          </w:p>
        </w:tc>
        <w:tc>
          <w:tcPr>
            <w:tcW w:w="26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7</w:t>
            </w:r>
          </w:p>
        </w:tc>
      </w:tr>
      <w:tr>
        <w:tblPrEx>
          <w:tblCellMar>
            <w:top w:w="0" w:type="dxa"/>
            <w:left w:w="0" w:type="dxa"/>
            <w:bottom w:w="0" w:type="dxa"/>
            <w:right w:w="0" w:type="dxa"/>
          </w:tblCellMar>
        </w:tblPrEx>
        <w:trPr>
          <w:trHeight w:val="402" w:hRule="atLeast"/>
        </w:trPr>
        <w:tc>
          <w:tcPr>
            <w:tcW w:w="162"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rPr>
              <w:t>15</w:t>
            </w:r>
          </w:p>
        </w:tc>
        <w:tc>
          <w:tcPr>
            <w:tcW w:w="246"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rPr>
              <w:t>智能球型摄像机</w:t>
            </w:r>
          </w:p>
        </w:tc>
        <w:tc>
          <w:tcPr>
            <w:tcW w:w="408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rPr>
              <w:t>摄像机定焦镜头、变焦镜头靶面尺寸均不小于1/1.8英寸。</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内置不少于2个GPU芯片。</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设备具有1个RJ45网络接口，可输出两路视频图像：通道1、通道2。</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两路视频输出分别支持分辨率设置为2560x1440，帧率设置为25fps，分辨力不小于1500线。</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支持最低照度可达彩色0.0002Lux，黑白0.0001Lux。</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 xml:space="preserve"> 设备可支持白光灯及红外光补光。</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 xml:space="preserve"> 支持对镜头前盖玻璃加热，去除玻璃上的冰状和水状附着物。</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支持水平、垂直旋转，水平手控速度不小于240°/s，定位准确度不大于0.1°。</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 xml:space="preserve"> 设备可同时对行人、非机动车、机动车进行检测、跟踪及抓拍；可支持人脸、车牌的抠图及人脸与人体、车牌与车辆的关联显示。</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 xml:space="preserve"> 设备应支持正面/侧面/背面行人的检测、跟踪、抓拍；应支持对骑自行车、骑三轮车、骑电动车、踩平衡车等非机动车的检测、跟踪、抓拍。</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 xml:space="preserve"> 可通过客户端软件显示行人的属性，包括上衣颜色、下装颜色、是/否戴眼镜、是/否背包、是/否戴帽子。</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 xml:space="preserve"> 支持检出两眼瞳距20像素点以上的人脸图片，人脸检出率不小于99%，支持单场景同时检出不少于30张人脸图片，并支持面部跟踪。</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 xml:space="preserve"> 设备可对30米处的行人进行人脸抓拍，并可生成分辨率不小于110×120的人脸图片,图片中人脸两眼瞳距应≥40像素。在距离设备30米处，人脸抓拍准确率不小于95%，人体抓拍准确率不小于95%。</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 xml:space="preserve"> 通道1检测到且框出移动目标至通道2摄像机开始转动的时间不大于0.2秒。</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电压在DC36V±25%范围内变化时，设备可正常工作，工作温度范围可达-45℃-70℃，支持IP67。</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设备支持创建10个人脸库，可导入不少于15万张人脸图片。</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 xml:space="preserve"> 设备支持人脸抓拍去重功能，去重后在所有人脸抓拍图片中，同一人脸抓拍图的数量占比应≤1%。</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 xml:space="preserve"> 设备细节画面支持快速聚焦，从聚焦开始到聚焦结束用时不超过0.01s。</w:t>
            </w:r>
          </w:p>
        </w:tc>
        <w:tc>
          <w:tcPr>
            <w:tcW w:w="242"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台</w:t>
            </w:r>
          </w:p>
        </w:tc>
        <w:tc>
          <w:tcPr>
            <w:tcW w:w="26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2</w:t>
            </w:r>
          </w:p>
        </w:tc>
      </w:tr>
      <w:tr>
        <w:tblPrEx>
          <w:tblCellMar>
            <w:top w:w="0" w:type="dxa"/>
            <w:left w:w="0" w:type="dxa"/>
            <w:bottom w:w="0" w:type="dxa"/>
            <w:right w:w="0" w:type="dxa"/>
          </w:tblCellMar>
        </w:tblPrEx>
        <w:trPr>
          <w:trHeight w:val="402" w:hRule="atLeast"/>
        </w:trPr>
        <w:tc>
          <w:tcPr>
            <w:tcW w:w="162"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rPr>
              <w:t>16</w:t>
            </w:r>
          </w:p>
        </w:tc>
        <w:tc>
          <w:tcPr>
            <w:tcW w:w="246"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rPr>
              <w:t>球机支架</w:t>
            </w:r>
          </w:p>
        </w:tc>
        <w:tc>
          <w:tcPr>
            <w:tcW w:w="4084"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rPr>
              <w:t>定制</w:t>
            </w:r>
          </w:p>
        </w:tc>
        <w:tc>
          <w:tcPr>
            <w:tcW w:w="242"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个</w:t>
            </w:r>
          </w:p>
        </w:tc>
        <w:tc>
          <w:tcPr>
            <w:tcW w:w="26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9</w:t>
            </w:r>
          </w:p>
        </w:tc>
      </w:tr>
      <w:tr>
        <w:tblPrEx>
          <w:tblCellMar>
            <w:top w:w="0" w:type="dxa"/>
            <w:left w:w="0" w:type="dxa"/>
            <w:bottom w:w="0" w:type="dxa"/>
            <w:right w:w="0" w:type="dxa"/>
          </w:tblCellMar>
        </w:tblPrEx>
        <w:trPr>
          <w:trHeight w:val="799" w:hRule="atLeast"/>
        </w:trPr>
        <w:tc>
          <w:tcPr>
            <w:tcW w:w="162"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rPr>
              <w:t>17</w:t>
            </w:r>
          </w:p>
        </w:tc>
        <w:tc>
          <w:tcPr>
            <w:tcW w:w="246"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rPr>
              <w:t>AI多摄系列网络摄像机（宿舍）</w:t>
            </w:r>
          </w:p>
        </w:tc>
        <w:tc>
          <w:tcPr>
            <w:tcW w:w="408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rPr>
              <w:t>具有400万像素 CMOS传感器。</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具有不小于1/1.8"靶面尺寸。像元尺寸不小于2.9um×2.9um。</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 xml:space="preserve"> 内置GPU芯片。</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 xml:space="preserve"> 支持MD5、SHA256加密算法。</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 xml:space="preserve"> 内置混合补光灯，可对红外灯及白光灯功率进行调节。</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 xml:space="preserve"> 最低照度彩色不大于0.0002 lx，黑白不大于0.0001 lx。</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镜头:（变焦）8-32mm @ F1.6,水平视场角：40°~14°，垂直视场角：22°~8°，对角线视场角：47°~17°</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支持H.264、H.265、MJPEG视频编码格式，且具有High Profile编码能力。</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支持五码流技术，主码流最高2688x1520@25fps，子码流704x576@25fps，第三码流1920x1080@25fps，第四码流704x576@25fps，第五码流704x576@25fps。</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支持区域入侵、越界侦测、进入区域、离开区域功能；支持基于具体的目标类型（人或车辆）触发的报警；过滤掉如树叶、灯光、动物、旗子等引起的误报警；</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支持检出两眼瞳距40像素点以上的人脸图片。</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支持单场景同时检出不少于30张人脸图片，并支持面部跟踪。</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人脸检出率不小于99%。</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 xml:space="preserve"> 支持侧脸过滤功能，可过滤上下、左右角度达到预设值的人脸。</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支持人脸区域自动曝光功能，可根据外部不同场景和光照变化自动调节人脸区域曝光参数。</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需支持IP67防尘防水。</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需同时支持DC12V和POE供电，且在不小于DC12V±30%范围内变化时可以正常工作。</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 xml:space="preserve"> 支持透雾自动切换功能，当检测到雾的浓度达到设定的阈值时，可自动在算法透雾和光学透雾之间进行切换。</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 xml:space="preserve"> 辐射骚扰限值应符合GB/T 9254-2008中等级A的规定。</w:t>
            </w:r>
          </w:p>
        </w:tc>
        <w:tc>
          <w:tcPr>
            <w:tcW w:w="242"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台</w:t>
            </w:r>
          </w:p>
        </w:tc>
        <w:tc>
          <w:tcPr>
            <w:tcW w:w="26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5</w:t>
            </w:r>
          </w:p>
        </w:tc>
      </w:tr>
      <w:tr>
        <w:tblPrEx>
          <w:tblCellMar>
            <w:top w:w="0" w:type="dxa"/>
            <w:left w:w="0" w:type="dxa"/>
            <w:bottom w:w="0" w:type="dxa"/>
            <w:right w:w="0" w:type="dxa"/>
          </w:tblCellMar>
        </w:tblPrEx>
        <w:trPr>
          <w:trHeight w:val="780" w:hRule="atLeast"/>
        </w:trPr>
        <w:tc>
          <w:tcPr>
            <w:tcW w:w="162"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rPr>
              <w:t>18</w:t>
            </w:r>
          </w:p>
        </w:tc>
        <w:tc>
          <w:tcPr>
            <w:tcW w:w="246"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rPr>
              <w:t>AI多摄系列网络摄像机（重点进出口）</w:t>
            </w:r>
          </w:p>
        </w:tc>
        <w:tc>
          <w:tcPr>
            <w:tcW w:w="408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rPr>
              <w:t>具有400万像素 CMOS传感器。</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具有不小于1/1.8"靶面尺寸。像元尺寸不小于2.9um×2.9um。</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内置GPU芯片。</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支持MD5、SHA256加密算法。</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内置混合补光灯，可对红外灯及白光灯功率进行调节。</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最低照度彩色不大于0.0002 lx，黑白不大于0.0001 lx。</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镜头:（变焦）8-32mm @ F1.6,水平视场角：40°~14°，垂直视场角：22°~8°，对角线视场角：47°~17°</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支持H.264、H.265、MJPEG视频编码格式，且具有High Profile编码能力。</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支持五码流技术，主码流最高2688x1520@25fps，子码流704x576@25fps，第三码流1920x1080@25fps，第四码流704x576@25fps，第五码流704x576@25fps。</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支持区域入侵、越界侦测、进入区域、离开区域功能；支持基于具体的目标类型（人或车辆）触发的报警；过滤掉如树叶、灯光、动物、旗子等引起的误报警；</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支持检出两眼瞳距40像素点以上的人脸图片。</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支持单场景同时检出不少于30张人脸图片，并支持面部跟踪。</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人脸检出率不小于99%。</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 xml:space="preserve"> 支持侧脸过滤功能，可过滤上下、左右角度达到预设值的人脸。</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支持人脸区域自动曝光功能，可根据外部不同场景和光照变化自动调节人脸区域曝光参数。</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需支持IP67防尘防水。</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需同时支持DC12V和POE供电，且在不小于DC12V±30%范围内变化时可以正常工作。</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 xml:space="preserve"> 支持透雾自动切换功能，当检测到雾的浓度达到设定的阈值时，可自动在算法透雾和光学透雾之间进行切换。</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 xml:space="preserve"> 辐射骚扰限值应符合GB/T 9254-2008中等级A的规定。</w:t>
            </w:r>
          </w:p>
        </w:tc>
        <w:tc>
          <w:tcPr>
            <w:tcW w:w="242"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台</w:t>
            </w:r>
          </w:p>
        </w:tc>
        <w:tc>
          <w:tcPr>
            <w:tcW w:w="26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14</w:t>
            </w:r>
          </w:p>
        </w:tc>
      </w:tr>
      <w:tr>
        <w:tblPrEx>
          <w:tblCellMar>
            <w:top w:w="0" w:type="dxa"/>
            <w:left w:w="0" w:type="dxa"/>
            <w:bottom w:w="0" w:type="dxa"/>
            <w:right w:w="0" w:type="dxa"/>
          </w:tblCellMar>
        </w:tblPrEx>
        <w:trPr>
          <w:trHeight w:val="402" w:hRule="atLeast"/>
        </w:trPr>
        <w:tc>
          <w:tcPr>
            <w:tcW w:w="162"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rPr>
              <w:t>19</w:t>
            </w:r>
          </w:p>
        </w:tc>
        <w:tc>
          <w:tcPr>
            <w:tcW w:w="246"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rPr>
              <w:t>摄像机支架</w:t>
            </w:r>
          </w:p>
        </w:tc>
        <w:tc>
          <w:tcPr>
            <w:tcW w:w="4084"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rPr>
              <w:t>壁装支架</w:t>
            </w:r>
          </w:p>
        </w:tc>
        <w:tc>
          <w:tcPr>
            <w:tcW w:w="242"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个</w:t>
            </w:r>
          </w:p>
        </w:tc>
        <w:tc>
          <w:tcPr>
            <w:tcW w:w="26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19</w:t>
            </w:r>
          </w:p>
        </w:tc>
      </w:tr>
      <w:tr>
        <w:tblPrEx>
          <w:tblCellMar>
            <w:top w:w="0" w:type="dxa"/>
            <w:left w:w="0" w:type="dxa"/>
            <w:bottom w:w="0" w:type="dxa"/>
            <w:right w:w="0" w:type="dxa"/>
          </w:tblCellMar>
        </w:tblPrEx>
        <w:trPr>
          <w:trHeight w:val="402" w:hRule="atLeast"/>
        </w:trPr>
        <w:tc>
          <w:tcPr>
            <w:tcW w:w="162"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rPr>
              <w:t>20</w:t>
            </w:r>
          </w:p>
        </w:tc>
        <w:tc>
          <w:tcPr>
            <w:tcW w:w="246"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rPr>
              <w:t>访客自助产品</w:t>
            </w:r>
          </w:p>
        </w:tc>
        <w:tc>
          <w:tcPr>
            <w:tcW w:w="408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rPr>
              <w:t>设备硬件配置：工业级主板、四核2.0GHzCPU、64G固态硬盘、DDR3 4GB内存、Win7系统</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设备支持双屏显示，主屏（显示屏）：15.6寸，1920*1080分辨率，支持电容触摸操作；副屏（广告屏）：11.6寸，1366*768分辨率。</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设备内置居民身份证阅读器安全模块；可读取并显示居民身份证芯片内的数据。</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支持200W像素高清摄像；摄像角度可调。</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 xml:space="preserve"> 设备支持访客黑名单管理功能。</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设备内置热敏式打印机，支持将来访者信息直接打印输出。</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 xml:space="preserve"> 设备具有双网口设计。</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设备具有人证比对功能：对来访者进行现场人脸抓拍，与来访者的身份证芯片内的照片进行实时比对，确保实名实证；人证合一后，设备才能进行访客登记操作；认证比对时间：≤1.5s。</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设备支持读取并发放IC卡作为访客卡。</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设备内置激光扫码器，可识别访客单上的条形码或二维码完成签离。</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设备的系统及各主要组成部分应有表明其工作正常的自检功能。</w:t>
            </w:r>
          </w:p>
        </w:tc>
        <w:tc>
          <w:tcPr>
            <w:tcW w:w="242"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台</w:t>
            </w:r>
          </w:p>
        </w:tc>
        <w:tc>
          <w:tcPr>
            <w:tcW w:w="26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1</w:t>
            </w:r>
          </w:p>
        </w:tc>
      </w:tr>
      <w:tr>
        <w:tblPrEx>
          <w:tblCellMar>
            <w:top w:w="0" w:type="dxa"/>
            <w:left w:w="0" w:type="dxa"/>
            <w:bottom w:w="0" w:type="dxa"/>
            <w:right w:w="0" w:type="dxa"/>
          </w:tblCellMar>
        </w:tblPrEx>
        <w:trPr>
          <w:trHeight w:val="402" w:hRule="atLeast"/>
        </w:trPr>
        <w:tc>
          <w:tcPr>
            <w:tcW w:w="162"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rPr>
              <w:t>21</w:t>
            </w:r>
          </w:p>
        </w:tc>
        <w:tc>
          <w:tcPr>
            <w:tcW w:w="246"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rPr>
              <w:t>生物信息采集仪</w:t>
            </w:r>
          </w:p>
        </w:tc>
        <w:tc>
          <w:tcPr>
            <w:tcW w:w="408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rPr>
              <w:t>采用3.97英寸触摸显示屏，屏幕分辨率800*480。</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采用200万双目摄像头，支持人脸采集，并具有照片视频防假功能。</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内置发卡模块，符合ISO 14443 A/B标准，读卡频率13.56MHZ和125KHZ，支持读取 ID卡、Mifare卡、CPU卡、二三代身份证序列号，每人最多10张卡。</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支持有线网络和无线WiFi传输。</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支持白光和红外补光。</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在设备端离线采集方式下，支持输入工号或刷卡开始进行采集。</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支持2000人员数据存储，含2000 人脸图片、20000 张卡片信息。</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设备配置后台可设置5个管理员，分超级管理员权限和普通管理员权限。</w:t>
            </w:r>
          </w:p>
        </w:tc>
        <w:tc>
          <w:tcPr>
            <w:tcW w:w="242"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台</w:t>
            </w:r>
          </w:p>
        </w:tc>
        <w:tc>
          <w:tcPr>
            <w:tcW w:w="26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1</w:t>
            </w:r>
          </w:p>
        </w:tc>
      </w:tr>
      <w:tr>
        <w:tblPrEx>
          <w:tblCellMar>
            <w:top w:w="0" w:type="dxa"/>
            <w:left w:w="0" w:type="dxa"/>
            <w:bottom w:w="0" w:type="dxa"/>
            <w:right w:w="0" w:type="dxa"/>
          </w:tblCellMar>
        </w:tblPrEx>
        <w:trPr>
          <w:trHeight w:val="402" w:hRule="atLeast"/>
        </w:trPr>
        <w:tc>
          <w:tcPr>
            <w:tcW w:w="162"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rPr>
              <w:t>22</w:t>
            </w:r>
          </w:p>
        </w:tc>
        <w:tc>
          <w:tcPr>
            <w:tcW w:w="246"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rPr>
              <w:t>接入交换机</w:t>
            </w:r>
          </w:p>
        </w:tc>
        <w:tc>
          <w:tcPr>
            <w:tcW w:w="4084"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rPr>
              <w:t xml:space="preserve">端口及硬件要求 ≥24个10/100/1000M,以太网电接口≥2个千兆光接口,特性,拨码开关 ;交换容量 ≥56Gbps </w:t>
            </w:r>
          </w:p>
        </w:tc>
        <w:tc>
          <w:tcPr>
            <w:tcW w:w="242"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个</w:t>
            </w:r>
          </w:p>
        </w:tc>
        <w:tc>
          <w:tcPr>
            <w:tcW w:w="26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2</w:t>
            </w:r>
          </w:p>
        </w:tc>
      </w:tr>
      <w:tr>
        <w:tblPrEx>
          <w:tblCellMar>
            <w:top w:w="0" w:type="dxa"/>
            <w:left w:w="0" w:type="dxa"/>
            <w:bottom w:w="0" w:type="dxa"/>
            <w:right w:w="0" w:type="dxa"/>
          </w:tblCellMar>
        </w:tblPrEx>
        <w:trPr>
          <w:trHeight w:val="402" w:hRule="atLeast"/>
        </w:trPr>
        <w:tc>
          <w:tcPr>
            <w:tcW w:w="162"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rPr>
              <w:t>23</w:t>
            </w:r>
          </w:p>
        </w:tc>
        <w:tc>
          <w:tcPr>
            <w:tcW w:w="246"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rPr>
              <w:t>网线</w:t>
            </w:r>
          </w:p>
        </w:tc>
        <w:tc>
          <w:tcPr>
            <w:tcW w:w="4084"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rPr>
              <w:t>6类，非屏蔽网线</w:t>
            </w:r>
          </w:p>
        </w:tc>
        <w:tc>
          <w:tcPr>
            <w:tcW w:w="242"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箱</w:t>
            </w:r>
          </w:p>
        </w:tc>
        <w:tc>
          <w:tcPr>
            <w:tcW w:w="26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7</w:t>
            </w:r>
          </w:p>
        </w:tc>
      </w:tr>
      <w:tr>
        <w:tblPrEx>
          <w:tblCellMar>
            <w:top w:w="0" w:type="dxa"/>
            <w:left w:w="0" w:type="dxa"/>
            <w:bottom w:w="0" w:type="dxa"/>
            <w:right w:w="0" w:type="dxa"/>
          </w:tblCellMar>
        </w:tblPrEx>
        <w:trPr>
          <w:trHeight w:val="402" w:hRule="atLeast"/>
        </w:trPr>
        <w:tc>
          <w:tcPr>
            <w:tcW w:w="162"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rPr>
              <w:t>24</w:t>
            </w:r>
          </w:p>
        </w:tc>
        <w:tc>
          <w:tcPr>
            <w:tcW w:w="246"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rPr>
              <w:t>机柜</w:t>
            </w:r>
          </w:p>
        </w:tc>
        <w:tc>
          <w:tcPr>
            <w:tcW w:w="4084"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rPr>
              <w:t>6U，550mm*400mm*350mm</w:t>
            </w:r>
          </w:p>
        </w:tc>
        <w:tc>
          <w:tcPr>
            <w:tcW w:w="242"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个</w:t>
            </w:r>
          </w:p>
        </w:tc>
        <w:tc>
          <w:tcPr>
            <w:tcW w:w="26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2</w:t>
            </w:r>
          </w:p>
        </w:tc>
      </w:tr>
      <w:tr>
        <w:tblPrEx>
          <w:tblCellMar>
            <w:top w:w="0" w:type="dxa"/>
            <w:left w:w="0" w:type="dxa"/>
            <w:bottom w:w="0" w:type="dxa"/>
            <w:right w:w="0" w:type="dxa"/>
          </w:tblCellMar>
        </w:tblPrEx>
        <w:trPr>
          <w:trHeight w:val="402" w:hRule="atLeast"/>
        </w:trPr>
        <w:tc>
          <w:tcPr>
            <w:tcW w:w="162"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rPr>
              <w:t>25</w:t>
            </w:r>
          </w:p>
        </w:tc>
        <w:tc>
          <w:tcPr>
            <w:tcW w:w="246"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rPr>
              <w:t>光纤</w:t>
            </w:r>
          </w:p>
        </w:tc>
        <w:tc>
          <w:tcPr>
            <w:tcW w:w="4084"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rPr>
              <w:t>4芯单模</w:t>
            </w:r>
          </w:p>
        </w:tc>
        <w:tc>
          <w:tcPr>
            <w:tcW w:w="242"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米</w:t>
            </w:r>
          </w:p>
        </w:tc>
        <w:tc>
          <w:tcPr>
            <w:tcW w:w="26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4500</w:t>
            </w:r>
          </w:p>
        </w:tc>
      </w:tr>
      <w:tr>
        <w:tblPrEx>
          <w:tblCellMar>
            <w:top w:w="0" w:type="dxa"/>
            <w:left w:w="0" w:type="dxa"/>
            <w:bottom w:w="0" w:type="dxa"/>
            <w:right w:w="0" w:type="dxa"/>
          </w:tblCellMar>
        </w:tblPrEx>
        <w:trPr>
          <w:trHeight w:val="402" w:hRule="atLeast"/>
        </w:trPr>
        <w:tc>
          <w:tcPr>
            <w:tcW w:w="162"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rPr>
              <w:t>26</w:t>
            </w:r>
          </w:p>
        </w:tc>
        <w:tc>
          <w:tcPr>
            <w:tcW w:w="246"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rPr>
              <w:t>光纤收发器</w:t>
            </w:r>
          </w:p>
        </w:tc>
        <w:tc>
          <w:tcPr>
            <w:tcW w:w="4084"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rPr>
              <w:t>光纤收发器：4路；工作波长：1310nm或1550nm；光纤数量：1芯或2芯；MTBF：＞100,000小时；支持全/半双工；传输距离：光口可达100km；电口0～120米；支持IEEE802.3、IEEE802.3x网络标准；工作温度：-20℃～+85℃；</w:t>
            </w:r>
          </w:p>
        </w:tc>
        <w:tc>
          <w:tcPr>
            <w:tcW w:w="242"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对</w:t>
            </w:r>
          </w:p>
        </w:tc>
        <w:tc>
          <w:tcPr>
            <w:tcW w:w="26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20</w:t>
            </w:r>
          </w:p>
        </w:tc>
      </w:tr>
      <w:tr>
        <w:tblPrEx>
          <w:tblCellMar>
            <w:top w:w="0" w:type="dxa"/>
            <w:left w:w="0" w:type="dxa"/>
            <w:bottom w:w="0" w:type="dxa"/>
            <w:right w:w="0" w:type="dxa"/>
          </w:tblCellMar>
        </w:tblPrEx>
        <w:trPr>
          <w:trHeight w:val="402" w:hRule="atLeast"/>
        </w:trPr>
        <w:tc>
          <w:tcPr>
            <w:tcW w:w="162"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rPr>
              <w:t>27</w:t>
            </w:r>
          </w:p>
        </w:tc>
        <w:tc>
          <w:tcPr>
            <w:tcW w:w="246"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rPr>
              <w:t>电源线</w:t>
            </w:r>
          </w:p>
        </w:tc>
        <w:tc>
          <w:tcPr>
            <w:tcW w:w="4084"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rPr>
              <w:t>主干采用RVV 2*2平方，支线采用2*1平方</w:t>
            </w:r>
          </w:p>
        </w:tc>
        <w:tc>
          <w:tcPr>
            <w:tcW w:w="242"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米</w:t>
            </w:r>
          </w:p>
        </w:tc>
        <w:tc>
          <w:tcPr>
            <w:tcW w:w="26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8000</w:t>
            </w:r>
          </w:p>
        </w:tc>
      </w:tr>
      <w:tr>
        <w:tblPrEx>
          <w:tblCellMar>
            <w:top w:w="0" w:type="dxa"/>
            <w:left w:w="0" w:type="dxa"/>
            <w:bottom w:w="0" w:type="dxa"/>
            <w:right w:w="0" w:type="dxa"/>
          </w:tblCellMar>
        </w:tblPrEx>
        <w:trPr>
          <w:trHeight w:val="402" w:hRule="atLeast"/>
        </w:trPr>
        <w:tc>
          <w:tcPr>
            <w:tcW w:w="162"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rPr>
              <w:t>28</w:t>
            </w:r>
          </w:p>
        </w:tc>
        <w:tc>
          <w:tcPr>
            <w:tcW w:w="246"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rPr>
              <w:t>施工及辅材</w:t>
            </w:r>
          </w:p>
        </w:tc>
        <w:tc>
          <w:tcPr>
            <w:tcW w:w="4084"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rPr>
              <w:t>施工：水泥路面切割、开沟及恢复。宽10CM*20CM深，过路部分必须为50以上国标镀锌钢管，包含旧设备的拆卸以及新设备的安装。辅材：含尾纤、光纤跳线、PVC管材、挂钩等其他辅材；</w:t>
            </w:r>
          </w:p>
        </w:tc>
        <w:tc>
          <w:tcPr>
            <w:tcW w:w="242"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套</w:t>
            </w:r>
          </w:p>
        </w:tc>
        <w:tc>
          <w:tcPr>
            <w:tcW w:w="26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348</w:t>
            </w:r>
          </w:p>
        </w:tc>
      </w:tr>
      <w:tr>
        <w:tblPrEx>
          <w:tblCellMar>
            <w:top w:w="0" w:type="dxa"/>
            <w:left w:w="0" w:type="dxa"/>
            <w:bottom w:w="0" w:type="dxa"/>
            <w:right w:w="0" w:type="dxa"/>
          </w:tblCellMar>
        </w:tblPrEx>
        <w:trPr>
          <w:trHeight w:val="402" w:hRule="atLeast"/>
        </w:trPr>
        <w:tc>
          <w:tcPr>
            <w:tcW w:w="162"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rPr>
              <w:t>29</w:t>
            </w:r>
          </w:p>
        </w:tc>
        <w:tc>
          <w:tcPr>
            <w:tcW w:w="246"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rPr>
              <w:t>LCD拼接屏</w:t>
            </w:r>
          </w:p>
        </w:tc>
        <w:tc>
          <w:tcPr>
            <w:tcW w:w="408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rPr>
              <w:t>LCD显示单元为：46“超窄边液晶屏；物理分辨率达到1920×1080，响应时间≤8ms。</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LCD显示单元物理拼缝≤3.5mm，亮度达到610cd/㎡，对比度达到1200:1，图像显示清晰度≥950TVL，亮度鉴别等级为11级。</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LCD显示单元具备VGA×1，HDMI×1，DVI×1，BNC×1视频输入接口，具备RS232×2，USB×1，红外*1控制接口</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 xml:space="preserve"> 液晶显示单元具有色坐标一致性，根据CIE1931标准色度系统，液晶显示单元色坐标误差在±0.001以内。</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 xml:space="preserve"> 液晶显示单元的风扇具备良好的散热效果，风扇散热性能≥60%。</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 xml:space="preserve"> 液晶显示单元客户端具备能力集收集、设备工作状态展示功能。</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 xml:space="preserve"> 液晶显示单元连续运行24小时，液晶表面中心温度≤50℃，边缘测试点与中心温差≤10℃。</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 xml:space="preserve"> 液晶显示单元具有帧宽度调节技术，通过调节画面宽度，解决输入信号四周黑边问题。</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 xml:space="preserve"> 液晶拼接屏必须采用整机设计，严禁使用飞线屏（供货时如果发现飞线屏，业主有权取消中标资格），显示屏具备完整后壳，不得以支架或挡板替代，无任何裸露在外的电路线，整体美观大方，而且产品符合检测规范，可提供国家级检测机构出具的检测报告里的样品照片佐证。</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 xml:space="preserve"> LCD显示单元支持HDTVI同轴高清视频信号，带一入一出环通接口。支持分辨率：720P@50Hz/60Hz、720P@25Hz/30Hz、1080P@25Hz/30Hz。</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LCD显示单元采用超宽视角液晶屏，视角可达178°。屏幕漏光度小于等于0.006cd/㎡，可</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LCD显示单元具备智能光感护眼功能,液晶单元可自动识别环境光强弱,根据环境光变化调节屏幕亮度，需提供国家知识产权局颁发的大屏拼接墙光线感应装置专利证书。</w:t>
            </w:r>
          </w:p>
        </w:tc>
        <w:tc>
          <w:tcPr>
            <w:tcW w:w="242"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台</w:t>
            </w:r>
          </w:p>
        </w:tc>
        <w:tc>
          <w:tcPr>
            <w:tcW w:w="26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12</w:t>
            </w:r>
          </w:p>
        </w:tc>
      </w:tr>
      <w:tr>
        <w:tblPrEx>
          <w:tblCellMar>
            <w:top w:w="0" w:type="dxa"/>
            <w:left w:w="0" w:type="dxa"/>
            <w:bottom w:w="0" w:type="dxa"/>
            <w:right w:w="0" w:type="dxa"/>
          </w:tblCellMar>
        </w:tblPrEx>
        <w:trPr>
          <w:trHeight w:val="402" w:hRule="atLeast"/>
        </w:trPr>
        <w:tc>
          <w:tcPr>
            <w:tcW w:w="162"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rPr>
              <w:t>30</w:t>
            </w:r>
          </w:p>
        </w:tc>
        <w:tc>
          <w:tcPr>
            <w:tcW w:w="246"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rPr>
              <w:t>LCD屏支架</w:t>
            </w:r>
          </w:p>
        </w:tc>
        <w:tc>
          <w:tcPr>
            <w:tcW w:w="4084"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rPr>
              <w:t>定制</w:t>
            </w:r>
          </w:p>
        </w:tc>
        <w:tc>
          <w:tcPr>
            <w:tcW w:w="242"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个</w:t>
            </w:r>
          </w:p>
        </w:tc>
        <w:tc>
          <w:tcPr>
            <w:tcW w:w="26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12</w:t>
            </w:r>
          </w:p>
        </w:tc>
      </w:tr>
      <w:tr>
        <w:tblPrEx>
          <w:tblCellMar>
            <w:top w:w="0" w:type="dxa"/>
            <w:left w:w="0" w:type="dxa"/>
            <w:bottom w:w="0" w:type="dxa"/>
            <w:right w:w="0" w:type="dxa"/>
          </w:tblCellMar>
        </w:tblPrEx>
        <w:trPr>
          <w:trHeight w:val="402" w:hRule="atLeast"/>
        </w:trPr>
        <w:tc>
          <w:tcPr>
            <w:tcW w:w="162"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rPr>
              <w:t>31</w:t>
            </w:r>
          </w:p>
        </w:tc>
        <w:tc>
          <w:tcPr>
            <w:tcW w:w="246"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rPr>
              <w:t>LCD屏底座</w:t>
            </w:r>
          </w:p>
        </w:tc>
        <w:tc>
          <w:tcPr>
            <w:tcW w:w="4084"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rPr>
              <w:t>定制</w:t>
            </w:r>
          </w:p>
        </w:tc>
        <w:tc>
          <w:tcPr>
            <w:tcW w:w="242"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个</w:t>
            </w:r>
          </w:p>
        </w:tc>
        <w:tc>
          <w:tcPr>
            <w:tcW w:w="26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4</w:t>
            </w:r>
          </w:p>
        </w:tc>
      </w:tr>
      <w:tr>
        <w:tblPrEx>
          <w:tblCellMar>
            <w:top w:w="0" w:type="dxa"/>
            <w:left w:w="0" w:type="dxa"/>
            <w:bottom w:w="0" w:type="dxa"/>
            <w:right w:w="0" w:type="dxa"/>
          </w:tblCellMar>
        </w:tblPrEx>
        <w:trPr>
          <w:trHeight w:val="402" w:hRule="atLeast"/>
        </w:trPr>
        <w:tc>
          <w:tcPr>
            <w:tcW w:w="162"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rPr>
              <w:t>32</w:t>
            </w:r>
          </w:p>
        </w:tc>
        <w:tc>
          <w:tcPr>
            <w:tcW w:w="246"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rPr>
              <w:t>超高清视频处理器</w:t>
            </w:r>
          </w:p>
        </w:tc>
        <w:tc>
          <w:tcPr>
            <w:tcW w:w="408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rPr>
              <w:t>高清视音频解码器，采用Linux操作系统，运行稳定可靠</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输入接口：支持一路VGA和一路DVI接入</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输出接口：支持16路HDMI和8路BNC输出，HDMI（可以转DVI-D）（奇数口）输出分辨率最高支持4K（3840*2160@30HZ）</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编码格式：支持H.265、H.264、MPEG4、MJPEG等主流的编码格式；</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封装格式：支持PS、RTP、TS、ES等主流的封装格式；</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音频解码：支持G.722、G.711A、G.726、G.711U、MPEG2-L2、AAC音频格式的解码；</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解码能力：支持16路1200W，或32路800W，或48路500W，或80路300W，或128路1080P及以下分辨率同时实时解码；</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画面分割：支持1、2、4、6、8、9、10、12、16、25、36画面分割显示。</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网络接口：2个RJ45 10M/100M/1000Mbps自适应管理网口</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2个RJ45 10M/100M/1000Mbps自适应以太网接口</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16个RJ45 10M/100M自适应以太网接口</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音频接口：支持16路音频输出，1路对讲输入，1路对讲输出</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串行接口：一个标准232接口（RJ45）、一个标准485接口</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报警接口：8路报警输入，8路报警输出</w:t>
            </w:r>
          </w:p>
        </w:tc>
        <w:tc>
          <w:tcPr>
            <w:tcW w:w="242"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台</w:t>
            </w:r>
          </w:p>
        </w:tc>
        <w:tc>
          <w:tcPr>
            <w:tcW w:w="26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1</w:t>
            </w:r>
          </w:p>
        </w:tc>
      </w:tr>
      <w:tr>
        <w:tblPrEx>
          <w:tblCellMar>
            <w:top w:w="0" w:type="dxa"/>
            <w:left w:w="0" w:type="dxa"/>
            <w:bottom w:w="0" w:type="dxa"/>
            <w:right w:w="0" w:type="dxa"/>
          </w:tblCellMar>
        </w:tblPrEx>
        <w:trPr>
          <w:trHeight w:val="402" w:hRule="atLeast"/>
        </w:trPr>
        <w:tc>
          <w:tcPr>
            <w:tcW w:w="162"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rPr>
              <w:t>33</w:t>
            </w:r>
          </w:p>
        </w:tc>
        <w:tc>
          <w:tcPr>
            <w:tcW w:w="246"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rPr>
              <w:t>宿舍人脸比对服务器</w:t>
            </w:r>
          </w:p>
        </w:tc>
        <w:tc>
          <w:tcPr>
            <w:tcW w:w="408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cs="宋体"/>
                <w:color w:val="000000"/>
                <w:kern w:val="0"/>
                <w:sz w:val="22"/>
                <w:szCs w:val="22"/>
              </w:rPr>
            </w:pPr>
            <w:r>
              <w:rPr>
                <w:rFonts w:hint="eastAsia" w:ascii="宋体" w:hAnsi="宋体" w:cs="宋体"/>
                <w:color w:val="000000"/>
                <w:kern w:val="0"/>
                <w:sz w:val="22"/>
                <w:szCs w:val="22"/>
              </w:rPr>
              <w:t>硬件规格：2U标准机架式，2个HDMI，2个VGA,HDMI+VGA组内同源</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8盘位，可满配8T硬盘，2个千兆网口，2个USB2.0接口、1个USB3.0接口</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1个eSATA接口，支持RAID0、1、5、10，支持全局热备盘</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报警IO：16进4出(选配16进8出)。</w:t>
            </w:r>
          </w:p>
          <w:p>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rPr>
              <w:t>软件性能：输入带宽：128M，8路H.264、H.265混合接入，最大支持16×1080P解码，支持H.265、H.264解码</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名单库比对报警（8路图片流或8路视频流）</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32个人脸名单库，总库容10万张路人档案10万份</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支持陌生人报警</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支持人员频次统计</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支持人脸签到和考勤</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支持人脸1V1比对</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支持以脸搜脸、按姓名检索、按属性检索</w:t>
            </w:r>
          </w:p>
        </w:tc>
        <w:tc>
          <w:tcPr>
            <w:tcW w:w="242"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台</w:t>
            </w:r>
          </w:p>
        </w:tc>
        <w:tc>
          <w:tcPr>
            <w:tcW w:w="26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1</w:t>
            </w:r>
          </w:p>
        </w:tc>
      </w:tr>
      <w:tr>
        <w:tblPrEx>
          <w:tblCellMar>
            <w:top w:w="0" w:type="dxa"/>
            <w:left w:w="0" w:type="dxa"/>
            <w:bottom w:w="0" w:type="dxa"/>
            <w:right w:w="0" w:type="dxa"/>
          </w:tblCellMar>
        </w:tblPrEx>
        <w:trPr>
          <w:trHeight w:val="402" w:hRule="atLeast"/>
        </w:trPr>
        <w:tc>
          <w:tcPr>
            <w:tcW w:w="162"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rPr>
              <w:t>34</w:t>
            </w:r>
          </w:p>
        </w:tc>
        <w:tc>
          <w:tcPr>
            <w:tcW w:w="246"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rPr>
              <w:t>重点区域人脸比对服务器</w:t>
            </w:r>
          </w:p>
        </w:tc>
        <w:tc>
          <w:tcPr>
            <w:tcW w:w="408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rPr>
              <w:t>硬件规格：</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2U标准机架式</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2个HDMI，2个VGA,HDMI+VGA组内同源</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8盘位，可满配8T硬盘</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2个千兆网口</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2个USB2.0接口、1个USB3.0接口</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1个eSATA接口</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支持RAID0、1、5、10，支持全局热备盘</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报警IO：16进4出(选配16进8出)</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软件性能：</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输入带宽：320M</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16路H.264、H.265混合接入</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最大支持16×1080P解码</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支持H.265、H.264解码</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支持人脸、周界、视频结构化三种模式切换，默认人脸模式</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一、人脸模式性能：</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名单库比对报警（16路图片流或8路视频流）</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32个人脸名单库，总库容10万张</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 xml:space="preserve">路人档案10万份 </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支持陌生人报警</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支持人员频次统计</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支持人脸签到和考勤</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支持人脸1V1比对</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支持以脸搜脸、按姓名检索、按属性检索</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（说明：人脸模式最高支持800W分辨率）</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二、周界模式性能：</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最高支持16路常规距离检测周界（200W视频流）</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或最高支持12路中距离检测周界（200W视频流）</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或最高支持8路远距离检测周界（200W视频流）</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（说明：周界模式最高支持800W分辨率，换算关系4路200W=2路 400W=1路 800W）</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三、视频结构化模式性能：</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4路视频流实时人体、人脸、车辆结构化分析（200W），同时支持8路图片流人脸比对</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1)支持人脸分析+比对，支持人脸以图搜图</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2)支持人体分析</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本地展示人体属性（性别、年龄段、上衣颜色、骑车、背包、戴眼镜）</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可上传平台的人体属性（性别、年龄段、上衣颜色、骑车、背包、戴眼镜、下衣颜色、上衣类型、下衣类型、发型、戴帽子、戴口罩、拎东西、骑车人数、骑车类型）</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支持人体建模，支持以人搜人</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3)支持车辆分析</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本地展示同可上传平台属性（车牌号码、车牌类型、车牌颜色、车身颜色、车辆类型、车辆主品牌）</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支持车辆黑白名单报警</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（说明：视频结构化模式最高支持800W分辨率，换算关系4路200W=2路 400W=1路 800W）</w:t>
            </w:r>
          </w:p>
        </w:tc>
        <w:tc>
          <w:tcPr>
            <w:tcW w:w="242"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台</w:t>
            </w:r>
          </w:p>
        </w:tc>
        <w:tc>
          <w:tcPr>
            <w:tcW w:w="26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1</w:t>
            </w:r>
          </w:p>
        </w:tc>
      </w:tr>
      <w:tr>
        <w:tblPrEx>
          <w:tblCellMar>
            <w:top w:w="0" w:type="dxa"/>
            <w:left w:w="0" w:type="dxa"/>
            <w:bottom w:w="0" w:type="dxa"/>
            <w:right w:w="0" w:type="dxa"/>
          </w:tblCellMar>
        </w:tblPrEx>
        <w:trPr>
          <w:trHeight w:val="402" w:hRule="atLeast"/>
        </w:trPr>
        <w:tc>
          <w:tcPr>
            <w:tcW w:w="162"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rPr>
              <w:t>35</w:t>
            </w:r>
          </w:p>
        </w:tc>
        <w:tc>
          <w:tcPr>
            <w:tcW w:w="246"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rPr>
              <w:t>硬盘</w:t>
            </w:r>
          </w:p>
        </w:tc>
        <w:tc>
          <w:tcPr>
            <w:tcW w:w="4084"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rPr>
              <w:t>4T,3.5寸,SATA</w:t>
            </w:r>
          </w:p>
        </w:tc>
        <w:tc>
          <w:tcPr>
            <w:tcW w:w="242"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块</w:t>
            </w:r>
          </w:p>
        </w:tc>
        <w:tc>
          <w:tcPr>
            <w:tcW w:w="26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4</w:t>
            </w:r>
          </w:p>
        </w:tc>
      </w:tr>
      <w:tr>
        <w:tblPrEx>
          <w:tblCellMar>
            <w:top w:w="0" w:type="dxa"/>
            <w:left w:w="0" w:type="dxa"/>
            <w:bottom w:w="0" w:type="dxa"/>
            <w:right w:w="0" w:type="dxa"/>
          </w:tblCellMar>
        </w:tblPrEx>
        <w:trPr>
          <w:trHeight w:val="402" w:hRule="atLeast"/>
        </w:trPr>
        <w:tc>
          <w:tcPr>
            <w:tcW w:w="162"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rPr>
              <w:t>36</w:t>
            </w:r>
          </w:p>
        </w:tc>
        <w:tc>
          <w:tcPr>
            <w:tcW w:w="246"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rPr>
              <w:t>网络存储设备</w:t>
            </w:r>
          </w:p>
        </w:tc>
        <w:tc>
          <w:tcPr>
            <w:tcW w:w="408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rPr>
              <w:t>单设备应配置≥64位多核处理器，≥4GB内存，内存支持扩展到≥32GB，需配置冗余金牌电源，支持双系统</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 xml:space="preserve"> 单设备应标配≥2个千兆网口，可增扩≥2个万兆口或≥2个光纤接口或增配≥4个HDMI接口或≥2个SAS3.0接口</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 xml:space="preserve"> 应支持FCSAN、IPSAN、NAS存储功能</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可接入硬盘≥36块，支持SATA和SAS混插，并支持≥12级扩展柜级联扩展；内含36块6T硬盘。</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应能提供RAID0、1、3、5、6、10、50，60、JBOD模式，支持全局、局部等多种热备选择，支持坏盘自动重构；</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 xml:space="preserve"> 设备可对视音频、图片、智能数据（智能行为分析录像）流进行混合直存，无须存储服务器和图片服务器的参与，平台服务器宕机时，存储业务正常</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应能接入并存储1880Mbps视频图像，同时转发1880Mbps的视频图像；同时回放512Mbps的视频图像；</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 xml:space="preserve"> 支持不低于600MBps图片并发输入，同时不低于600MBps图片并发输出</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 xml:space="preserve"> 当RAID中某块工作正常的硬盘被误拔出后，60分钟内插回，该硬盘能恢复到原RAID中，系统自动恢复工作，而且会对拔掉的硬盘进行增量数据恢复</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 xml:space="preserve"> 在RAID内丢失2块（含）以上硬盘但至少有1块正常磁盘时，无需等待丢失盘恢复，保留的硬盘中的数据可正常读出，且新数据可正常写入</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 xml:space="preserve"> 可在视频画面上绘制区域或界线，检索指定范围内的报警录像； 可输入车牌号码可查证出相关图片和视频；可按照报警事件进行检索。 可通过客户端将交通卡口数据（包括车标、车道、车速范围、车牌及车身颜色），行为分析的图片及数据（包括进入警戒线、进入警戒区、物品遗留、人脸检测）进行检索、查看、下载图片及进行录像</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 xml:space="preserve"> 设备可同时支持视频、图片、智能流和文件直写存储。</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 xml:space="preserve"> 支持多路文件采用非NAS方式直接上传存储，且速度可设置。</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具有ONVIF、PSIA、TCP/IP、UDP、SIP、RTSP、RTP、RTCP、iSCSI、CIFS(SMB)、NFS、FTP、HTTP、AFP、RSYNC、SNMP、IPV4、IPV6设置选项，支持IP组播</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 xml:space="preserve"> 可通过IE浏览器对一台、多台样机或扩展柜中的磁盘进行定位，使对应的磁盘指示灯闪烁，闪烁的时长可设；</w:t>
            </w:r>
          </w:p>
        </w:tc>
        <w:tc>
          <w:tcPr>
            <w:tcW w:w="242"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台</w:t>
            </w:r>
          </w:p>
        </w:tc>
        <w:tc>
          <w:tcPr>
            <w:tcW w:w="26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1</w:t>
            </w:r>
          </w:p>
        </w:tc>
      </w:tr>
      <w:tr>
        <w:tblPrEx>
          <w:tblCellMar>
            <w:top w:w="0" w:type="dxa"/>
            <w:left w:w="0" w:type="dxa"/>
            <w:bottom w:w="0" w:type="dxa"/>
            <w:right w:w="0" w:type="dxa"/>
          </w:tblCellMar>
        </w:tblPrEx>
        <w:trPr>
          <w:trHeight w:val="402" w:hRule="atLeast"/>
        </w:trPr>
        <w:tc>
          <w:tcPr>
            <w:tcW w:w="162"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rPr>
              <w:t>37</w:t>
            </w:r>
          </w:p>
        </w:tc>
        <w:tc>
          <w:tcPr>
            <w:tcW w:w="246"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rPr>
              <w:t>网络键盘</w:t>
            </w:r>
          </w:p>
        </w:tc>
        <w:tc>
          <w:tcPr>
            <w:tcW w:w="408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rPr>
              <w:t>解码参数</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最大解码分辨率：4路1080P或1路4K</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环境参数</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工作温度：-10℃--＋55℃</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工作湿度：10％--90％</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外部接口</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网络接口：1个</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WiFi：1个</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串行接口：不支持</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语音对讲输入：1个，3.5mm立体声</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语音对讲输出：1个，3.5mm立体声</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摇杆类型：四维单按键摇杆</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USB接口：USB2.0x2</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视频接口：DVIx1;HDMIx1</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屏幕区和摇杆区采用分体设计</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支持网络方式接入本司全系列DVR、DVS、NVR、网络摄像机、球机等设备</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支持在触控屏上预览图像或通过HDMI/DVI将图像投到外接显示屏上</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支持控制视频综合平台、解码器、多屏控制器或NVR&amp;解码上墙一体机，直观展示电视墙布局</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支持云台控制，支持预置点、巡航和轨迹的设置与调用</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支持回放硬盘录像机上的录像文件，支持控制解码器回放</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支持抓图、录像功能，文件保存至U盘或上传至FTP服务器</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支持最多添加8000台设备，支持以ONVIF协议接入设备</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支持通过excel批量添加监控点位，借助U盘导入</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两级用户权限，支持32个用户 ，1个admin管理员用户和31个操作员用户</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支持接入iSecure（海豚）平台</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支持U盘升级及导入/导出配置文件</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支持接入综合安防平台</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支持语音识别，通过指定的语音指令实现快捷切换操作。</w:t>
            </w:r>
          </w:p>
        </w:tc>
        <w:tc>
          <w:tcPr>
            <w:tcW w:w="242"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台</w:t>
            </w:r>
          </w:p>
        </w:tc>
        <w:tc>
          <w:tcPr>
            <w:tcW w:w="26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1</w:t>
            </w:r>
          </w:p>
        </w:tc>
      </w:tr>
      <w:tr>
        <w:tblPrEx>
          <w:tblCellMar>
            <w:top w:w="0" w:type="dxa"/>
            <w:left w:w="0" w:type="dxa"/>
            <w:bottom w:w="0" w:type="dxa"/>
            <w:right w:w="0" w:type="dxa"/>
          </w:tblCellMar>
        </w:tblPrEx>
        <w:trPr>
          <w:trHeight w:val="402" w:hRule="atLeast"/>
        </w:trPr>
        <w:tc>
          <w:tcPr>
            <w:tcW w:w="162"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rPr>
              <w:t>38</w:t>
            </w:r>
          </w:p>
        </w:tc>
        <w:tc>
          <w:tcPr>
            <w:tcW w:w="246" w:type="pct"/>
            <w:tcBorders>
              <w:top w:val="nil"/>
              <w:left w:val="nil"/>
              <w:bottom w:val="nil"/>
              <w:right w:val="nil"/>
            </w:tcBorders>
            <w:shd w:val="clear" w:color="auto" w:fill="auto"/>
            <w:noWrap/>
            <w:tcMar>
              <w:top w:w="15" w:type="dxa"/>
              <w:left w:w="15" w:type="dxa"/>
              <w:right w:w="15" w:type="dxa"/>
            </w:tcMar>
            <w:vAlign w:val="center"/>
          </w:tcPr>
          <w:p>
            <w:pPr>
              <w:widowControl/>
              <w:jc w:val="left"/>
              <w:textAlignment w:val="center"/>
              <w:rPr>
                <w:rFonts w:ascii="宋体" w:hAnsi="宋体" w:cs="宋体"/>
                <w:color w:val="000000"/>
                <w:sz w:val="24"/>
              </w:rPr>
            </w:pPr>
            <w:r>
              <w:rPr>
                <w:rFonts w:hint="eastAsia" w:ascii="宋体" w:hAnsi="宋体" w:cs="宋体"/>
                <w:color w:val="000000"/>
                <w:kern w:val="0"/>
                <w:sz w:val="24"/>
              </w:rPr>
              <w:t>监控管理平台</w:t>
            </w:r>
          </w:p>
        </w:tc>
        <w:tc>
          <w:tcPr>
            <w:tcW w:w="4084" w:type="pct"/>
            <w:tcBorders>
              <w:top w:val="single" w:color="000000" w:sz="4" w:space="0"/>
              <w:left w:val="single" w:color="000000" w:sz="4" w:space="0"/>
              <w:bottom w:val="nil"/>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rPr>
              <w:t>综合安防管理平台是整个校园安防系统的核心和中枢系统，本次系统建设要求提供一套安防管理平台统一管理视频监控、一卡通、人脸管控、报警检测、访客管理、周界智能预警、综合管控等应用。实现安防系统的智能化应用及统一集成化管理。系统功能要求如下：</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1. 视频监控系统：实现实时预览、云台控制、录像回放等视频监控功能。实现统一身份认证和权限控制、组织与角色管理维护、设备集中管理、任务计划执行和调度、报警规则与处理管理、电子地图集中配置、设备巡检和日志管理等功能；</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2. 本次采购平台含宿管考勤、校门口考勤、门禁管理、考勤管理、访客管理、智能监控等系统。 支持BS客户端、CS客户端、移动客户端（Android、iOS）视频预览，支持多浏览器实时预览；（检测报告证明）；</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智能应用系统：支持多种智能模式，包括智能行为分析、人脸识别、智能质量诊断、智能后检索等； 要求支持访客条码（登记之后打印出来的访客单）、二维码、身份证、IC卡、人脸等多种介质授权通行门禁、可视对讲、梯控、停车场；支持访客身份证人证合一验证；</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要求支持学校大门口考勤统计、宿舍楼考勤统计，教职工考勤统计。</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 xml:space="preserve"> 系统安全要求：要求运行管理中心提供统一的认证、授权管理机制，支持HTTPS以及密码安全加密访问认证，要求支持AD域（检测报告证明）；</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 xml:space="preserve"> 要求支持多色彩（如红、橙、黄）展示运行告警状态，支持告警统计、概览、处理，支持告警记录查看、查询，支持告警单条、批量处理；支持系统最近7天每日告警数统计，支持评分量化系统监控指数，显示系统运行状态（检测报告证明）；</w:t>
            </w:r>
          </w:p>
        </w:tc>
        <w:tc>
          <w:tcPr>
            <w:tcW w:w="242"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套</w:t>
            </w:r>
          </w:p>
        </w:tc>
        <w:tc>
          <w:tcPr>
            <w:tcW w:w="26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1</w:t>
            </w:r>
          </w:p>
        </w:tc>
      </w:tr>
      <w:tr>
        <w:tblPrEx>
          <w:tblCellMar>
            <w:top w:w="0" w:type="dxa"/>
            <w:left w:w="0" w:type="dxa"/>
            <w:bottom w:w="0" w:type="dxa"/>
            <w:right w:w="0" w:type="dxa"/>
          </w:tblCellMar>
        </w:tblPrEx>
        <w:trPr>
          <w:trHeight w:val="1342" w:hRule="atLeast"/>
        </w:trPr>
        <w:tc>
          <w:tcPr>
            <w:tcW w:w="162"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rPr>
              <w:t>39</w:t>
            </w:r>
          </w:p>
        </w:tc>
        <w:tc>
          <w:tcPr>
            <w:tcW w:w="246"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cs="宋体"/>
                <w:color w:val="000000"/>
                <w:sz w:val="22"/>
                <w:szCs w:val="22"/>
              </w:rPr>
            </w:pPr>
            <w:r>
              <w:rPr>
                <w:rFonts w:ascii="宋体" w:hAnsi="宋体" w:cs="宋体"/>
                <w:color w:val="000000"/>
                <w:kern w:val="0"/>
                <w:sz w:val="22"/>
                <w:szCs w:val="22"/>
              </w:rPr>
              <w:pict>
                <v:shape id="_x0000_s1028" o:spid="_x0000_s1028" o:spt="32" type="#_x0000_t32" style="position:absolute;left:0pt;flip:y;margin-left:21.9pt;margin-top:-8.25pt;height:1.7pt;width:416.9pt;z-index:251660288;mso-width-relative:page;mso-height-relative:page;" o:connectortype="straight" filled="f" coordsize="21600,21600">
                  <v:path arrowok="t"/>
                  <v:fill on="f" focussize="0,0"/>
                  <v:stroke/>
                  <v:imagedata o:title=""/>
                  <o:lock v:ext="edit"/>
                </v:shape>
              </w:pict>
            </w:r>
            <w:r>
              <w:rPr>
                <w:rFonts w:hint="eastAsia" w:ascii="宋体" w:hAnsi="宋体" w:cs="宋体"/>
                <w:color w:val="000000"/>
                <w:kern w:val="0"/>
                <w:sz w:val="22"/>
                <w:szCs w:val="22"/>
              </w:rPr>
              <w:t>监控平台对接</w:t>
            </w:r>
          </w:p>
        </w:tc>
        <w:tc>
          <w:tcPr>
            <w:tcW w:w="4084"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rPr>
              <w:t xml:space="preserve">定制化开发：提供对统一监控平台信息进行管理与对接，可接入全市校园安全防控应急指挥中心，提供 webservice、http 等多种对接方式，支持灵活配置。平台配置完成后可自动将统一平台配置监控内容同步到云平台进行使用。 </w:t>
            </w:r>
          </w:p>
        </w:tc>
        <w:tc>
          <w:tcPr>
            <w:tcW w:w="242"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套</w:t>
            </w:r>
          </w:p>
        </w:tc>
        <w:tc>
          <w:tcPr>
            <w:tcW w:w="26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1</w:t>
            </w:r>
          </w:p>
        </w:tc>
      </w:tr>
      <w:tr>
        <w:tblPrEx>
          <w:tblCellMar>
            <w:top w:w="0" w:type="dxa"/>
            <w:left w:w="0" w:type="dxa"/>
            <w:bottom w:w="0" w:type="dxa"/>
            <w:right w:w="0" w:type="dxa"/>
          </w:tblCellMar>
        </w:tblPrEx>
        <w:trPr>
          <w:trHeight w:val="402" w:hRule="atLeast"/>
        </w:trPr>
        <w:tc>
          <w:tcPr>
            <w:tcW w:w="162"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rPr>
              <w:t>40</w:t>
            </w:r>
          </w:p>
        </w:tc>
        <w:tc>
          <w:tcPr>
            <w:tcW w:w="246"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rPr>
              <w:t>服务器</w:t>
            </w:r>
          </w:p>
        </w:tc>
        <w:tc>
          <w:tcPr>
            <w:tcW w:w="408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rPr>
              <w:t>4210×1/32G DDR4/1.2T 10K  SAS×2(RAID_1)/SAS_HBA/1GbE×2/550W(1+1)/2U/16DIMM</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2U双路标准机架式服务器</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CPU：1颗Xeon® Silver 4210（10核，2.2GHz）</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内存：16G*2 DDR4，16根内存插槽，最大支持扩展至2TB内存</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硬盘：2块1.2T 10K 2.5寸 SAS硬盘</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阵列卡：SAS_HBA卡, 支持RAID 0/1/10</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PCIE扩展：最大可支持6个PCIE扩展插槽</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网口：2个千兆电口</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其他接口：1个RJ45管理接口，4个USB 3.0接口，1个VGA接口</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 xml:space="preserve">电源：标配550W（1+1）高效铂金CRPS冗余电源 </w:t>
            </w:r>
          </w:p>
        </w:tc>
        <w:tc>
          <w:tcPr>
            <w:tcW w:w="242"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台</w:t>
            </w:r>
          </w:p>
        </w:tc>
        <w:tc>
          <w:tcPr>
            <w:tcW w:w="26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1</w:t>
            </w:r>
          </w:p>
        </w:tc>
      </w:tr>
      <w:tr>
        <w:tblPrEx>
          <w:tblCellMar>
            <w:top w:w="0" w:type="dxa"/>
            <w:left w:w="0" w:type="dxa"/>
            <w:bottom w:w="0" w:type="dxa"/>
            <w:right w:w="0" w:type="dxa"/>
          </w:tblCellMar>
        </w:tblPrEx>
        <w:trPr>
          <w:trHeight w:val="402" w:hRule="atLeast"/>
        </w:trPr>
        <w:tc>
          <w:tcPr>
            <w:tcW w:w="162"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rPr>
              <w:t>41</w:t>
            </w:r>
          </w:p>
        </w:tc>
        <w:tc>
          <w:tcPr>
            <w:tcW w:w="246"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rPr>
              <w:t>核心交换机</w:t>
            </w:r>
          </w:p>
        </w:tc>
        <w:tc>
          <w:tcPr>
            <w:tcW w:w="408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rPr>
              <w:t>硬件级加密技术：支持Macsec加密，可通过Macsec实现链路层安全加密，硬件线速加密，安全可靠，提供工信部测试报告加盖厂商项目授权专用章</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数据流量分类：实配支持IP ACL、IP Precedence、DSCP、802.1Q/p、COS数据流量分类和基于每个用户的服务质量策略</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数据流限制：支持基于用户的速率限制功能（User Based Rate Limiting UBRL），可以更细粒度的对具体网络应用、具体某个MAC地址的数据流进行速率限制，粒度可细至8Kbps</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排队技术：实配支持优先处理低延迟数据的排队机制</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网管协议：支持SNMP v1、v2和v3</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端口镜像：实配支持本地端口镜像和远程跨设备的端口镜像，便于连接IDS等流量分析设备</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多业务模块：支持有源无源一体化， 提供4 PON口、8 PON口、16PON口端口业务板可供选择；每条EPON线路可以支持1.25Gbps的对称带宽，最大分光比1:64；</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支持防火墙、流量分析、IPS、流量控制、负载均衡、无线控制器、SSL VPN等多业务模块插卡（非软件license升级），以满足后续控制、管理的要求；</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机型：机箱式多插槽交换机</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总槽位数：≥3</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主控模块交换能力：≥16Tbps</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三层包转发速率：≥7200Mpps</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单槽位最大10G端口数：≥16</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主控引擎：支持主控引擎自带 24电或24光接口</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电源冗余：支持冗余电源</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设备冗余：实现双机高可靠冗余架构，单台设备故障不影响网络正常运行</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链路冗余：所有实配快速以太网、千兆和万兆以太网均应支持通道技术，要求：</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实配支持跨板卡捆绑机制，实配支持三层（网络层）捆绑机制，实配支持每组可捆绑≥8个端口</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虚拟化：支持虚拟化背板堆叠，即多台设备可以统一界面管理、支持跨设备链路聚合、分布式路由等核心技术</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交换协议：支持：802.1d,802.1p/q,802.1s,802.1w,802.1x, 802.3ad，802.3ab，802.3ae，802.3u，802.3x，802.3z，等标准协议；</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多协议栈支持：同时支持IPv4、IPv6多协议栈；每一个实配物理接口都支持直接配置IPv4、IPv6网络地址；</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路由协议：实配支持静态路由、动态路由：OSPF、BGP、IS-IS，路由条目数≥128000</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MPLS VPN：所有板卡实配支持MPLS VPN功能</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数据中心特性：支持FCOE数据中心特性，FCOE技术主要用来解决云计算数据中心LAN网络和存储网络异构的问题；提供工信部测试报告加盖厂商项目授权专用章；</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支持跨数据中心二层互联技术EVI，给分散的物理站点提供灵活的二层互联功能，提供工信部测试报告加盖厂商项目授权专用章；</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硬件级加密技术：支持Macsec加密，可通过Macsec实现链路层安全加密，硬件线速加密，安全可靠，提供工信部测试报告加盖厂商项目授权专用章</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数据流量分类：实配支持IP ACL、IP Precedence、DSCP、802.1Q/p、COS数据流量分类和基于每个用户的服务质量策略</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数据流限制：支持基于用户的速率限制功能（User Based Rate Limiting UBRL），可以更细粒度的对具体网络应用、具体某个MAC地址的数据流进行速率限制，粒度可细至8Kbps</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排队技术：实配支持优先处理低延迟数据的排队机制</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网管协议：支持SNMP v1、v2和v3</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端口镜像：实配支持本地端口镜像和远程跨设备的端口镜像，便于连接IDS等流量分析设备</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多业务模块：支持有源无源一体化， 提供4 PON口、8 PON口、16PON口端口业务板可供选择；每条EPON线路可以支持1.25Gbps的对称带宽，最大分光比1:64；</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支持防火墙、流量分析、IPS、流量控制、负载均衡、无线控制器、SSL VPN等多业务模块插卡（非软件license升级），以满足后续控制、管理的要求；</w:t>
            </w:r>
          </w:p>
        </w:tc>
        <w:tc>
          <w:tcPr>
            <w:tcW w:w="242"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台</w:t>
            </w:r>
          </w:p>
        </w:tc>
        <w:tc>
          <w:tcPr>
            <w:tcW w:w="26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1</w:t>
            </w:r>
          </w:p>
        </w:tc>
      </w:tr>
      <w:tr>
        <w:tblPrEx>
          <w:tblCellMar>
            <w:top w:w="0" w:type="dxa"/>
            <w:left w:w="0" w:type="dxa"/>
            <w:bottom w:w="0" w:type="dxa"/>
            <w:right w:w="0" w:type="dxa"/>
          </w:tblCellMar>
        </w:tblPrEx>
        <w:trPr>
          <w:trHeight w:val="402" w:hRule="atLeast"/>
        </w:trPr>
        <w:tc>
          <w:tcPr>
            <w:tcW w:w="162"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rPr>
              <w:t>42</w:t>
            </w:r>
          </w:p>
        </w:tc>
        <w:tc>
          <w:tcPr>
            <w:tcW w:w="246"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rPr>
              <w:t>可视化烟感</w:t>
            </w:r>
          </w:p>
        </w:tc>
        <w:tc>
          <w:tcPr>
            <w:tcW w:w="408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rPr>
              <w:t xml:space="preserve"> 1、镜头视场角：设备摄像头的水平视场角不小于170°，设备摄像头的垂直视场角不小于为160°</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 xml:space="preserve"> 2、分辨率：分辨率最高可达2560*1440。</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 xml:space="preserve"> 2、烟雾报警：设备在探测到烟雾时，应能发出声、光、文字报警提示</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 xml:space="preserve"> 3、感温功能：当环境温度超过设定阈值时，应能发出文字及声音报警提示</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 xml:space="preserve"> 4、故障报警功能：设备应具有防拆报警、欠压报警等故障报警功能。</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 xml:space="preserve"> 5、远程消音：设备支持远程消除蜂鸣器声音。</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 xml:space="preserve"> 6、产品需符合GB 20517-2006《独立式感烟火灾探测报警器》要求，取得应急管理部消防产品合格评定中心出具的强制性产品认证证书。</w:t>
            </w:r>
          </w:p>
        </w:tc>
        <w:tc>
          <w:tcPr>
            <w:tcW w:w="242"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台</w:t>
            </w:r>
          </w:p>
        </w:tc>
        <w:tc>
          <w:tcPr>
            <w:tcW w:w="26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1</w:t>
            </w:r>
          </w:p>
        </w:tc>
      </w:tr>
      <w:tr>
        <w:tblPrEx>
          <w:tblCellMar>
            <w:top w:w="0" w:type="dxa"/>
            <w:left w:w="0" w:type="dxa"/>
            <w:bottom w:w="0" w:type="dxa"/>
            <w:right w:w="0" w:type="dxa"/>
          </w:tblCellMar>
        </w:tblPrEx>
        <w:trPr>
          <w:trHeight w:val="402" w:hRule="atLeast"/>
        </w:trPr>
        <w:tc>
          <w:tcPr>
            <w:tcW w:w="162"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rPr>
              <w:t>43</w:t>
            </w:r>
          </w:p>
        </w:tc>
        <w:tc>
          <w:tcPr>
            <w:tcW w:w="246"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rPr>
              <w:t>智慧微课麦克风接收盒</w:t>
            </w:r>
          </w:p>
        </w:tc>
        <w:tc>
          <w:tcPr>
            <w:tcW w:w="408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rPr>
              <w:t>技术规格参数：</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1．内置声卡，支持电脑声音及MIC声音同时接入；</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2．预留接口支持音频输入、输出功能，兼容教室主流扩音设备接入，实现扩音及混音功能；</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3．支持防啸叫，回音消除等关键特性，实现较高的声音品质；</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4．支持收音与扩音分离功能；</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需采用USB供电。</w:t>
            </w:r>
          </w:p>
        </w:tc>
        <w:tc>
          <w:tcPr>
            <w:tcW w:w="242"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台</w:t>
            </w:r>
          </w:p>
        </w:tc>
        <w:tc>
          <w:tcPr>
            <w:tcW w:w="26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1</w:t>
            </w:r>
          </w:p>
        </w:tc>
      </w:tr>
      <w:tr>
        <w:tblPrEx>
          <w:tblCellMar>
            <w:top w:w="0" w:type="dxa"/>
            <w:left w:w="0" w:type="dxa"/>
            <w:bottom w:w="0" w:type="dxa"/>
            <w:right w:w="0" w:type="dxa"/>
          </w:tblCellMar>
        </w:tblPrEx>
        <w:trPr>
          <w:trHeight w:val="402" w:hRule="atLeast"/>
        </w:trPr>
        <w:tc>
          <w:tcPr>
            <w:tcW w:w="162"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rPr>
              <w:t>44</w:t>
            </w:r>
          </w:p>
        </w:tc>
        <w:tc>
          <w:tcPr>
            <w:tcW w:w="246"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rPr>
              <w:t>智慧运维软件系统</w:t>
            </w:r>
          </w:p>
        </w:tc>
        <w:tc>
          <w:tcPr>
            <w:tcW w:w="408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rPr>
              <w:t>智慧运维联网监管服务平台</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1.平台基础架构</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要求平台采用B/S架构，使用MySql数据库，使用linuxcentos系统作为服务器系统。</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 xml:space="preserve"> 2.工单管理模块（提供功能演示视频供评标查证）</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要求具备扫码报修，一键呼叫，耗材申请，巡检服务的所有工单展示，并且能够进行取消订单操作;耗材申请具备审核功能，审核通过或拒绝需填写相应理由。</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3.巡检功能模块</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要求具备可以查看巡检记录；可以查看报告，具备审核有审核功能，增加巡检要求可设置时间，巡检的说明及备注，联系人及方式，编辑自定义巡检规则，选择巡检方。</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 xml:space="preserve"> 4.设备资产清查功能模块（提供功能演示视频供评标查证）</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要求设备具备资产清查功能，新建清查时可以选择系统 ，选择时间，选择清查方式，验证方式。</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要求具备查看当前正在清查，直观展示已运行时间，已清查系统套数、设备台数和未清查系统套数和设备台数，并查看详情。</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要求具备查看详情具有取消清查功能，届时未清查设备可进行手动清查。</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要求具备查看清查历史功能，展示了历时多长时间及已清查的系统和设备，并具有查看清查报告功能，清查报告直面展示清查过程中应查与未查系统和设备，手动清查的系统和设备及备注，清查人员的展示。</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 xml:space="preserve"> 5.调查问卷功能模块（提供功能演示视频供评标查证）</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要求具备创建问卷，查看正在发布，既往问卷功能。创建问卷时需输入标题及描述，创建问题可选1.单选 2.多选 3.问答;要求创建问卷时要具有范围的设置，时间设置及验证设置。</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查看发布中问卷时能直观看到历时多长时间及收到多少份回复，点击详情查看统计。</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查看既往问卷能直观看到历时多长时间及收到多少份回复，点击详情查看统计。</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 xml:space="preserve"> 6.信息化系统模块（提供功能演示视频供评标查证）</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要求具备可直观查看当前系统数量，设备数量，故障系统数量，过保设备数量，维护费用，以及本年度系统运维图。</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可视化的信息化系统登记功能，可搜索功能，二维码下载，增删改查功能。</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系统登记时可新增系统类型，配置方案管理属性添加，具备选择机构，场地，分销商和维保商，质保期限的设置，可上传系统的拓扑图功能。</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 xml:space="preserve"> 7.设备管理模块（提供功能演示视频供评标查证）</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要求具备可直观查看当前平台的设备数量，新增设备数量，以及年度的设备报修频次图，服务满意度检测，保修次数，平均分数统计。</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可视化的设备登记功能，可搜索功能，二维码下载，增删改查功能，具备快速报修功能。</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设备登记时可新增设备类型，配置方案管理属性添加，具备选择机构，场地，分销商和维保商，质保期限的设置，可上传多张设备的图片功能。</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 xml:space="preserve"> 8.数据中心模块（提供功能演示视频供评标查证）</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要求具备资产信息套数及设备数量统计，报修频次统计分析图，维修费用统计，服务满意度统计。</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9.点位分布图模块</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要求具备可视化点位图展示，具有搜索功能可快速锁定。新增点位图时需输入点位名称且绑定系统，支持上传多张点位图并具有切换功能，可在图上可视化管理设备位置信息。查看点位详情时，可查看当前系统类型及场地，点位图上支持当前设备的快速报修功能;具有编辑当前点位图信息功能。</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10.单位信息模块</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要求具备可直观查看当前单位logo，单位名称，联系人及联系方式和地址，具备编辑功能，可编辑当前单位的所有信息。</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10.钱包管理</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要求具备可以查看当前余额，消费记录及充值记录。具体记录要可查看交易项目，交易金额，交易时间及当前交易后剩余充值功能要求具备微信扫描充值以及银行转账。</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12.机构管理模块</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要求具备可视化的查看当前机构级别，顶级机构-&gt;父机构-&gt;子机构等具备添加，编辑，删除功能。</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13.服务商模块</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要求具备可查看当前品牌商个数，分销商个数，维保商个数且具备搜索功能直观展示品牌商，分销商，维保商的当前信息，具有添加，编辑，删除功能添加时可上传logo，并可对当前状态进行修改的操作。</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14.管理员模块</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要求具备可直观查看当前所有管理员信息，并含有搜索功能，具备添加，编辑，删除功能。</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15.系统意见箱模块</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要求扫码提交的系统使用意见可以汇总展示，具备搜索功能。</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16.文件管理模块</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要求平台具备信息化系统资料存储功能，用户可以上传资料文件至平台；用户上传的资料支持直接预览，无需下载；支持文档智能整理，系统可根据创建的系统自动生成所匹配的信息化系统目录；文件及文件夹可以在线直接整理，具有移动/复制目录等功能；支持文件夹下载，多文件打包下载功能。</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17.便捷导航模块</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要求可直接通过页面导航跳转至当前选择链接，具备新增链接，编辑链接，删除功能。</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18.场地管理模块</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要求具备可视化查看场地结构，父场地-&gt;子场地，可查看场地详情及添加子场地，编辑，删除，多张上传场地图片等功能。</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19.快速报修模块</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要求具备“一键呼叫”功能，一线业务应用人员可以方便直接联系到售后运维服务人员。</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20.审核工单模块</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要求具备可直观查看全部订单或待处理订单或者已完成订单，可直接点击查看具体订单详情，待审核订单具有审核功能。</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21.移动端(微信端) 模块</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工人微信端:</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要求具备首页呈现工人维修收入的总费用，接单的总次数，服务的综合评分，代办事项等功能展示，并且具有未完成的工单的展示列表及显示订单状态的进度和订单的基本信息。</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要求具有工人可以接订单(维修事项，巡检事项等)的页面，展现没有被处理的所有订单的内容，维修事项，地址，距离当前工人的具体距离(精确到m)，还有对订单列表的筛选，筛选包括（区域，维修类型）。</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要求具备工人接单流程:进行接单----出发前往目标地点---确认抵达现场---现场诊断(填写维修内容及更换的维修器材等)--提交审核--进行维修并且对维修完成的进行拍照存档等待用户的评价。需要按照相应的流程。</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个人中心：</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（1）.要求具备可直观查看当前登录人及具体信息，具备编辑信息以及退出系统等功能。</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（2）.要求具备查看钱包，充值及消费记录详情功能。</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（3）.要求具备查看身份归属的识别功能。</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（4）.要求具备工人的技能标签的编辑展示修改功能。</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（5）.要求具备工人活动范围的标识，方便后期工人接单范围的判别功能。</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（6）.要求具备工人推广链接的功能。</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工人微信端:</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平台主要分为功能页和个人中心。</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（一）、功能页</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（1）.要求功能页可以直观展示有快速报修，订单中心，充值与消费，系统及设备的功能点;且有审核提醒功能，可查看详情。</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（2）.快速报修功能要求含有报修信息的描述，客户信息录入及预约时间，选择审批人，付费人的功能。</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（3）.要求订单中心可查看当前所有订单及订单状态，可查看具体订单详情，详情具有订单委派功能，可委派给内部工人或者推算至平台，由平台统一管理。</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（4）.充值及消费要求具备金额充值功能; 可查看消费记录，消费详情展示出交易时间，交易金额及当前剩余金额。</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（二）、个人中心</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（1）.要求可直观查看当前登录人及具体信息，具备编辑信息以及退出系统等功能。</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（2）.要求具有查看钱包，充值及消费记录详情。</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（3）.要求具有查看工人，可以进行添加工人的操作。</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（4）.要求具有查看客户，可以进行添加客户的操作。</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（5）.要求查看当前所有的报修记录及详情，详情可直观查看报修人，联系方式，地址以及维修的设备，时间和备注。</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客户端微信端:</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平台主要分为首页，审核界面以及个人中心。</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（一）、首页</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（1）. 要求首页直观展示所有功能管理模块，快速保修，资产清查，调察问卷，系统巡检，维修统计，服务满意度以及最新消息提醒，可直接点击进行查看。</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（2）.设备资产清查功能</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要求具备设备资产清查功能，新建清查时要求选择系统 ，选择时间，选择清 查方式，验证方式。</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要求可查看当前正在清查，直观展示已经行时间，已请查系统套数设备台数和未清查系统套数设备台数，并查看详情。</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要求查看详情具有取消清查功能，届时未清查设备可进行手动清查。</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要求可查看清查历史功能，展示了历时多长时间及已请查的系统和设备，并具有查看清查报告功能，清查报告直面展示清查过程中应查与未查系统和设备，手动清查的系统和设备及备注，清查人员的展示。</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（3）.调察问卷功能模块</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要求具备创建问卷，查看正在发布，既往问卷功能。</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要求创建问卷时需输入标题及描述，创建问题可选1.单选 2.多选 3.问答;要求创建问卷时要具有范围的设置，时间设置及验证设置。</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查看发布中问卷时直观看到历时多长时间及收到多少份回复，点击详情查看统计。查看既往问卷直观看到历时多长时间及收到多少份回复，点击详情查看统计。</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（4）.巡检功能:具备直观展示历次的巡检记录；要求可查看报告，需审核有审核功能，增加巡检要求可设置时间，巡检的说明备注，联系人及方式，编辑自定义巡检规则，选择巡检方式。</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22.后期维护与服务</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后期使用中，如果甲方发现有流程上的缺失或者问题，需配合甲方进行相应的开发与调整，开发和调整时间不能超过三个月。</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23.供应商可自主开发或选择第三方产品，只需满足以上功能即可，谈判现场需供应商对以上功能进行功能性演示。实施过程中甲方随时可以要求供应商到达指定地点对软件进行功能性演示，如果达不到甲方要求或者实现不了功能要求，甲方有权利拒绝接收。</w:t>
            </w:r>
          </w:p>
        </w:tc>
        <w:tc>
          <w:tcPr>
            <w:tcW w:w="242"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套</w:t>
            </w:r>
          </w:p>
        </w:tc>
        <w:tc>
          <w:tcPr>
            <w:tcW w:w="26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1</w:t>
            </w:r>
          </w:p>
        </w:tc>
      </w:tr>
      <w:tr>
        <w:tblPrEx>
          <w:tblCellMar>
            <w:top w:w="0" w:type="dxa"/>
            <w:left w:w="0" w:type="dxa"/>
            <w:bottom w:w="0" w:type="dxa"/>
            <w:right w:w="0" w:type="dxa"/>
          </w:tblCellMar>
        </w:tblPrEx>
        <w:trPr>
          <w:trHeight w:val="402" w:hRule="atLeast"/>
        </w:trPr>
        <w:tc>
          <w:tcPr>
            <w:tcW w:w="162"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rPr>
              <w:t>45</w:t>
            </w:r>
          </w:p>
        </w:tc>
        <w:tc>
          <w:tcPr>
            <w:tcW w:w="246"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rPr>
              <w:t>智慧语音核心转写服务</w:t>
            </w:r>
          </w:p>
        </w:tc>
        <w:tc>
          <w:tcPr>
            <w:tcW w:w="408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rPr>
              <w:t>功能参数：</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 xml:space="preserve"> 1．支持全学段、全学科的中文、英文连续语音识别与实时转写，支持实时中译英、英译中；中文转写识别率能够≥90%，英文转写识别率能够≥80%；</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 xml:space="preserve"> 2．基于全学科知识点体系，支持自动提取出转写文字中的重点和知识点并形成微课知识点标签；</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 xml:space="preserve"> 3．为提升对特定词语的识别效果，具备教育专用词库，识别时将优先匹配词库中的词汇；</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 xml:space="preserve"> 4．支持实时转写时根据上下文语义自动校正，以及实现文本的自然分段，支持对语气词等口语化词语进行自动过滤。</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5．支持用户身份智能认证与账号自动登录，无需手动登录；</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6．具备健全的保护机制，确保A用户在使用的情况下避免被B用户无意识干扰，同时支持B用户根据需要主动强行下线A用户；</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7．支持通过硬件一键开启/停止微课的录制；</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8．支持根据场景需要灵活设置字幕条的位置、高度、字幕条透明度、文字的字体、字幕条的显示/隐藏状态；支持全屏显示字幕条；</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9．录制过程中，如果电脑连接了多个屏幕时，支持根据需要选择录制的屏幕；支持字幕在一个屏幕显示，录制另外一个屏幕；</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10．支持对授课屏幕进行录制形成课堂授课实录，支持用户选择录制的视频质量；</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11．支持结束微课录制时出现二维码，支持用户通过扫码获取微课视频。支持视频在没有上传完成的情况下，用户能够针对微课进行预览、分享、下载操作；</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12．支持通过图片智能比对实现任意授课内容（PPT、电子书、网页、文档等）的关键帧的自动提取，提取准确率&gt;90%；</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13．支持显示硬件的音量、电量、网络连接信息，并在网络连接不稳定、电量不足时进行异常友好提示；</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14．支持用户对自己的个人信息等进行设置，并且直接体现在授课记录的授课基础信息中；</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15．支持每个用户设置自己特有的关键词，在转写过程中优先匹配用户的个性化热词；</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16．具备稳健的升级机制，支持用户手动进行软件升级，支持必要情况下系统在非授课时间段静默下载升级；支持用户手动对硬件的固件进行升级</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17．支持教师日常教学过程中产生的微课自动上传到云端并进行视频结构化处理，形成个人微课库，并支持分享形成班级微课库、校本微课库。支持将微课分享到微信等社交空间，进行快速传播；</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18．个人微课服务：</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1）支持微课结构化展示，包括微课视频+文本+关键帧，支持点击文本区域、关键帧等方式快速精准定位视频内容；</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2）提供点击文本内容自动播放对应音频、批量替换文字等功能，帮助用户快速高效修改文本；支持用户增减关键帧大纲视图；</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3）支持基于全学科知识点体系，智能给微课打知识点标签；</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4）支持对个人微课进行文件管理；</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5）支持对微课进行裁剪；</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6）支持在个人微课列表针对微课内容进行关键字搜索；</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19．班级微课服务：支持教师用户将微课分享给所授班级并进行班级资源库，学生可以通过电脑查看微课；</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20．校级微课服务：支持教师用户将微课分享到学校，形成校本微课库，校本微课库支持全校老师和学生进行学习；支持用户针对微课内容进行关键字搜索；</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21．微课互动评论：支持用户对班级/校级微课进行在线评论、点赞等功能，支持对资源查看次数、点赞次数的统计等；</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22．个人微课程管理：支持用户将多个微课按照主题组织成微课程，并支持将微课程分享到到班级/第三方开放平台进行传播；</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23．生成课堂实录：形成机构化视频的同时并行生成WORD版本、图文混合的课堂实录；</w:t>
            </w:r>
          </w:p>
        </w:tc>
        <w:tc>
          <w:tcPr>
            <w:tcW w:w="242"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套</w:t>
            </w:r>
          </w:p>
        </w:tc>
        <w:tc>
          <w:tcPr>
            <w:tcW w:w="26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1</w:t>
            </w:r>
          </w:p>
        </w:tc>
      </w:tr>
      <w:tr>
        <w:tblPrEx>
          <w:tblCellMar>
            <w:top w:w="0" w:type="dxa"/>
            <w:left w:w="0" w:type="dxa"/>
            <w:bottom w:w="0" w:type="dxa"/>
            <w:right w:w="0" w:type="dxa"/>
          </w:tblCellMar>
        </w:tblPrEx>
        <w:trPr>
          <w:trHeight w:val="402" w:hRule="atLeast"/>
        </w:trPr>
        <w:tc>
          <w:tcPr>
            <w:tcW w:w="162"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rPr>
              <w:t>46</w:t>
            </w:r>
          </w:p>
        </w:tc>
        <w:tc>
          <w:tcPr>
            <w:tcW w:w="246"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rPr>
              <w:t>管理电脑</w:t>
            </w:r>
          </w:p>
        </w:tc>
        <w:tc>
          <w:tcPr>
            <w:tcW w:w="408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rPr>
              <w:t>处理器不低于I5 ，内存不小于8G，硬盘不低于256G，显示器不小于23寸。</w:t>
            </w:r>
          </w:p>
        </w:tc>
        <w:tc>
          <w:tcPr>
            <w:tcW w:w="242"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套</w:t>
            </w:r>
          </w:p>
        </w:tc>
        <w:tc>
          <w:tcPr>
            <w:tcW w:w="26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1</w:t>
            </w:r>
          </w:p>
        </w:tc>
      </w:tr>
      <w:tr>
        <w:tblPrEx>
          <w:tblCellMar>
            <w:top w:w="0" w:type="dxa"/>
            <w:left w:w="0" w:type="dxa"/>
            <w:bottom w:w="0" w:type="dxa"/>
            <w:right w:w="0" w:type="dxa"/>
          </w:tblCellMar>
        </w:tblPrEx>
        <w:trPr>
          <w:trHeight w:val="402" w:hRule="atLeast"/>
        </w:trPr>
        <w:tc>
          <w:tcPr>
            <w:tcW w:w="162"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rPr>
              <w:t>47</w:t>
            </w:r>
          </w:p>
        </w:tc>
        <w:tc>
          <w:tcPr>
            <w:tcW w:w="246"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rPr>
              <w:t>装修及施工</w:t>
            </w:r>
          </w:p>
        </w:tc>
        <w:tc>
          <w:tcPr>
            <w:tcW w:w="4084"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rPr>
              <w:t>监控中心装修静电地板更换，墙面吸音和隔音处理，顶部更换处理。施工方面，包含老设备的拆除，大屏安装，机柜整理以及外部设备的对接等等</w:t>
            </w:r>
          </w:p>
        </w:tc>
        <w:tc>
          <w:tcPr>
            <w:tcW w:w="242"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套</w:t>
            </w:r>
          </w:p>
        </w:tc>
        <w:tc>
          <w:tcPr>
            <w:tcW w:w="26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1</w:t>
            </w:r>
          </w:p>
        </w:tc>
      </w:tr>
    </w:tbl>
    <w:p>
      <w:pPr>
        <w:rPr>
          <w:rStyle w:val="32"/>
          <w:rFonts w:ascii="宋体" w:hAnsi="宋体" w:cs="宋体"/>
          <w:b w:val="0"/>
          <w:color w:val="auto"/>
        </w:rPr>
      </w:pPr>
      <w:r>
        <w:rPr>
          <w:rStyle w:val="32"/>
          <w:rFonts w:hint="eastAsia" w:ascii="宋体" w:hAnsi="宋体" w:cs="宋体"/>
          <w:b w:val="0"/>
          <w:color w:val="auto"/>
        </w:rPr>
        <w:t>备注：本项目为交钥匙工程，安防部分要求达到校园全覆盖，学生公寓考勤具备单体楼宇独立考勤，并能够综合管理。（本项目为四栋单体公寓楼）。</w:t>
      </w:r>
    </w:p>
    <w:p>
      <w:pPr>
        <w:pStyle w:val="2"/>
        <w:ind w:firstLine="210"/>
        <w:rPr>
          <w:color w:val="auto"/>
        </w:rPr>
      </w:pPr>
    </w:p>
    <w:p>
      <w:pPr>
        <w:spacing w:line="360" w:lineRule="auto"/>
        <w:jc w:val="center"/>
        <w:rPr>
          <w:rStyle w:val="32"/>
          <w:rFonts w:ascii="宋体" w:hAnsi="宋体" w:cs="宋体"/>
        </w:rPr>
      </w:pPr>
      <w:bookmarkStart w:id="171" w:name="_Toc23839"/>
    </w:p>
    <w:p>
      <w:pPr>
        <w:spacing w:line="360" w:lineRule="auto"/>
        <w:jc w:val="center"/>
        <w:rPr>
          <w:rStyle w:val="32"/>
          <w:rFonts w:ascii="宋体" w:hAnsi="宋体" w:cs="宋体"/>
        </w:rPr>
      </w:pPr>
    </w:p>
    <w:p>
      <w:pPr>
        <w:spacing w:line="360" w:lineRule="auto"/>
        <w:jc w:val="center"/>
        <w:rPr>
          <w:rStyle w:val="32"/>
          <w:rFonts w:ascii="宋体" w:hAnsi="宋体" w:cs="宋体"/>
        </w:rPr>
      </w:pPr>
    </w:p>
    <w:p>
      <w:pPr>
        <w:spacing w:line="360" w:lineRule="auto"/>
        <w:jc w:val="center"/>
        <w:rPr>
          <w:rStyle w:val="32"/>
          <w:rFonts w:ascii="宋体" w:hAnsi="宋体" w:cs="宋体"/>
        </w:rPr>
      </w:pPr>
    </w:p>
    <w:p>
      <w:pPr>
        <w:spacing w:line="360" w:lineRule="auto"/>
        <w:jc w:val="center"/>
        <w:rPr>
          <w:rStyle w:val="32"/>
          <w:rFonts w:ascii="宋体" w:hAnsi="宋体" w:cs="宋体"/>
        </w:rPr>
      </w:pPr>
    </w:p>
    <w:p>
      <w:pPr>
        <w:spacing w:line="360" w:lineRule="auto"/>
        <w:jc w:val="center"/>
        <w:rPr>
          <w:rStyle w:val="32"/>
          <w:rFonts w:ascii="宋体" w:hAnsi="宋体" w:cs="宋体"/>
        </w:rPr>
      </w:pPr>
    </w:p>
    <w:p>
      <w:pPr>
        <w:spacing w:line="360" w:lineRule="auto"/>
        <w:jc w:val="center"/>
        <w:rPr>
          <w:rStyle w:val="32"/>
          <w:rFonts w:ascii="宋体" w:hAnsi="宋体" w:cs="宋体"/>
        </w:rPr>
      </w:pPr>
    </w:p>
    <w:p>
      <w:pPr>
        <w:spacing w:line="360" w:lineRule="auto"/>
        <w:jc w:val="center"/>
        <w:rPr>
          <w:rStyle w:val="32"/>
          <w:rFonts w:ascii="宋体" w:hAnsi="宋体" w:cs="宋体"/>
        </w:rPr>
      </w:pPr>
    </w:p>
    <w:p>
      <w:pPr>
        <w:spacing w:line="360" w:lineRule="auto"/>
        <w:jc w:val="center"/>
        <w:rPr>
          <w:rStyle w:val="32"/>
          <w:rFonts w:ascii="宋体" w:hAnsi="宋体" w:cs="宋体"/>
        </w:rPr>
      </w:pPr>
    </w:p>
    <w:p>
      <w:pPr>
        <w:spacing w:line="360" w:lineRule="auto"/>
        <w:jc w:val="center"/>
        <w:rPr>
          <w:rStyle w:val="32"/>
          <w:rFonts w:ascii="宋体" w:hAnsi="宋体" w:cs="宋体"/>
        </w:rPr>
      </w:pPr>
    </w:p>
    <w:p>
      <w:pPr>
        <w:spacing w:line="360" w:lineRule="auto"/>
        <w:jc w:val="center"/>
        <w:rPr>
          <w:rStyle w:val="32"/>
          <w:rFonts w:ascii="宋体" w:hAnsi="宋体" w:cs="宋体"/>
        </w:rPr>
      </w:pPr>
    </w:p>
    <w:p>
      <w:pPr>
        <w:spacing w:line="360" w:lineRule="auto"/>
        <w:jc w:val="center"/>
        <w:rPr>
          <w:rStyle w:val="32"/>
          <w:rFonts w:ascii="宋体" w:hAnsi="宋体" w:cs="宋体"/>
        </w:rPr>
      </w:pPr>
    </w:p>
    <w:p>
      <w:pPr>
        <w:spacing w:line="360" w:lineRule="auto"/>
        <w:jc w:val="center"/>
        <w:rPr>
          <w:rFonts w:ascii="宋体" w:hAnsi="宋体" w:cs="宋体"/>
          <w:b/>
          <w:bCs/>
          <w:sz w:val="36"/>
          <w:szCs w:val="36"/>
        </w:rPr>
      </w:pPr>
      <w:r>
        <w:rPr>
          <w:rStyle w:val="32"/>
          <w:rFonts w:hint="eastAsia" w:ascii="宋体" w:hAnsi="宋体" w:cs="宋体"/>
        </w:rPr>
        <w:t>第四部分 合同主要条款及格式</w:t>
      </w:r>
      <w:bookmarkEnd w:id="171"/>
    </w:p>
    <w:p>
      <w:pPr>
        <w:adjustRightInd w:val="0"/>
        <w:snapToGrid w:val="0"/>
        <w:spacing w:line="360" w:lineRule="auto"/>
        <w:ind w:firstLine="482" w:firstLineChars="200"/>
        <w:rPr>
          <w:rFonts w:ascii="宋体" w:hAnsi="宋体" w:cs="宋体"/>
          <w:b/>
          <w:sz w:val="24"/>
        </w:rPr>
      </w:pPr>
      <w:r>
        <w:rPr>
          <w:rFonts w:hint="eastAsia" w:ascii="宋体" w:hAnsi="宋体" w:cs="宋体"/>
          <w:b/>
          <w:sz w:val="24"/>
        </w:rPr>
        <w:t>采购人（全称）：</w:t>
      </w:r>
      <w:r>
        <w:rPr>
          <w:rFonts w:hint="eastAsia" w:ascii="宋体" w:hAnsi="宋体" w:cs="宋体"/>
          <w:b/>
          <w:sz w:val="24"/>
          <w:u w:val="single"/>
        </w:rPr>
        <w:t>西安市阎良区西飞第一中学</w:t>
      </w:r>
    </w:p>
    <w:p>
      <w:pPr>
        <w:adjustRightInd w:val="0"/>
        <w:snapToGrid w:val="0"/>
        <w:spacing w:line="360" w:lineRule="auto"/>
        <w:ind w:firstLine="482" w:firstLineChars="200"/>
        <w:rPr>
          <w:rFonts w:ascii="宋体" w:hAnsi="宋体" w:cs="宋体"/>
          <w:sz w:val="24"/>
          <w:u w:val="single"/>
        </w:rPr>
      </w:pPr>
      <w:r>
        <w:rPr>
          <w:rFonts w:hint="eastAsia" w:ascii="宋体" w:hAnsi="宋体" w:cs="宋体"/>
          <w:b/>
          <w:sz w:val="24"/>
        </w:rPr>
        <w:t>供应商（全称）：</w:t>
      </w:r>
      <w:r>
        <w:rPr>
          <w:rFonts w:hint="eastAsia" w:ascii="宋体" w:hAnsi="宋体" w:cs="宋体"/>
          <w:b/>
          <w:sz w:val="24"/>
          <w:u w:val="single"/>
        </w:rPr>
        <w:t xml:space="preserve">                                   </w:t>
      </w:r>
      <w:r>
        <w:rPr>
          <w:rFonts w:hint="eastAsia" w:ascii="宋体" w:hAnsi="宋体" w:cs="宋体"/>
          <w:sz w:val="24"/>
          <w:u w:val="single"/>
        </w:rPr>
        <w:t xml:space="preserve">   </w:t>
      </w:r>
    </w:p>
    <w:p>
      <w:pPr>
        <w:adjustRightInd w:val="0"/>
        <w:snapToGrid w:val="0"/>
        <w:spacing w:line="360" w:lineRule="auto"/>
        <w:ind w:firstLine="480" w:firstLineChars="200"/>
        <w:rPr>
          <w:rFonts w:ascii="宋体" w:hAnsi="宋体" w:cs="宋体"/>
          <w:sz w:val="24"/>
          <w:u w:val="single"/>
        </w:rPr>
      </w:pPr>
      <w:r>
        <w:rPr>
          <w:rFonts w:hint="eastAsia" w:ascii="宋体" w:hAnsi="宋体" w:cs="宋体"/>
          <w:sz w:val="24"/>
        </w:rPr>
        <w:t>根据《中华人民共和国合同法》及其他有关法律、法规，遵循平等、自愿、公平和诚信的原则，双方就下述项目范围与相关服务事项协商一致，订立本合同。</w:t>
      </w:r>
    </w:p>
    <w:p>
      <w:pPr>
        <w:spacing w:line="360" w:lineRule="auto"/>
        <w:rPr>
          <w:rFonts w:ascii="宋体" w:hAnsi="宋体" w:cs="宋体"/>
          <w:b/>
          <w:sz w:val="24"/>
        </w:rPr>
      </w:pPr>
      <w:r>
        <w:rPr>
          <w:rFonts w:hint="eastAsia" w:ascii="宋体" w:hAnsi="宋体" w:cs="宋体"/>
          <w:b/>
          <w:sz w:val="24"/>
        </w:rPr>
        <w:t>一、项目概况</w:t>
      </w:r>
    </w:p>
    <w:p>
      <w:pPr>
        <w:adjustRightInd w:val="0"/>
        <w:snapToGrid w:val="0"/>
        <w:spacing w:line="360" w:lineRule="auto"/>
        <w:ind w:firstLine="475" w:firstLineChars="198"/>
        <w:rPr>
          <w:rFonts w:ascii="宋体" w:hAnsi="宋体" w:cs="宋体"/>
          <w:sz w:val="24"/>
        </w:rPr>
      </w:pPr>
      <w:r>
        <w:rPr>
          <w:rFonts w:hint="eastAsia" w:ascii="宋体" w:hAnsi="宋体" w:cs="宋体"/>
          <w:sz w:val="24"/>
        </w:rPr>
        <w:t>1.项目名称：</w:t>
      </w:r>
      <w:r>
        <w:rPr>
          <w:rFonts w:hint="eastAsia" w:ascii="宋体" w:hAnsi="宋体" w:cs="宋体"/>
          <w:sz w:val="24"/>
          <w:u w:val="single"/>
        </w:rPr>
        <w:t>西安市阎良区西飞第一中学智慧校园综合管理平台建设项目</w:t>
      </w:r>
      <w:r>
        <w:rPr>
          <w:rFonts w:hint="eastAsia" w:ascii="宋体" w:hAnsi="宋体" w:cs="宋体"/>
          <w:sz w:val="24"/>
        </w:rPr>
        <w:t>；</w:t>
      </w:r>
    </w:p>
    <w:p>
      <w:pPr>
        <w:adjustRightInd w:val="0"/>
        <w:snapToGrid w:val="0"/>
        <w:spacing w:line="360" w:lineRule="auto"/>
        <w:ind w:firstLine="475" w:firstLineChars="198"/>
        <w:rPr>
          <w:rFonts w:ascii="宋体" w:hAnsi="宋体" w:cs="宋体"/>
          <w:sz w:val="24"/>
        </w:rPr>
      </w:pPr>
      <w:r>
        <w:rPr>
          <w:rFonts w:hint="eastAsia" w:ascii="宋体" w:hAnsi="宋体" w:cs="宋体"/>
          <w:sz w:val="24"/>
        </w:rPr>
        <w:t>2.项目地点：</w:t>
      </w:r>
      <w:r>
        <w:rPr>
          <w:rFonts w:hint="eastAsia" w:ascii="宋体" w:hAnsi="宋体" w:cs="宋体"/>
          <w:sz w:val="24"/>
          <w:u w:val="single"/>
        </w:rPr>
        <w:t xml:space="preserve">                                      </w:t>
      </w:r>
      <w:r>
        <w:rPr>
          <w:rFonts w:hint="eastAsia" w:ascii="宋体" w:hAnsi="宋体" w:cs="宋体"/>
          <w:sz w:val="24"/>
        </w:rPr>
        <w:t>。</w:t>
      </w:r>
    </w:p>
    <w:p>
      <w:pPr>
        <w:spacing w:line="360" w:lineRule="auto"/>
        <w:rPr>
          <w:rFonts w:ascii="宋体" w:hAnsi="宋体" w:cs="宋体"/>
          <w:b/>
          <w:sz w:val="24"/>
        </w:rPr>
      </w:pPr>
      <w:r>
        <w:rPr>
          <w:rFonts w:hint="eastAsia" w:ascii="宋体" w:hAnsi="宋体" w:cs="宋体"/>
          <w:b/>
          <w:sz w:val="24"/>
        </w:rPr>
        <w:t>二、组成本合同的文件</w:t>
      </w:r>
    </w:p>
    <w:p>
      <w:pPr>
        <w:adjustRightInd w:val="0"/>
        <w:snapToGrid w:val="0"/>
        <w:spacing w:line="360" w:lineRule="auto"/>
        <w:ind w:firstLine="475" w:firstLineChars="198"/>
        <w:rPr>
          <w:rFonts w:ascii="宋体" w:hAnsi="宋体" w:cs="宋体"/>
          <w:sz w:val="24"/>
        </w:rPr>
      </w:pPr>
      <w:r>
        <w:rPr>
          <w:rFonts w:hint="eastAsia" w:ascii="宋体" w:hAnsi="宋体" w:cs="宋体"/>
          <w:sz w:val="24"/>
        </w:rPr>
        <w:t>1.协议书；</w:t>
      </w:r>
    </w:p>
    <w:p>
      <w:pPr>
        <w:adjustRightInd w:val="0"/>
        <w:snapToGrid w:val="0"/>
        <w:spacing w:line="360" w:lineRule="auto"/>
        <w:ind w:firstLine="475" w:firstLineChars="198"/>
        <w:rPr>
          <w:rFonts w:ascii="宋体" w:hAnsi="宋体" w:cs="宋体"/>
          <w:sz w:val="24"/>
        </w:rPr>
      </w:pPr>
      <w:r>
        <w:rPr>
          <w:rFonts w:hint="eastAsia" w:ascii="宋体" w:hAnsi="宋体" w:cs="宋体"/>
          <w:sz w:val="24"/>
        </w:rPr>
        <w:t>2.成交通知书、磋商响应文件、磋商文件、澄清、磋商补充文件（或委托书）；</w:t>
      </w:r>
    </w:p>
    <w:p>
      <w:pPr>
        <w:adjustRightInd w:val="0"/>
        <w:snapToGrid w:val="0"/>
        <w:spacing w:line="360" w:lineRule="auto"/>
        <w:ind w:firstLine="480" w:firstLineChars="200"/>
        <w:rPr>
          <w:rFonts w:ascii="宋体" w:hAnsi="宋体" w:cs="宋体"/>
          <w:sz w:val="24"/>
        </w:rPr>
      </w:pPr>
      <w:r>
        <w:rPr>
          <w:rFonts w:hint="eastAsia" w:ascii="宋体" w:hAnsi="宋体" w:cs="宋体"/>
          <w:sz w:val="24"/>
        </w:rPr>
        <w:t>3.相关服务建议书；</w:t>
      </w:r>
    </w:p>
    <w:p>
      <w:pPr>
        <w:adjustRightInd w:val="0"/>
        <w:snapToGrid w:val="0"/>
        <w:spacing w:line="360" w:lineRule="auto"/>
        <w:rPr>
          <w:rFonts w:ascii="宋体" w:hAnsi="宋体" w:cs="宋体"/>
          <w:sz w:val="24"/>
        </w:rPr>
      </w:pPr>
      <w:r>
        <w:rPr>
          <w:rFonts w:hint="eastAsia" w:ascii="宋体" w:hAnsi="宋体" w:cs="宋体"/>
          <w:sz w:val="24"/>
        </w:rPr>
        <w:t xml:space="preserve">    4. 附录，即：附表内相关服务的范围和内容；</w:t>
      </w:r>
    </w:p>
    <w:p>
      <w:pPr>
        <w:adjustRightInd w:val="0"/>
        <w:snapToGrid w:val="0"/>
        <w:spacing w:line="360" w:lineRule="auto"/>
        <w:ind w:firstLine="475" w:firstLineChars="198"/>
        <w:rPr>
          <w:rFonts w:ascii="宋体" w:hAnsi="宋体" w:cs="宋体"/>
          <w:sz w:val="24"/>
        </w:rPr>
      </w:pPr>
      <w:r>
        <w:rPr>
          <w:rFonts w:hint="eastAsia" w:ascii="宋体" w:hAnsi="宋体" w:cs="宋体"/>
          <w:sz w:val="24"/>
        </w:rPr>
        <w:t>本合同签订后，双方依法签订的补充协议也是本合同文件的组成部分。</w:t>
      </w:r>
    </w:p>
    <w:p>
      <w:pPr>
        <w:spacing w:line="360" w:lineRule="auto"/>
        <w:rPr>
          <w:rFonts w:ascii="宋体" w:hAnsi="宋体" w:cs="宋体"/>
          <w:b/>
          <w:sz w:val="24"/>
        </w:rPr>
      </w:pPr>
      <w:r>
        <w:rPr>
          <w:rFonts w:hint="eastAsia" w:ascii="宋体" w:hAnsi="宋体" w:cs="宋体"/>
          <w:b/>
          <w:sz w:val="24"/>
        </w:rPr>
        <w:t>三、签约金额</w:t>
      </w:r>
    </w:p>
    <w:p>
      <w:pPr>
        <w:adjustRightInd w:val="0"/>
        <w:snapToGrid w:val="0"/>
        <w:spacing w:line="360" w:lineRule="auto"/>
        <w:ind w:firstLine="475" w:firstLineChars="198"/>
        <w:rPr>
          <w:rFonts w:ascii="宋体" w:hAnsi="宋体" w:cs="宋体"/>
          <w:sz w:val="24"/>
        </w:rPr>
      </w:pPr>
      <w:r>
        <w:rPr>
          <w:rFonts w:hint="eastAsia" w:ascii="宋体" w:hAnsi="宋体" w:cs="宋体"/>
          <w:sz w:val="24"/>
        </w:rPr>
        <w:t>签约金额（大写）：</w:t>
      </w:r>
      <w:r>
        <w:rPr>
          <w:rFonts w:hint="eastAsia" w:ascii="宋体" w:hAnsi="宋体" w:cs="宋体"/>
          <w:sz w:val="24"/>
          <w:u w:val="single"/>
        </w:rPr>
        <w:t xml:space="preserve">                            </w:t>
      </w:r>
      <w:r>
        <w:rPr>
          <w:rFonts w:hint="eastAsia" w:ascii="宋体" w:hAnsi="宋体" w:cs="宋体"/>
          <w:sz w:val="24"/>
        </w:rPr>
        <w:t>（¥        ）。</w:t>
      </w:r>
    </w:p>
    <w:p>
      <w:pPr>
        <w:adjustRightInd w:val="0"/>
        <w:snapToGrid w:val="0"/>
        <w:spacing w:line="360" w:lineRule="auto"/>
        <w:ind w:firstLine="475" w:firstLineChars="198"/>
        <w:rPr>
          <w:rFonts w:ascii="宋体" w:hAnsi="宋体" w:cs="宋体"/>
          <w:sz w:val="24"/>
        </w:rPr>
      </w:pPr>
      <w:r>
        <w:rPr>
          <w:rFonts w:hint="eastAsia" w:ascii="宋体" w:hAnsi="宋体" w:cs="宋体"/>
          <w:sz w:val="24"/>
        </w:rPr>
        <w:t>合同价格为含税价，供应商提供产品所发生的一切税（包括增值税）费等都已包含于合同价款中。</w:t>
      </w:r>
    </w:p>
    <w:p>
      <w:pPr>
        <w:adjustRightInd w:val="0"/>
        <w:snapToGrid w:val="0"/>
        <w:spacing w:line="360" w:lineRule="auto"/>
        <w:rPr>
          <w:rFonts w:ascii="宋体" w:hAnsi="宋体" w:cs="宋体"/>
          <w:b/>
          <w:sz w:val="24"/>
        </w:rPr>
      </w:pPr>
      <w:r>
        <w:rPr>
          <w:rFonts w:hint="eastAsia" w:ascii="宋体" w:hAnsi="宋体" w:cs="宋体"/>
          <w:b/>
          <w:sz w:val="24"/>
        </w:rPr>
        <w:t>四、结算方式：</w:t>
      </w:r>
    </w:p>
    <w:p>
      <w:pPr>
        <w:adjustRightInd w:val="0"/>
        <w:snapToGrid w:val="0"/>
        <w:spacing w:line="360" w:lineRule="auto"/>
        <w:ind w:firstLine="480" w:firstLineChars="200"/>
        <w:rPr>
          <w:rFonts w:ascii="宋体" w:hAnsi="宋体" w:cs="宋体"/>
          <w:sz w:val="24"/>
          <w:highlight w:val="none"/>
        </w:rPr>
      </w:pPr>
      <w:r>
        <w:rPr>
          <w:rFonts w:hint="eastAsia" w:ascii="宋体" w:hAnsi="宋体" w:cs="宋体"/>
          <w:sz w:val="24"/>
          <w:highlight w:val="none"/>
        </w:rPr>
        <w:t>1.到货、验收合格后30日历日内，付合同总价款95%，即人民币（大写）      （￥</w:t>
      </w:r>
      <w:r>
        <w:rPr>
          <w:rFonts w:hint="eastAsia" w:ascii="宋体" w:hAnsi="宋体" w:cs="宋体"/>
          <w:sz w:val="24"/>
          <w:highlight w:val="none"/>
          <w:u w:val="single"/>
        </w:rPr>
        <w:t xml:space="preserve">     </w:t>
      </w:r>
      <w:r>
        <w:rPr>
          <w:rFonts w:hint="eastAsia" w:ascii="宋体" w:hAnsi="宋体" w:cs="宋体"/>
          <w:sz w:val="24"/>
          <w:highlight w:val="none"/>
        </w:rPr>
        <w:t>）；</w:t>
      </w:r>
    </w:p>
    <w:p>
      <w:pPr>
        <w:adjustRightInd w:val="0"/>
        <w:snapToGrid w:val="0"/>
        <w:spacing w:line="360" w:lineRule="auto"/>
        <w:ind w:firstLine="475" w:firstLineChars="198"/>
        <w:rPr>
          <w:rFonts w:ascii="宋体" w:hAnsi="宋体" w:cs="宋体"/>
          <w:color w:val="auto"/>
          <w:sz w:val="24"/>
          <w:highlight w:val="none"/>
        </w:rPr>
      </w:pPr>
      <w:r>
        <w:rPr>
          <w:rFonts w:hint="eastAsia" w:ascii="宋体" w:hAnsi="宋体" w:cs="宋体"/>
          <w:sz w:val="24"/>
          <w:highlight w:val="none"/>
        </w:rPr>
        <w:t>2.剩余合同总价款5％，即人民币（大写）</w:t>
      </w:r>
      <w:r>
        <w:rPr>
          <w:rFonts w:hint="eastAsia" w:ascii="宋体" w:hAnsi="宋体" w:cs="宋体"/>
          <w:sz w:val="24"/>
          <w:highlight w:val="none"/>
          <w:u w:val="single"/>
        </w:rPr>
        <w:t xml:space="preserve">      </w:t>
      </w:r>
      <w:r>
        <w:rPr>
          <w:rFonts w:hint="eastAsia" w:ascii="宋体" w:hAnsi="宋体" w:cs="宋体"/>
          <w:sz w:val="24"/>
          <w:highlight w:val="none"/>
        </w:rPr>
        <w:t>（￥</w:t>
      </w:r>
      <w:r>
        <w:rPr>
          <w:rFonts w:hint="eastAsia" w:ascii="宋体" w:hAnsi="宋体" w:cs="宋体"/>
          <w:sz w:val="24"/>
          <w:highlight w:val="none"/>
          <w:u w:val="single"/>
        </w:rPr>
        <w:t xml:space="preserve">    </w:t>
      </w:r>
      <w:r>
        <w:rPr>
          <w:rFonts w:hint="eastAsia" w:ascii="宋体" w:hAnsi="宋体" w:cs="宋体"/>
          <w:sz w:val="24"/>
          <w:highlight w:val="none"/>
        </w:rPr>
        <w:t>）。作为质保金，验收合格后</w:t>
      </w:r>
      <w:r>
        <w:rPr>
          <w:rFonts w:hint="eastAsia" w:ascii="宋体" w:hAnsi="宋体" w:cs="宋体"/>
          <w:color w:val="auto"/>
          <w:sz w:val="24"/>
          <w:highlight w:val="none"/>
        </w:rPr>
        <w:t>满贰年后，一个月内无息一次付清。</w:t>
      </w:r>
    </w:p>
    <w:p>
      <w:pPr>
        <w:adjustRightInd w:val="0"/>
        <w:snapToGrid w:val="0"/>
        <w:spacing w:line="360" w:lineRule="auto"/>
        <w:ind w:firstLine="475" w:firstLineChars="198"/>
        <w:rPr>
          <w:rFonts w:ascii="宋体" w:hAnsi="宋体" w:cs="宋体"/>
          <w:sz w:val="24"/>
          <w:highlight w:val="none"/>
        </w:rPr>
      </w:pPr>
      <w:r>
        <w:rPr>
          <w:rFonts w:hint="eastAsia" w:ascii="宋体" w:hAnsi="宋体" w:cs="宋体"/>
          <w:sz w:val="24"/>
          <w:highlight w:val="none"/>
        </w:rPr>
        <w:t>3.支付方式：银行转账。</w:t>
      </w:r>
    </w:p>
    <w:p>
      <w:pPr>
        <w:adjustRightInd w:val="0"/>
        <w:snapToGrid w:val="0"/>
        <w:spacing w:line="360" w:lineRule="auto"/>
        <w:ind w:firstLine="475" w:firstLineChars="198"/>
        <w:rPr>
          <w:rFonts w:ascii="宋体" w:hAnsi="宋体" w:cs="宋体"/>
          <w:sz w:val="24"/>
          <w:highlight w:val="none"/>
        </w:rPr>
      </w:pPr>
      <w:r>
        <w:rPr>
          <w:rFonts w:hint="eastAsia" w:ascii="宋体" w:hAnsi="宋体" w:cs="宋体"/>
          <w:sz w:val="24"/>
          <w:highlight w:val="none"/>
        </w:rPr>
        <w:t>4.结算方式：乙方在每次接受付款前开具等额发票给甲方。</w:t>
      </w:r>
    </w:p>
    <w:p>
      <w:pPr>
        <w:adjustRightInd w:val="0"/>
        <w:snapToGrid w:val="0"/>
        <w:spacing w:line="360" w:lineRule="auto"/>
        <w:rPr>
          <w:rFonts w:ascii="宋体" w:hAnsi="宋体" w:cs="宋体"/>
          <w:b/>
          <w:sz w:val="24"/>
          <w:highlight w:val="none"/>
        </w:rPr>
      </w:pPr>
      <w:r>
        <w:rPr>
          <w:rFonts w:hint="eastAsia" w:ascii="宋体" w:hAnsi="宋体" w:cs="宋体"/>
          <w:b/>
          <w:sz w:val="24"/>
          <w:highlight w:val="none"/>
        </w:rPr>
        <w:t>五、交货期：</w:t>
      </w:r>
    </w:p>
    <w:p>
      <w:pPr>
        <w:adjustRightInd w:val="0"/>
        <w:snapToGrid w:val="0"/>
        <w:spacing w:line="360" w:lineRule="auto"/>
        <w:ind w:firstLine="480" w:firstLineChars="200"/>
        <w:rPr>
          <w:rFonts w:ascii="宋体" w:hAnsi="宋体" w:cs="宋体"/>
          <w:sz w:val="24"/>
          <w:highlight w:val="none"/>
        </w:rPr>
      </w:pPr>
      <w:r>
        <w:rPr>
          <w:rFonts w:hint="eastAsia" w:ascii="宋体" w:hAnsi="宋体" w:cs="宋体"/>
          <w:sz w:val="24"/>
          <w:highlight w:val="none"/>
        </w:rPr>
        <w:t>交货安装期：自合同签订生效之日起20 日历日完成产品安装工作，并正常运行。</w:t>
      </w:r>
    </w:p>
    <w:p>
      <w:pPr>
        <w:adjustRightInd w:val="0"/>
        <w:snapToGrid w:val="0"/>
        <w:spacing w:line="360" w:lineRule="auto"/>
        <w:rPr>
          <w:rFonts w:ascii="宋体" w:hAnsi="宋体" w:cs="宋体"/>
          <w:b/>
          <w:sz w:val="24"/>
          <w:highlight w:val="none"/>
        </w:rPr>
      </w:pPr>
      <w:r>
        <w:rPr>
          <w:rFonts w:hint="eastAsia" w:ascii="宋体" w:hAnsi="宋体" w:cs="宋体"/>
          <w:b/>
          <w:sz w:val="24"/>
          <w:highlight w:val="none"/>
        </w:rPr>
        <w:t>六、质保期</w:t>
      </w:r>
    </w:p>
    <w:p>
      <w:pPr>
        <w:adjustRightInd w:val="0"/>
        <w:snapToGrid w:val="0"/>
        <w:spacing w:line="360" w:lineRule="auto"/>
        <w:ind w:firstLine="475" w:firstLineChars="198"/>
        <w:rPr>
          <w:rFonts w:ascii="宋体" w:hAnsi="宋体" w:cs="宋体"/>
          <w:b/>
          <w:sz w:val="24"/>
        </w:rPr>
      </w:pPr>
      <w:r>
        <w:rPr>
          <w:rFonts w:hint="eastAsia" w:ascii="宋体" w:hAnsi="宋体" w:cs="宋体"/>
          <w:sz w:val="24"/>
          <w:highlight w:val="none"/>
        </w:rPr>
        <w:t>产品自安装、调试正常运行并验收合格之日起免费保修</w:t>
      </w:r>
      <w:r>
        <w:rPr>
          <w:rFonts w:hint="eastAsia" w:ascii="宋体" w:hAnsi="宋体" w:cs="宋体"/>
          <w:sz w:val="24"/>
          <w:highlight w:val="none"/>
          <w:u w:val="single"/>
        </w:rPr>
        <w:t xml:space="preserve"> 贰</w:t>
      </w:r>
      <w:r>
        <w:rPr>
          <w:rFonts w:hint="eastAsia" w:ascii="宋体" w:hAnsi="宋体" w:cs="宋体"/>
          <w:sz w:val="24"/>
          <w:highlight w:val="none"/>
        </w:rPr>
        <w:t>年，终身维护，免费保修期内，同一主要部件出现质量问题经过两次维修后仍无法正常使用，可以更换同型号、同规格</w:t>
      </w:r>
      <w:r>
        <w:rPr>
          <w:rFonts w:hint="eastAsia" w:ascii="宋体" w:hAnsi="宋体" w:cs="宋体"/>
          <w:sz w:val="24"/>
        </w:rPr>
        <w:t>的产品，服务响应时间不超过2小时（工作日），解决问题不超过2小时（工作日），对问题较大短期内暂不能解决的，为不影响甲方正常工作，乙方在三日内免费提供替代产品，确保产品正常运行。</w:t>
      </w:r>
    </w:p>
    <w:p>
      <w:pPr>
        <w:adjustRightInd w:val="0"/>
        <w:snapToGrid w:val="0"/>
        <w:spacing w:line="360" w:lineRule="auto"/>
        <w:rPr>
          <w:rFonts w:ascii="宋体" w:hAnsi="宋体" w:cs="宋体"/>
          <w:b/>
          <w:sz w:val="24"/>
        </w:rPr>
      </w:pPr>
      <w:r>
        <w:rPr>
          <w:rFonts w:hint="eastAsia" w:ascii="宋体" w:hAnsi="宋体" w:cs="宋体"/>
          <w:b/>
          <w:sz w:val="24"/>
        </w:rPr>
        <w:t>七、双方的权利和义务</w:t>
      </w:r>
    </w:p>
    <w:p>
      <w:pPr>
        <w:adjustRightInd w:val="0"/>
        <w:snapToGrid w:val="0"/>
        <w:spacing w:line="360" w:lineRule="auto"/>
        <w:ind w:firstLine="475" w:firstLineChars="198"/>
        <w:rPr>
          <w:rFonts w:ascii="宋体" w:hAnsi="宋体" w:cs="宋体"/>
          <w:sz w:val="24"/>
        </w:rPr>
      </w:pPr>
      <w:r>
        <w:rPr>
          <w:rFonts w:hint="eastAsia" w:ascii="宋体" w:hAnsi="宋体" w:cs="宋体"/>
          <w:sz w:val="24"/>
        </w:rPr>
        <w:t>1.甲方的权利与义务</w:t>
      </w:r>
    </w:p>
    <w:p>
      <w:pPr>
        <w:adjustRightInd w:val="0"/>
        <w:snapToGrid w:val="0"/>
        <w:spacing w:line="360" w:lineRule="auto"/>
        <w:ind w:firstLine="475" w:firstLineChars="198"/>
        <w:rPr>
          <w:rFonts w:ascii="宋体" w:hAnsi="宋体" w:cs="宋体"/>
          <w:sz w:val="24"/>
        </w:rPr>
      </w:pPr>
      <w:r>
        <w:rPr>
          <w:rFonts w:hint="eastAsia" w:ascii="宋体" w:hAnsi="宋体" w:cs="宋体"/>
          <w:sz w:val="24"/>
        </w:rPr>
        <w:t>甲方在收到货物通知后，应按磋商文件的需求进行核实，如发现不符合合同规定或短缺，及时提出，甲方在收到货后，组织人员按提供的技术参数指标进行验收，验收期为30天，逾期未提出异议，则视为验收合格。甲方必须按交货时间交付乙方安装现场，并现场配合。</w:t>
      </w:r>
    </w:p>
    <w:p>
      <w:pPr>
        <w:adjustRightInd w:val="0"/>
        <w:snapToGrid w:val="0"/>
        <w:spacing w:line="360" w:lineRule="auto"/>
        <w:ind w:firstLine="475" w:firstLineChars="198"/>
        <w:rPr>
          <w:rFonts w:ascii="宋体" w:hAnsi="宋体" w:cs="宋体"/>
          <w:sz w:val="24"/>
        </w:rPr>
      </w:pPr>
      <w:r>
        <w:rPr>
          <w:rFonts w:hint="eastAsia" w:ascii="宋体" w:hAnsi="宋体" w:cs="宋体"/>
          <w:sz w:val="24"/>
        </w:rPr>
        <w:t>2.乙方的权利与义务</w:t>
      </w:r>
    </w:p>
    <w:p>
      <w:pPr>
        <w:adjustRightInd w:val="0"/>
        <w:snapToGrid w:val="0"/>
        <w:spacing w:line="360" w:lineRule="auto"/>
        <w:ind w:firstLine="475" w:firstLineChars="198"/>
        <w:rPr>
          <w:rFonts w:ascii="宋体" w:hAnsi="宋体" w:cs="宋体"/>
          <w:sz w:val="24"/>
        </w:rPr>
      </w:pPr>
      <w:r>
        <w:rPr>
          <w:rFonts w:hint="eastAsia" w:ascii="宋体" w:hAnsi="宋体" w:cs="宋体"/>
          <w:sz w:val="24"/>
        </w:rPr>
        <w:t>（1）乙方负责产品在合同约定的时间内交货。</w:t>
      </w:r>
    </w:p>
    <w:p>
      <w:pPr>
        <w:adjustRightInd w:val="0"/>
        <w:snapToGrid w:val="0"/>
        <w:spacing w:line="360" w:lineRule="auto"/>
        <w:ind w:firstLine="475" w:firstLineChars="198"/>
        <w:rPr>
          <w:rFonts w:ascii="宋体" w:hAnsi="宋体" w:cs="宋体"/>
          <w:sz w:val="24"/>
        </w:rPr>
      </w:pPr>
      <w:r>
        <w:rPr>
          <w:rFonts w:hint="eastAsia" w:ascii="宋体" w:hAnsi="宋体" w:cs="宋体"/>
          <w:sz w:val="24"/>
        </w:rPr>
        <w:t>（2）乙方所提供的产品必须是采购需求产品，运输全过程中的安全由乙方负责。</w:t>
      </w:r>
    </w:p>
    <w:p>
      <w:pPr>
        <w:tabs>
          <w:tab w:val="left" w:pos="840"/>
        </w:tabs>
        <w:spacing w:line="360" w:lineRule="auto"/>
        <w:jc w:val="left"/>
        <w:rPr>
          <w:rFonts w:ascii="宋体" w:hAnsi="宋体" w:cs="宋体"/>
          <w:sz w:val="24"/>
        </w:rPr>
      </w:pPr>
      <w:r>
        <w:rPr>
          <w:rFonts w:hint="eastAsia" w:ascii="宋体" w:hAnsi="宋体" w:cs="宋体"/>
          <w:b/>
          <w:sz w:val="24"/>
        </w:rPr>
        <w:t>八、内容及要求：</w:t>
      </w:r>
      <w:r>
        <w:rPr>
          <w:rFonts w:hint="eastAsia" w:ascii="宋体" w:hAnsi="宋体" w:cs="宋体"/>
          <w:sz w:val="24"/>
        </w:rPr>
        <w:t>即交付的产品、服务内容、数量与磋商响应文件、磋商文件等所指明的，或者与本合同所指明的产品、服务内容相一致。（附产品清单及报价明细）</w:t>
      </w:r>
    </w:p>
    <w:p>
      <w:pPr>
        <w:spacing w:after="120"/>
        <w:jc w:val="center"/>
        <w:rPr>
          <w:rFonts w:ascii="宋体" w:hAnsi="宋体" w:cs="宋体"/>
          <w:b/>
          <w:sz w:val="32"/>
          <w:szCs w:val="32"/>
        </w:rPr>
      </w:pPr>
      <w:r>
        <w:rPr>
          <w:rFonts w:hint="eastAsia" w:ascii="宋体" w:hAnsi="宋体" w:cs="宋体"/>
          <w:b/>
          <w:sz w:val="32"/>
          <w:szCs w:val="32"/>
        </w:rPr>
        <w:t>供货内容一览表</w:t>
      </w:r>
    </w:p>
    <w:tbl>
      <w:tblPr>
        <w:tblStyle w:val="19"/>
        <w:tblW w:w="9543"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28" w:type="dxa"/>
          <w:bottom w:w="0" w:type="dxa"/>
          <w:right w:w="28" w:type="dxa"/>
        </w:tblCellMar>
      </w:tblPr>
      <w:tblGrid>
        <w:gridCol w:w="675"/>
        <w:gridCol w:w="960"/>
        <w:gridCol w:w="1485"/>
        <w:gridCol w:w="1695"/>
        <w:gridCol w:w="825"/>
        <w:gridCol w:w="735"/>
        <w:gridCol w:w="1050"/>
        <w:gridCol w:w="1215"/>
        <w:gridCol w:w="903"/>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449" w:hRule="atLeast"/>
          <w:jc w:val="center"/>
        </w:trPr>
        <w:tc>
          <w:tcPr>
            <w:tcW w:w="675" w:type="dxa"/>
            <w:vAlign w:val="center"/>
          </w:tcPr>
          <w:p>
            <w:pPr>
              <w:spacing w:beforeLines="50" w:line="360" w:lineRule="auto"/>
              <w:jc w:val="center"/>
              <w:rPr>
                <w:rFonts w:ascii="宋体" w:hAnsi="宋体" w:cs="宋体"/>
                <w:b/>
              </w:rPr>
            </w:pPr>
            <w:r>
              <w:rPr>
                <w:rFonts w:hint="eastAsia" w:ascii="宋体" w:hAnsi="宋体" w:cs="宋体"/>
                <w:b/>
              </w:rPr>
              <w:t>序号</w:t>
            </w:r>
          </w:p>
        </w:tc>
        <w:tc>
          <w:tcPr>
            <w:tcW w:w="960" w:type="dxa"/>
            <w:vAlign w:val="center"/>
          </w:tcPr>
          <w:p>
            <w:pPr>
              <w:spacing w:beforeLines="50" w:line="360" w:lineRule="auto"/>
              <w:jc w:val="center"/>
              <w:rPr>
                <w:rFonts w:ascii="宋体" w:hAnsi="宋体" w:cs="宋体"/>
                <w:b/>
              </w:rPr>
            </w:pPr>
            <w:r>
              <w:rPr>
                <w:rFonts w:hint="eastAsia" w:ascii="宋体" w:hAnsi="宋体" w:cs="宋体"/>
                <w:b/>
              </w:rPr>
              <w:t>名称</w:t>
            </w:r>
          </w:p>
        </w:tc>
        <w:tc>
          <w:tcPr>
            <w:tcW w:w="1485" w:type="dxa"/>
            <w:tcBorders>
              <w:right w:val="single" w:color="auto" w:sz="4" w:space="0"/>
            </w:tcBorders>
            <w:vAlign w:val="center"/>
          </w:tcPr>
          <w:p>
            <w:pPr>
              <w:pStyle w:val="5"/>
              <w:adjustRightInd w:val="0"/>
              <w:snapToGrid w:val="0"/>
              <w:ind w:left="0"/>
              <w:jc w:val="center"/>
              <w:rPr>
                <w:rFonts w:ascii="宋体" w:hAnsi="宋体" w:cs="宋体"/>
                <w:sz w:val="24"/>
                <w:szCs w:val="24"/>
              </w:rPr>
            </w:pPr>
            <w:r>
              <w:rPr>
                <w:rFonts w:hint="eastAsia" w:ascii="宋体" w:hAnsi="宋体" w:cs="宋体"/>
                <w:sz w:val="24"/>
                <w:szCs w:val="24"/>
              </w:rPr>
              <w:t>品牌、规格及型号</w:t>
            </w:r>
          </w:p>
        </w:tc>
        <w:tc>
          <w:tcPr>
            <w:tcW w:w="1695" w:type="dxa"/>
            <w:tcBorders>
              <w:left w:val="single" w:color="auto" w:sz="4" w:space="0"/>
            </w:tcBorders>
            <w:vAlign w:val="center"/>
          </w:tcPr>
          <w:p>
            <w:pPr>
              <w:pStyle w:val="5"/>
              <w:adjustRightInd w:val="0"/>
              <w:snapToGrid w:val="0"/>
              <w:ind w:left="0"/>
              <w:jc w:val="center"/>
              <w:rPr>
                <w:rFonts w:ascii="宋体" w:hAnsi="宋体" w:cs="宋体"/>
                <w:sz w:val="24"/>
                <w:szCs w:val="24"/>
              </w:rPr>
            </w:pPr>
            <w:r>
              <w:rPr>
                <w:rFonts w:hint="eastAsia" w:ascii="宋体" w:hAnsi="宋体" w:cs="宋体"/>
                <w:sz w:val="24"/>
                <w:szCs w:val="24"/>
              </w:rPr>
              <w:t>原产地及 制造厂名</w:t>
            </w:r>
          </w:p>
        </w:tc>
        <w:tc>
          <w:tcPr>
            <w:tcW w:w="825" w:type="dxa"/>
            <w:tcBorders>
              <w:right w:val="single" w:color="auto" w:sz="4" w:space="0"/>
            </w:tcBorders>
            <w:vAlign w:val="center"/>
          </w:tcPr>
          <w:p>
            <w:pPr>
              <w:pStyle w:val="5"/>
              <w:adjustRightInd w:val="0"/>
              <w:snapToGrid w:val="0"/>
              <w:ind w:left="0"/>
              <w:jc w:val="center"/>
              <w:rPr>
                <w:rFonts w:ascii="宋体" w:hAnsi="宋体" w:cs="宋体"/>
                <w:sz w:val="24"/>
                <w:szCs w:val="24"/>
              </w:rPr>
            </w:pPr>
            <w:r>
              <w:rPr>
                <w:rFonts w:hint="eastAsia" w:ascii="宋体" w:hAnsi="宋体" w:cs="宋体"/>
                <w:sz w:val="24"/>
                <w:szCs w:val="24"/>
              </w:rPr>
              <w:t>单价</w:t>
            </w:r>
          </w:p>
        </w:tc>
        <w:tc>
          <w:tcPr>
            <w:tcW w:w="735" w:type="dxa"/>
            <w:tcBorders>
              <w:left w:val="single" w:color="auto" w:sz="4" w:space="0"/>
              <w:right w:val="single" w:color="auto" w:sz="4" w:space="0"/>
            </w:tcBorders>
            <w:vAlign w:val="center"/>
          </w:tcPr>
          <w:p>
            <w:pPr>
              <w:pStyle w:val="5"/>
              <w:adjustRightInd w:val="0"/>
              <w:snapToGrid w:val="0"/>
              <w:ind w:left="0"/>
              <w:jc w:val="center"/>
              <w:rPr>
                <w:rFonts w:ascii="宋体" w:hAnsi="宋体" w:cs="宋体"/>
                <w:sz w:val="24"/>
                <w:szCs w:val="24"/>
              </w:rPr>
            </w:pPr>
            <w:r>
              <w:rPr>
                <w:rFonts w:hint="eastAsia" w:ascii="宋体" w:hAnsi="宋体" w:cs="宋体"/>
                <w:sz w:val="24"/>
                <w:szCs w:val="24"/>
              </w:rPr>
              <w:t>数量</w:t>
            </w:r>
          </w:p>
        </w:tc>
        <w:tc>
          <w:tcPr>
            <w:tcW w:w="1050" w:type="dxa"/>
            <w:tcBorders>
              <w:left w:val="single" w:color="auto" w:sz="4" w:space="0"/>
            </w:tcBorders>
            <w:vAlign w:val="center"/>
          </w:tcPr>
          <w:p>
            <w:pPr>
              <w:pStyle w:val="5"/>
              <w:ind w:left="0"/>
              <w:jc w:val="center"/>
              <w:rPr>
                <w:rFonts w:ascii="宋体" w:hAnsi="宋体" w:cs="宋体"/>
                <w:sz w:val="24"/>
                <w:szCs w:val="24"/>
              </w:rPr>
            </w:pPr>
            <w:r>
              <w:rPr>
                <w:rFonts w:hint="eastAsia" w:ascii="宋体" w:hAnsi="宋体" w:cs="宋体"/>
                <w:sz w:val="24"/>
                <w:szCs w:val="24"/>
              </w:rPr>
              <w:t>交付地点</w:t>
            </w:r>
          </w:p>
        </w:tc>
        <w:tc>
          <w:tcPr>
            <w:tcW w:w="1215" w:type="dxa"/>
            <w:tcBorders>
              <w:right w:val="single" w:color="auto" w:sz="4" w:space="0"/>
            </w:tcBorders>
            <w:vAlign w:val="center"/>
          </w:tcPr>
          <w:p>
            <w:pPr>
              <w:pStyle w:val="5"/>
              <w:ind w:left="0"/>
              <w:jc w:val="center"/>
              <w:rPr>
                <w:rFonts w:ascii="宋体" w:hAnsi="宋体" w:cs="宋体"/>
                <w:sz w:val="24"/>
                <w:szCs w:val="24"/>
              </w:rPr>
            </w:pPr>
            <w:r>
              <w:rPr>
                <w:rFonts w:hint="eastAsia" w:ascii="宋体" w:hAnsi="宋体" w:cs="宋体"/>
                <w:sz w:val="24"/>
                <w:szCs w:val="24"/>
              </w:rPr>
              <w:t>交付时间</w:t>
            </w:r>
          </w:p>
        </w:tc>
        <w:tc>
          <w:tcPr>
            <w:tcW w:w="903" w:type="dxa"/>
            <w:tcBorders>
              <w:right w:val="single" w:color="auto" w:sz="4" w:space="0"/>
            </w:tcBorders>
            <w:vAlign w:val="center"/>
          </w:tcPr>
          <w:p>
            <w:pPr>
              <w:pStyle w:val="5"/>
              <w:ind w:left="0"/>
              <w:jc w:val="center"/>
              <w:rPr>
                <w:rFonts w:ascii="宋体" w:hAnsi="宋体" w:cs="宋体"/>
                <w:sz w:val="24"/>
                <w:szCs w:val="24"/>
              </w:rPr>
            </w:pPr>
            <w:r>
              <w:rPr>
                <w:rFonts w:hint="eastAsia" w:ascii="宋体" w:hAnsi="宋体" w:cs="宋体"/>
                <w:sz w:val="24"/>
                <w:szCs w:val="24"/>
              </w:rPr>
              <w:t>备注</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449" w:hRule="atLeast"/>
          <w:jc w:val="center"/>
        </w:trPr>
        <w:tc>
          <w:tcPr>
            <w:tcW w:w="675" w:type="dxa"/>
          </w:tcPr>
          <w:p>
            <w:pPr>
              <w:spacing w:beforeLines="50" w:line="360" w:lineRule="auto"/>
              <w:jc w:val="center"/>
              <w:rPr>
                <w:rFonts w:ascii="宋体" w:hAnsi="宋体" w:cs="宋体"/>
              </w:rPr>
            </w:pPr>
          </w:p>
        </w:tc>
        <w:tc>
          <w:tcPr>
            <w:tcW w:w="960" w:type="dxa"/>
          </w:tcPr>
          <w:p>
            <w:pPr>
              <w:spacing w:beforeLines="50" w:line="360" w:lineRule="auto"/>
              <w:jc w:val="center"/>
              <w:rPr>
                <w:rFonts w:ascii="宋体" w:hAnsi="宋体" w:cs="宋体"/>
              </w:rPr>
            </w:pPr>
          </w:p>
        </w:tc>
        <w:tc>
          <w:tcPr>
            <w:tcW w:w="1485" w:type="dxa"/>
            <w:tcBorders>
              <w:right w:val="single" w:color="auto" w:sz="4" w:space="0"/>
            </w:tcBorders>
          </w:tcPr>
          <w:p>
            <w:pPr>
              <w:spacing w:beforeLines="50" w:line="360" w:lineRule="auto"/>
              <w:jc w:val="center"/>
              <w:rPr>
                <w:rFonts w:ascii="宋体" w:hAnsi="宋体" w:cs="宋体"/>
              </w:rPr>
            </w:pPr>
          </w:p>
        </w:tc>
        <w:tc>
          <w:tcPr>
            <w:tcW w:w="1695" w:type="dxa"/>
            <w:tcBorders>
              <w:left w:val="single" w:color="auto" w:sz="4" w:space="0"/>
            </w:tcBorders>
          </w:tcPr>
          <w:p>
            <w:pPr>
              <w:spacing w:beforeLines="50" w:line="360" w:lineRule="auto"/>
              <w:jc w:val="center"/>
              <w:rPr>
                <w:rFonts w:ascii="宋体" w:hAnsi="宋体" w:cs="宋体"/>
              </w:rPr>
            </w:pPr>
          </w:p>
        </w:tc>
        <w:tc>
          <w:tcPr>
            <w:tcW w:w="825" w:type="dxa"/>
            <w:tcBorders>
              <w:right w:val="single" w:color="auto" w:sz="4" w:space="0"/>
            </w:tcBorders>
          </w:tcPr>
          <w:p>
            <w:pPr>
              <w:spacing w:beforeLines="50" w:line="360" w:lineRule="auto"/>
              <w:jc w:val="center"/>
              <w:rPr>
                <w:rFonts w:ascii="宋体" w:hAnsi="宋体" w:cs="宋体"/>
              </w:rPr>
            </w:pPr>
          </w:p>
        </w:tc>
        <w:tc>
          <w:tcPr>
            <w:tcW w:w="735" w:type="dxa"/>
            <w:tcBorders>
              <w:left w:val="single" w:color="auto" w:sz="4" w:space="0"/>
              <w:right w:val="single" w:color="auto" w:sz="4" w:space="0"/>
            </w:tcBorders>
          </w:tcPr>
          <w:p>
            <w:pPr>
              <w:spacing w:beforeLines="50" w:line="360" w:lineRule="auto"/>
              <w:jc w:val="center"/>
              <w:rPr>
                <w:rFonts w:ascii="宋体" w:hAnsi="宋体" w:cs="宋体"/>
              </w:rPr>
            </w:pPr>
          </w:p>
        </w:tc>
        <w:tc>
          <w:tcPr>
            <w:tcW w:w="1050" w:type="dxa"/>
            <w:tcBorders>
              <w:left w:val="single" w:color="auto" w:sz="4" w:space="0"/>
            </w:tcBorders>
          </w:tcPr>
          <w:p>
            <w:pPr>
              <w:spacing w:beforeLines="50" w:line="360" w:lineRule="auto"/>
              <w:jc w:val="center"/>
              <w:rPr>
                <w:rFonts w:ascii="宋体" w:hAnsi="宋体" w:cs="宋体"/>
              </w:rPr>
            </w:pPr>
          </w:p>
        </w:tc>
        <w:tc>
          <w:tcPr>
            <w:tcW w:w="1215" w:type="dxa"/>
            <w:tcBorders>
              <w:right w:val="single" w:color="auto" w:sz="4" w:space="0"/>
            </w:tcBorders>
          </w:tcPr>
          <w:p>
            <w:pPr>
              <w:spacing w:beforeLines="50" w:line="360" w:lineRule="auto"/>
              <w:jc w:val="center"/>
              <w:rPr>
                <w:rFonts w:ascii="宋体" w:hAnsi="宋体" w:cs="宋体"/>
              </w:rPr>
            </w:pPr>
          </w:p>
        </w:tc>
        <w:tc>
          <w:tcPr>
            <w:tcW w:w="903" w:type="dxa"/>
            <w:tcBorders>
              <w:right w:val="single" w:color="auto" w:sz="4" w:space="0"/>
            </w:tcBorders>
          </w:tcPr>
          <w:p>
            <w:pPr>
              <w:spacing w:beforeLines="50" w:line="360" w:lineRule="auto"/>
              <w:jc w:val="center"/>
              <w:rPr>
                <w:rFonts w:ascii="宋体" w:hAnsi="宋体" w:cs="宋体"/>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449" w:hRule="atLeast"/>
          <w:jc w:val="center"/>
        </w:trPr>
        <w:tc>
          <w:tcPr>
            <w:tcW w:w="675" w:type="dxa"/>
          </w:tcPr>
          <w:p>
            <w:pPr>
              <w:spacing w:beforeLines="50" w:line="360" w:lineRule="auto"/>
              <w:jc w:val="center"/>
              <w:rPr>
                <w:rFonts w:ascii="宋体" w:hAnsi="宋体" w:cs="宋体"/>
              </w:rPr>
            </w:pPr>
          </w:p>
        </w:tc>
        <w:tc>
          <w:tcPr>
            <w:tcW w:w="960" w:type="dxa"/>
          </w:tcPr>
          <w:p>
            <w:pPr>
              <w:spacing w:beforeLines="50" w:line="360" w:lineRule="auto"/>
              <w:jc w:val="center"/>
              <w:rPr>
                <w:rFonts w:ascii="宋体" w:hAnsi="宋体" w:cs="宋体"/>
              </w:rPr>
            </w:pPr>
          </w:p>
        </w:tc>
        <w:tc>
          <w:tcPr>
            <w:tcW w:w="1485" w:type="dxa"/>
            <w:tcBorders>
              <w:right w:val="single" w:color="auto" w:sz="4" w:space="0"/>
            </w:tcBorders>
          </w:tcPr>
          <w:p>
            <w:pPr>
              <w:spacing w:beforeLines="50" w:line="360" w:lineRule="auto"/>
              <w:jc w:val="center"/>
              <w:rPr>
                <w:rFonts w:ascii="宋体" w:hAnsi="宋体" w:cs="宋体"/>
              </w:rPr>
            </w:pPr>
          </w:p>
        </w:tc>
        <w:tc>
          <w:tcPr>
            <w:tcW w:w="1695" w:type="dxa"/>
            <w:tcBorders>
              <w:left w:val="single" w:color="auto" w:sz="4" w:space="0"/>
            </w:tcBorders>
          </w:tcPr>
          <w:p>
            <w:pPr>
              <w:spacing w:beforeLines="50" w:line="360" w:lineRule="auto"/>
              <w:jc w:val="center"/>
              <w:rPr>
                <w:rFonts w:ascii="宋体" w:hAnsi="宋体" w:cs="宋体"/>
              </w:rPr>
            </w:pPr>
          </w:p>
        </w:tc>
        <w:tc>
          <w:tcPr>
            <w:tcW w:w="825" w:type="dxa"/>
            <w:tcBorders>
              <w:right w:val="single" w:color="auto" w:sz="4" w:space="0"/>
            </w:tcBorders>
          </w:tcPr>
          <w:p>
            <w:pPr>
              <w:spacing w:beforeLines="50" w:line="360" w:lineRule="auto"/>
              <w:jc w:val="center"/>
              <w:rPr>
                <w:rFonts w:ascii="宋体" w:hAnsi="宋体" w:cs="宋体"/>
              </w:rPr>
            </w:pPr>
          </w:p>
        </w:tc>
        <w:tc>
          <w:tcPr>
            <w:tcW w:w="735" w:type="dxa"/>
            <w:tcBorders>
              <w:left w:val="single" w:color="auto" w:sz="4" w:space="0"/>
              <w:right w:val="single" w:color="auto" w:sz="4" w:space="0"/>
            </w:tcBorders>
          </w:tcPr>
          <w:p>
            <w:pPr>
              <w:spacing w:beforeLines="50" w:line="360" w:lineRule="auto"/>
              <w:jc w:val="center"/>
              <w:rPr>
                <w:rFonts w:ascii="宋体" w:hAnsi="宋体" w:cs="宋体"/>
              </w:rPr>
            </w:pPr>
          </w:p>
        </w:tc>
        <w:tc>
          <w:tcPr>
            <w:tcW w:w="1050" w:type="dxa"/>
            <w:tcBorders>
              <w:left w:val="single" w:color="auto" w:sz="4" w:space="0"/>
            </w:tcBorders>
          </w:tcPr>
          <w:p>
            <w:pPr>
              <w:spacing w:beforeLines="50" w:line="360" w:lineRule="auto"/>
              <w:jc w:val="center"/>
              <w:rPr>
                <w:rFonts w:ascii="宋体" w:hAnsi="宋体" w:cs="宋体"/>
              </w:rPr>
            </w:pPr>
          </w:p>
        </w:tc>
        <w:tc>
          <w:tcPr>
            <w:tcW w:w="1215" w:type="dxa"/>
            <w:tcBorders>
              <w:right w:val="single" w:color="auto" w:sz="4" w:space="0"/>
            </w:tcBorders>
          </w:tcPr>
          <w:p>
            <w:pPr>
              <w:spacing w:beforeLines="50" w:line="360" w:lineRule="auto"/>
              <w:jc w:val="center"/>
              <w:rPr>
                <w:rFonts w:ascii="宋体" w:hAnsi="宋体" w:cs="宋体"/>
              </w:rPr>
            </w:pPr>
          </w:p>
        </w:tc>
        <w:tc>
          <w:tcPr>
            <w:tcW w:w="903" w:type="dxa"/>
            <w:tcBorders>
              <w:right w:val="single" w:color="auto" w:sz="4" w:space="0"/>
            </w:tcBorders>
          </w:tcPr>
          <w:p>
            <w:pPr>
              <w:spacing w:beforeLines="50" w:line="360" w:lineRule="auto"/>
              <w:jc w:val="center"/>
              <w:rPr>
                <w:rFonts w:ascii="宋体" w:hAnsi="宋体" w:cs="宋体"/>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449" w:hRule="atLeast"/>
          <w:jc w:val="center"/>
        </w:trPr>
        <w:tc>
          <w:tcPr>
            <w:tcW w:w="675" w:type="dxa"/>
          </w:tcPr>
          <w:p>
            <w:pPr>
              <w:spacing w:beforeLines="50" w:line="360" w:lineRule="auto"/>
              <w:jc w:val="center"/>
              <w:rPr>
                <w:rFonts w:ascii="宋体" w:hAnsi="宋体" w:cs="宋体"/>
              </w:rPr>
            </w:pPr>
          </w:p>
        </w:tc>
        <w:tc>
          <w:tcPr>
            <w:tcW w:w="960" w:type="dxa"/>
          </w:tcPr>
          <w:p>
            <w:pPr>
              <w:spacing w:beforeLines="50" w:line="360" w:lineRule="auto"/>
              <w:jc w:val="center"/>
              <w:rPr>
                <w:rFonts w:ascii="宋体" w:hAnsi="宋体" w:cs="宋体"/>
              </w:rPr>
            </w:pPr>
          </w:p>
        </w:tc>
        <w:tc>
          <w:tcPr>
            <w:tcW w:w="1485" w:type="dxa"/>
            <w:tcBorders>
              <w:right w:val="single" w:color="auto" w:sz="4" w:space="0"/>
            </w:tcBorders>
          </w:tcPr>
          <w:p>
            <w:pPr>
              <w:spacing w:beforeLines="50" w:line="360" w:lineRule="auto"/>
              <w:jc w:val="center"/>
              <w:rPr>
                <w:rFonts w:ascii="宋体" w:hAnsi="宋体" w:cs="宋体"/>
              </w:rPr>
            </w:pPr>
          </w:p>
        </w:tc>
        <w:tc>
          <w:tcPr>
            <w:tcW w:w="1695" w:type="dxa"/>
            <w:tcBorders>
              <w:left w:val="single" w:color="auto" w:sz="4" w:space="0"/>
            </w:tcBorders>
          </w:tcPr>
          <w:p>
            <w:pPr>
              <w:spacing w:beforeLines="50" w:line="360" w:lineRule="auto"/>
              <w:jc w:val="center"/>
              <w:rPr>
                <w:rFonts w:ascii="宋体" w:hAnsi="宋体" w:cs="宋体"/>
              </w:rPr>
            </w:pPr>
          </w:p>
        </w:tc>
        <w:tc>
          <w:tcPr>
            <w:tcW w:w="825" w:type="dxa"/>
            <w:tcBorders>
              <w:right w:val="single" w:color="auto" w:sz="4" w:space="0"/>
            </w:tcBorders>
          </w:tcPr>
          <w:p>
            <w:pPr>
              <w:spacing w:beforeLines="50" w:line="360" w:lineRule="auto"/>
              <w:jc w:val="center"/>
              <w:rPr>
                <w:rFonts w:ascii="宋体" w:hAnsi="宋体" w:cs="宋体"/>
              </w:rPr>
            </w:pPr>
          </w:p>
        </w:tc>
        <w:tc>
          <w:tcPr>
            <w:tcW w:w="735" w:type="dxa"/>
            <w:tcBorders>
              <w:left w:val="single" w:color="auto" w:sz="4" w:space="0"/>
              <w:right w:val="single" w:color="auto" w:sz="4" w:space="0"/>
            </w:tcBorders>
          </w:tcPr>
          <w:p>
            <w:pPr>
              <w:spacing w:beforeLines="50" w:line="360" w:lineRule="auto"/>
              <w:jc w:val="center"/>
              <w:rPr>
                <w:rFonts w:ascii="宋体" w:hAnsi="宋体" w:cs="宋体"/>
              </w:rPr>
            </w:pPr>
          </w:p>
        </w:tc>
        <w:tc>
          <w:tcPr>
            <w:tcW w:w="1050" w:type="dxa"/>
            <w:tcBorders>
              <w:left w:val="single" w:color="auto" w:sz="4" w:space="0"/>
            </w:tcBorders>
          </w:tcPr>
          <w:p>
            <w:pPr>
              <w:spacing w:beforeLines="50" w:line="360" w:lineRule="auto"/>
              <w:jc w:val="center"/>
              <w:rPr>
                <w:rFonts w:ascii="宋体" w:hAnsi="宋体" w:cs="宋体"/>
              </w:rPr>
            </w:pPr>
          </w:p>
        </w:tc>
        <w:tc>
          <w:tcPr>
            <w:tcW w:w="1215" w:type="dxa"/>
            <w:tcBorders>
              <w:right w:val="single" w:color="auto" w:sz="4" w:space="0"/>
            </w:tcBorders>
          </w:tcPr>
          <w:p>
            <w:pPr>
              <w:spacing w:beforeLines="50" w:line="360" w:lineRule="auto"/>
              <w:jc w:val="center"/>
              <w:rPr>
                <w:rFonts w:ascii="宋体" w:hAnsi="宋体" w:cs="宋体"/>
              </w:rPr>
            </w:pPr>
          </w:p>
        </w:tc>
        <w:tc>
          <w:tcPr>
            <w:tcW w:w="903" w:type="dxa"/>
            <w:tcBorders>
              <w:right w:val="single" w:color="auto" w:sz="4" w:space="0"/>
            </w:tcBorders>
          </w:tcPr>
          <w:p>
            <w:pPr>
              <w:spacing w:beforeLines="50" w:line="360" w:lineRule="auto"/>
              <w:jc w:val="center"/>
              <w:rPr>
                <w:rFonts w:ascii="宋体" w:hAnsi="宋体" w:cs="宋体"/>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449" w:hRule="atLeast"/>
          <w:jc w:val="center"/>
        </w:trPr>
        <w:tc>
          <w:tcPr>
            <w:tcW w:w="675" w:type="dxa"/>
          </w:tcPr>
          <w:p>
            <w:pPr>
              <w:spacing w:beforeLines="50" w:line="360" w:lineRule="auto"/>
              <w:jc w:val="center"/>
              <w:rPr>
                <w:rFonts w:ascii="宋体" w:hAnsi="宋体" w:cs="宋体"/>
              </w:rPr>
            </w:pPr>
          </w:p>
        </w:tc>
        <w:tc>
          <w:tcPr>
            <w:tcW w:w="960" w:type="dxa"/>
          </w:tcPr>
          <w:p>
            <w:pPr>
              <w:spacing w:beforeLines="50" w:line="360" w:lineRule="auto"/>
              <w:jc w:val="center"/>
              <w:rPr>
                <w:rFonts w:ascii="宋体" w:hAnsi="宋体" w:cs="宋体"/>
              </w:rPr>
            </w:pPr>
          </w:p>
        </w:tc>
        <w:tc>
          <w:tcPr>
            <w:tcW w:w="1485" w:type="dxa"/>
            <w:tcBorders>
              <w:right w:val="single" w:color="auto" w:sz="4" w:space="0"/>
            </w:tcBorders>
          </w:tcPr>
          <w:p>
            <w:pPr>
              <w:spacing w:beforeLines="50" w:line="360" w:lineRule="auto"/>
              <w:jc w:val="center"/>
              <w:rPr>
                <w:rFonts w:ascii="宋体" w:hAnsi="宋体" w:cs="宋体"/>
              </w:rPr>
            </w:pPr>
          </w:p>
        </w:tc>
        <w:tc>
          <w:tcPr>
            <w:tcW w:w="1695" w:type="dxa"/>
            <w:tcBorders>
              <w:left w:val="single" w:color="auto" w:sz="4" w:space="0"/>
            </w:tcBorders>
          </w:tcPr>
          <w:p>
            <w:pPr>
              <w:spacing w:beforeLines="50" w:line="360" w:lineRule="auto"/>
              <w:jc w:val="center"/>
              <w:rPr>
                <w:rFonts w:ascii="宋体" w:hAnsi="宋体" w:cs="宋体"/>
              </w:rPr>
            </w:pPr>
          </w:p>
        </w:tc>
        <w:tc>
          <w:tcPr>
            <w:tcW w:w="825" w:type="dxa"/>
            <w:tcBorders>
              <w:right w:val="single" w:color="auto" w:sz="4" w:space="0"/>
            </w:tcBorders>
          </w:tcPr>
          <w:p>
            <w:pPr>
              <w:spacing w:beforeLines="50" w:line="360" w:lineRule="auto"/>
              <w:jc w:val="center"/>
              <w:rPr>
                <w:rFonts w:ascii="宋体" w:hAnsi="宋体" w:cs="宋体"/>
              </w:rPr>
            </w:pPr>
          </w:p>
        </w:tc>
        <w:tc>
          <w:tcPr>
            <w:tcW w:w="735" w:type="dxa"/>
            <w:tcBorders>
              <w:left w:val="single" w:color="auto" w:sz="4" w:space="0"/>
              <w:right w:val="single" w:color="auto" w:sz="4" w:space="0"/>
            </w:tcBorders>
          </w:tcPr>
          <w:p>
            <w:pPr>
              <w:spacing w:beforeLines="50" w:line="360" w:lineRule="auto"/>
              <w:jc w:val="center"/>
              <w:rPr>
                <w:rFonts w:ascii="宋体" w:hAnsi="宋体" w:cs="宋体"/>
              </w:rPr>
            </w:pPr>
          </w:p>
        </w:tc>
        <w:tc>
          <w:tcPr>
            <w:tcW w:w="1050" w:type="dxa"/>
            <w:tcBorders>
              <w:left w:val="single" w:color="auto" w:sz="4" w:space="0"/>
            </w:tcBorders>
          </w:tcPr>
          <w:p>
            <w:pPr>
              <w:spacing w:beforeLines="50" w:line="360" w:lineRule="auto"/>
              <w:jc w:val="center"/>
              <w:rPr>
                <w:rFonts w:ascii="宋体" w:hAnsi="宋体" w:cs="宋体"/>
              </w:rPr>
            </w:pPr>
          </w:p>
        </w:tc>
        <w:tc>
          <w:tcPr>
            <w:tcW w:w="1215" w:type="dxa"/>
            <w:tcBorders>
              <w:right w:val="single" w:color="auto" w:sz="4" w:space="0"/>
            </w:tcBorders>
          </w:tcPr>
          <w:p>
            <w:pPr>
              <w:spacing w:beforeLines="50" w:line="360" w:lineRule="auto"/>
              <w:jc w:val="center"/>
              <w:rPr>
                <w:rFonts w:ascii="宋体" w:hAnsi="宋体" w:cs="宋体"/>
              </w:rPr>
            </w:pPr>
          </w:p>
        </w:tc>
        <w:tc>
          <w:tcPr>
            <w:tcW w:w="903" w:type="dxa"/>
            <w:tcBorders>
              <w:right w:val="single" w:color="auto" w:sz="4" w:space="0"/>
            </w:tcBorders>
          </w:tcPr>
          <w:p>
            <w:pPr>
              <w:spacing w:beforeLines="50" w:line="360" w:lineRule="auto"/>
              <w:jc w:val="center"/>
              <w:rPr>
                <w:rFonts w:ascii="宋体" w:hAnsi="宋体" w:cs="宋体"/>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449" w:hRule="atLeast"/>
          <w:jc w:val="center"/>
        </w:trPr>
        <w:tc>
          <w:tcPr>
            <w:tcW w:w="675" w:type="dxa"/>
          </w:tcPr>
          <w:p>
            <w:pPr>
              <w:spacing w:beforeLines="50" w:line="360" w:lineRule="auto"/>
              <w:jc w:val="center"/>
              <w:rPr>
                <w:rFonts w:ascii="宋体" w:hAnsi="宋体" w:cs="宋体"/>
              </w:rPr>
            </w:pPr>
          </w:p>
        </w:tc>
        <w:tc>
          <w:tcPr>
            <w:tcW w:w="960" w:type="dxa"/>
          </w:tcPr>
          <w:p>
            <w:pPr>
              <w:spacing w:beforeLines="50" w:line="360" w:lineRule="auto"/>
              <w:jc w:val="center"/>
              <w:rPr>
                <w:rFonts w:ascii="宋体" w:hAnsi="宋体" w:cs="宋体"/>
              </w:rPr>
            </w:pPr>
          </w:p>
        </w:tc>
        <w:tc>
          <w:tcPr>
            <w:tcW w:w="1485" w:type="dxa"/>
            <w:tcBorders>
              <w:right w:val="single" w:color="auto" w:sz="4" w:space="0"/>
            </w:tcBorders>
          </w:tcPr>
          <w:p>
            <w:pPr>
              <w:spacing w:beforeLines="50" w:line="360" w:lineRule="auto"/>
              <w:jc w:val="center"/>
              <w:rPr>
                <w:rFonts w:ascii="宋体" w:hAnsi="宋体" w:cs="宋体"/>
              </w:rPr>
            </w:pPr>
          </w:p>
        </w:tc>
        <w:tc>
          <w:tcPr>
            <w:tcW w:w="1695" w:type="dxa"/>
            <w:tcBorders>
              <w:left w:val="single" w:color="auto" w:sz="4" w:space="0"/>
            </w:tcBorders>
          </w:tcPr>
          <w:p>
            <w:pPr>
              <w:spacing w:beforeLines="50" w:line="360" w:lineRule="auto"/>
              <w:jc w:val="center"/>
              <w:rPr>
                <w:rFonts w:ascii="宋体" w:hAnsi="宋体" w:cs="宋体"/>
              </w:rPr>
            </w:pPr>
          </w:p>
        </w:tc>
        <w:tc>
          <w:tcPr>
            <w:tcW w:w="825" w:type="dxa"/>
            <w:tcBorders>
              <w:right w:val="single" w:color="auto" w:sz="4" w:space="0"/>
            </w:tcBorders>
          </w:tcPr>
          <w:p>
            <w:pPr>
              <w:spacing w:beforeLines="50" w:line="360" w:lineRule="auto"/>
              <w:jc w:val="center"/>
              <w:rPr>
                <w:rFonts w:ascii="宋体" w:hAnsi="宋体" w:cs="宋体"/>
              </w:rPr>
            </w:pPr>
          </w:p>
        </w:tc>
        <w:tc>
          <w:tcPr>
            <w:tcW w:w="735" w:type="dxa"/>
            <w:tcBorders>
              <w:left w:val="single" w:color="auto" w:sz="4" w:space="0"/>
              <w:right w:val="single" w:color="auto" w:sz="4" w:space="0"/>
            </w:tcBorders>
          </w:tcPr>
          <w:p>
            <w:pPr>
              <w:spacing w:beforeLines="50" w:line="360" w:lineRule="auto"/>
              <w:jc w:val="center"/>
              <w:rPr>
                <w:rFonts w:ascii="宋体" w:hAnsi="宋体" w:cs="宋体"/>
              </w:rPr>
            </w:pPr>
          </w:p>
        </w:tc>
        <w:tc>
          <w:tcPr>
            <w:tcW w:w="1050" w:type="dxa"/>
            <w:tcBorders>
              <w:left w:val="single" w:color="auto" w:sz="4" w:space="0"/>
            </w:tcBorders>
          </w:tcPr>
          <w:p>
            <w:pPr>
              <w:spacing w:beforeLines="50" w:line="360" w:lineRule="auto"/>
              <w:jc w:val="center"/>
              <w:rPr>
                <w:rFonts w:ascii="宋体" w:hAnsi="宋体" w:cs="宋体"/>
              </w:rPr>
            </w:pPr>
          </w:p>
        </w:tc>
        <w:tc>
          <w:tcPr>
            <w:tcW w:w="1215" w:type="dxa"/>
            <w:tcBorders>
              <w:right w:val="single" w:color="auto" w:sz="4" w:space="0"/>
            </w:tcBorders>
          </w:tcPr>
          <w:p>
            <w:pPr>
              <w:spacing w:beforeLines="50" w:line="360" w:lineRule="auto"/>
              <w:jc w:val="center"/>
              <w:rPr>
                <w:rFonts w:ascii="宋体" w:hAnsi="宋体" w:cs="宋体"/>
              </w:rPr>
            </w:pPr>
          </w:p>
        </w:tc>
        <w:tc>
          <w:tcPr>
            <w:tcW w:w="903" w:type="dxa"/>
            <w:tcBorders>
              <w:right w:val="single" w:color="auto" w:sz="4" w:space="0"/>
            </w:tcBorders>
          </w:tcPr>
          <w:p>
            <w:pPr>
              <w:spacing w:beforeLines="50" w:line="360" w:lineRule="auto"/>
              <w:jc w:val="center"/>
              <w:rPr>
                <w:rFonts w:ascii="宋体" w:hAnsi="宋体" w:cs="宋体"/>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449" w:hRule="atLeast"/>
          <w:jc w:val="center"/>
        </w:trPr>
        <w:tc>
          <w:tcPr>
            <w:tcW w:w="675" w:type="dxa"/>
          </w:tcPr>
          <w:p>
            <w:pPr>
              <w:spacing w:beforeLines="50" w:line="360" w:lineRule="auto"/>
              <w:jc w:val="center"/>
              <w:rPr>
                <w:rFonts w:ascii="宋体" w:hAnsi="宋体" w:cs="宋体"/>
              </w:rPr>
            </w:pPr>
          </w:p>
        </w:tc>
        <w:tc>
          <w:tcPr>
            <w:tcW w:w="960" w:type="dxa"/>
          </w:tcPr>
          <w:p>
            <w:pPr>
              <w:spacing w:beforeLines="50" w:line="360" w:lineRule="auto"/>
              <w:jc w:val="center"/>
              <w:rPr>
                <w:rFonts w:ascii="宋体" w:hAnsi="宋体" w:cs="宋体"/>
              </w:rPr>
            </w:pPr>
          </w:p>
        </w:tc>
        <w:tc>
          <w:tcPr>
            <w:tcW w:w="1485" w:type="dxa"/>
            <w:tcBorders>
              <w:right w:val="single" w:color="auto" w:sz="4" w:space="0"/>
            </w:tcBorders>
          </w:tcPr>
          <w:p>
            <w:pPr>
              <w:spacing w:beforeLines="50" w:line="360" w:lineRule="auto"/>
              <w:jc w:val="center"/>
              <w:rPr>
                <w:rFonts w:ascii="宋体" w:hAnsi="宋体" w:cs="宋体"/>
              </w:rPr>
            </w:pPr>
          </w:p>
        </w:tc>
        <w:tc>
          <w:tcPr>
            <w:tcW w:w="1695" w:type="dxa"/>
            <w:tcBorders>
              <w:left w:val="single" w:color="auto" w:sz="4" w:space="0"/>
            </w:tcBorders>
          </w:tcPr>
          <w:p>
            <w:pPr>
              <w:spacing w:beforeLines="50" w:line="360" w:lineRule="auto"/>
              <w:jc w:val="center"/>
              <w:rPr>
                <w:rFonts w:ascii="宋体" w:hAnsi="宋体" w:cs="宋体"/>
              </w:rPr>
            </w:pPr>
          </w:p>
        </w:tc>
        <w:tc>
          <w:tcPr>
            <w:tcW w:w="825" w:type="dxa"/>
            <w:tcBorders>
              <w:right w:val="single" w:color="auto" w:sz="4" w:space="0"/>
            </w:tcBorders>
          </w:tcPr>
          <w:p>
            <w:pPr>
              <w:spacing w:beforeLines="50" w:line="360" w:lineRule="auto"/>
              <w:jc w:val="center"/>
              <w:rPr>
                <w:rFonts w:ascii="宋体" w:hAnsi="宋体" w:cs="宋体"/>
              </w:rPr>
            </w:pPr>
          </w:p>
        </w:tc>
        <w:tc>
          <w:tcPr>
            <w:tcW w:w="735" w:type="dxa"/>
            <w:tcBorders>
              <w:left w:val="single" w:color="auto" w:sz="4" w:space="0"/>
              <w:right w:val="single" w:color="auto" w:sz="4" w:space="0"/>
            </w:tcBorders>
          </w:tcPr>
          <w:p>
            <w:pPr>
              <w:spacing w:beforeLines="50" w:line="360" w:lineRule="auto"/>
              <w:jc w:val="center"/>
              <w:rPr>
                <w:rFonts w:ascii="宋体" w:hAnsi="宋体" w:cs="宋体"/>
              </w:rPr>
            </w:pPr>
          </w:p>
        </w:tc>
        <w:tc>
          <w:tcPr>
            <w:tcW w:w="1050" w:type="dxa"/>
            <w:tcBorders>
              <w:left w:val="single" w:color="auto" w:sz="4" w:space="0"/>
            </w:tcBorders>
          </w:tcPr>
          <w:p>
            <w:pPr>
              <w:spacing w:beforeLines="50" w:line="360" w:lineRule="auto"/>
              <w:jc w:val="center"/>
              <w:rPr>
                <w:rFonts w:ascii="宋体" w:hAnsi="宋体" w:cs="宋体"/>
              </w:rPr>
            </w:pPr>
          </w:p>
        </w:tc>
        <w:tc>
          <w:tcPr>
            <w:tcW w:w="1215" w:type="dxa"/>
            <w:tcBorders>
              <w:right w:val="single" w:color="auto" w:sz="4" w:space="0"/>
            </w:tcBorders>
          </w:tcPr>
          <w:p>
            <w:pPr>
              <w:spacing w:beforeLines="50" w:line="360" w:lineRule="auto"/>
              <w:jc w:val="center"/>
              <w:rPr>
                <w:rFonts w:ascii="宋体" w:hAnsi="宋体" w:cs="宋体"/>
              </w:rPr>
            </w:pPr>
          </w:p>
        </w:tc>
        <w:tc>
          <w:tcPr>
            <w:tcW w:w="903" w:type="dxa"/>
            <w:tcBorders>
              <w:right w:val="single" w:color="auto" w:sz="4" w:space="0"/>
            </w:tcBorders>
          </w:tcPr>
          <w:p>
            <w:pPr>
              <w:spacing w:beforeLines="50" w:line="360" w:lineRule="auto"/>
              <w:jc w:val="center"/>
              <w:rPr>
                <w:rFonts w:ascii="宋体" w:hAnsi="宋体" w:cs="宋体"/>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449" w:hRule="atLeast"/>
          <w:jc w:val="center"/>
        </w:trPr>
        <w:tc>
          <w:tcPr>
            <w:tcW w:w="675" w:type="dxa"/>
          </w:tcPr>
          <w:p>
            <w:pPr>
              <w:spacing w:beforeLines="50" w:line="360" w:lineRule="auto"/>
              <w:jc w:val="center"/>
              <w:rPr>
                <w:rFonts w:ascii="宋体" w:hAnsi="宋体" w:cs="宋体"/>
              </w:rPr>
            </w:pPr>
          </w:p>
        </w:tc>
        <w:tc>
          <w:tcPr>
            <w:tcW w:w="960" w:type="dxa"/>
          </w:tcPr>
          <w:p>
            <w:pPr>
              <w:spacing w:beforeLines="50" w:line="360" w:lineRule="auto"/>
              <w:jc w:val="center"/>
              <w:rPr>
                <w:rFonts w:ascii="宋体" w:hAnsi="宋体" w:cs="宋体"/>
              </w:rPr>
            </w:pPr>
          </w:p>
        </w:tc>
        <w:tc>
          <w:tcPr>
            <w:tcW w:w="1485" w:type="dxa"/>
            <w:tcBorders>
              <w:right w:val="single" w:color="auto" w:sz="4" w:space="0"/>
            </w:tcBorders>
          </w:tcPr>
          <w:p>
            <w:pPr>
              <w:spacing w:beforeLines="50" w:line="360" w:lineRule="auto"/>
              <w:jc w:val="center"/>
              <w:rPr>
                <w:rFonts w:ascii="宋体" w:hAnsi="宋体" w:cs="宋体"/>
              </w:rPr>
            </w:pPr>
          </w:p>
        </w:tc>
        <w:tc>
          <w:tcPr>
            <w:tcW w:w="1695" w:type="dxa"/>
            <w:tcBorders>
              <w:left w:val="single" w:color="auto" w:sz="4" w:space="0"/>
            </w:tcBorders>
          </w:tcPr>
          <w:p>
            <w:pPr>
              <w:spacing w:beforeLines="50" w:line="360" w:lineRule="auto"/>
              <w:jc w:val="center"/>
              <w:rPr>
                <w:rFonts w:ascii="宋体" w:hAnsi="宋体" w:cs="宋体"/>
              </w:rPr>
            </w:pPr>
          </w:p>
        </w:tc>
        <w:tc>
          <w:tcPr>
            <w:tcW w:w="825" w:type="dxa"/>
            <w:tcBorders>
              <w:right w:val="single" w:color="auto" w:sz="4" w:space="0"/>
            </w:tcBorders>
          </w:tcPr>
          <w:p>
            <w:pPr>
              <w:spacing w:beforeLines="50" w:line="360" w:lineRule="auto"/>
              <w:jc w:val="center"/>
              <w:rPr>
                <w:rFonts w:ascii="宋体" w:hAnsi="宋体" w:cs="宋体"/>
              </w:rPr>
            </w:pPr>
          </w:p>
        </w:tc>
        <w:tc>
          <w:tcPr>
            <w:tcW w:w="735" w:type="dxa"/>
            <w:tcBorders>
              <w:left w:val="single" w:color="auto" w:sz="4" w:space="0"/>
              <w:right w:val="single" w:color="auto" w:sz="4" w:space="0"/>
            </w:tcBorders>
          </w:tcPr>
          <w:p>
            <w:pPr>
              <w:spacing w:beforeLines="50" w:line="360" w:lineRule="auto"/>
              <w:jc w:val="center"/>
              <w:rPr>
                <w:rFonts w:ascii="宋体" w:hAnsi="宋体" w:cs="宋体"/>
              </w:rPr>
            </w:pPr>
          </w:p>
        </w:tc>
        <w:tc>
          <w:tcPr>
            <w:tcW w:w="1050" w:type="dxa"/>
            <w:tcBorders>
              <w:left w:val="single" w:color="auto" w:sz="4" w:space="0"/>
            </w:tcBorders>
          </w:tcPr>
          <w:p>
            <w:pPr>
              <w:spacing w:beforeLines="50" w:line="360" w:lineRule="auto"/>
              <w:jc w:val="center"/>
              <w:rPr>
                <w:rFonts w:ascii="宋体" w:hAnsi="宋体" w:cs="宋体"/>
              </w:rPr>
            </w:pPr>
          </w:p>
        </w:tc>
        <w:tc>
          <w:tcPr>
            <w:tcW w:w="1215" w:type="dxa"/>
            <w:tcBorders>
              <w:right w:val="single" w:color="auto" w:sz="4" w:space="0"/>
            </w:tcBorders>
          </w:tcPr>
          <w:p>
            <w:pPr>
              <w:spacing w:beforeLines="50" w:line="360" w:lineRule="auto"/>
              <w:jc w:val="center"/>
              <w:rPr>
                <w:rFonts w:ascii="宋体" w:hAnsi="宋体" w:cs="宋体"/>
              </w:rPr>
            </w:pPr>
          </w:p>
        </w:tc>
        <w:tc>
          <w:tcPr>
            <w:tcW w:w="903" w:type="dxa"/>
            <w:tcBorders>
              <w:right w:val="single" w:color="auto" w:sz="4" w:space="0"/>
            </w:tcBorders>
          </w:tcPr>
          <w:p>
            <w:pPr>
              <w:spacing w:beforeLines="50" w:line="360" w:lineRule="auto"/>
              <w:jc w:val="center"/>
              <w:rPr>
                <w:rFonts w:ascii="宋体" w:hAnsi="宋体" w:cs="宋体"/>
              </w:rPr>
            </w:pPr>
          </w:p>
        </w:tc>
      </w:tr>
    </w:tbl>
    <w:p>
      <w:pPr>
        <w:spacing w:line="360" w:lineRule="auto"/>
        <w:rPr>
          <w:rFonts w:ascii="宋体" w:hAnsi="宋体" w:cs="宋体"/>
          <w:b/>
          <w:sz w:val="24"/>
        </w:rPr>
      </w:pPr>
      <w:r>
        <w:rPr>
          <w:rFonts w:hint="eastAsia" w:ascii="宋体" w:hAnsi="宋体" w:cs="宋体"/>
          <w:b/>
          <w:sz w:val="24"/>
        </w:rPr>
        <w:t>九、安装要求：</w:t>
      </w:r>
    </w:p>
    <w:p>
      <w:pPr>
        <w:adjustRightInd w:val="0"/>
        <w:snapToGrid w:val="0"/>
        <w:spacing w:line="360" w:lineRule="auto"/>
        <w:ind w:firstLine="480" w:firstLineChars="200"/>
        <w:rPr>
          <w:rFonts w:ascii="宋体" w:hAnsi="宋体" w:cs="宋体"/>
          <w:sz w:val="24"/>
        </w:rPr>
      </w:pPr>
      <w:r>
        <w:rPr>
          <w:rFonts w:hint="eastAsia" w:ascii="宋体" w:hAnsi="宋体" w:cs="宋体"/>
          <w:sz w:val="24"/>
        </w:rPr>
        <w:t>1.由供应商负责派技术人员到现场进行安装、调试至验收合格。</w:t>
      </w:r>
    </w:p>
    <w:p>
      <w:pPr>
        <w:adjustRightInd w:val="0"/>
        <w:snapToGrid w:val="0"/>
        <w:spacing w:line="360" w:lineRule="auto"/>
        <w:ind w:firstLine="480" w:firstLineChars="200"/>
        <w:rPr>
          <w:rFonts w:ascii="宋体" w:hAnsi="宋体" w:cs="宋体"/>
          <w:sz w:val="24"/>
        </w:rPr>
      </w:pPr>
      <w:r>
        <w:rPr>
          <w:rFonts w:hint="eastAsia" w:ascii="宋体" w:hAnsi="宋体" w:cs="宋体"/>
          <w:sz w:val="24"/>
        </w:rPr>
        <w:t>2.供应商应在合同签订后一周内，向采购人提供安装、调试及试运行的进度计划表。</w:t>
      </w:r>
    </w:p>
    <w:p>
      <w:pPr>
        <w:adjustRightInd w:val="0"/>
        <w:snapToGrid w:val="0"/>
        <w:spacing w:line="360" w:lineRule="auto"/>
        <w:ind w:firstLine="480" w:firstLineChars="200"/>
        <w:rPr>
          <w:rFonts w:ascii="宋体" w:hAnsi="宋体" w:cs="宋体"/>
          <w:sz w:val="24"/>
        </w:rPr>
      </w:pPr>
      <w:r>
        <w:rPr>
          <w:rFonts w:hint="eastAsia" w:ascii="宋体" w:hAnsi="宋体" w:cs="宋体"/>
          <w:sz w:val="24"/>
        </w:rPr>
        <w:t>3.供应商应在合同规定的安装调试期内完成该项工作。如因供应商责任而造成延期，每超过一天按合同总价款的5%支付采购人误期赔偿金，直至交货或提供服务结束为止，所有因延期而产生的费用由供应商承担。</w:t>
      </w:r>
    </w:p>
    <w:p>
      <w:pPr>
        <w:adjustRightInd w:val="0"/>
        <w:snapToGrid w:val="0"/>
        <w:spacing w:line="360" w:lineRule="auto"/>
        <w:ind w:firstLine="480" w:firstLineChars="200"/>
        <w:rPr>
          <w:rFonts w:ascii="宋体" w:hAnsi="宋体" w:cs="宋体"/>
          <w:sz w:val="24"/>
        </w:rPr>
      </w:pPr>
      <w:r>
        <w:rPr>
          <w:rFonts w:hint="eastAsia" w:ascii="宋体" w:hAnsi="宋体" w:cs="宋体"/>
          <w:sz w:val="24"/>
        </w:rPr>
        <w:t>4.安装和调试期间所发生的费用均由供应商负责。</w:t>
      </w:r>
    </w:p>
    <w:p>
      <w:pPr>
        <w:spacing w:line="360" w:lineRule="auto"/>
        <w:rPr>
          <w:rFonts w:ascii="宋体" w:hAnsi="宋体" w:cs="宋体"/>
          <w:b/>
          <w:sz w:val="24"/>
        </w:rPr>
      </w:pPr>
      <w:r>
        <w:rPr>
          <w:rFonts w:hint="eastAsia" w:ascii="宋体" w:hAnsi="宋体" w:cs="宋体"/>
          <w:b/>
          <w:sz w:val="24"/>
        </w:rPr>
        <w:t>十、技术支持及培训：</w:t>
      </w:r>
    </w:p>
    <w:p>
      <w:pPr>
        <w:adjustRightInd w:val="0"/>
        <w:snapToGrid w:val="0"/>
        <w:spacing w:line="360" w:lineRule="auto"/>
        <w:ind w:firstLine="480" w:firstLineChars="200"/>
        <w:rPr>
          <w:rFonts w:ascii="宋体" w:hAnsi="宋体" w:cs="宋体"/>
          <w:sz w:val="24"/>
        </w:rPr>
      </w:pPr>
      <w:r>
        <w:rPr>
          <w:rFonts w:hint="eastAsia" w:ascii="宋体" w:hAnsi="宋体" w:cs="宋体"/>
          <w:sz w:val="24"/>
        </w:rPr>
        <w:t>1、提供全年7×24小时的技术咨询服务。</w:t>
      </w:r>
    </w:p>
    <w:p>
      <w:pPr>
        <w:adjustRightInd w:val="0"/>
        <w:snapToGrid w:val="0"/>
        <w:spacing w:line="360" w:lineRule="auto"/>
        <w:ind w:firstLine="480" w:firstLineChars="200"/>
        <w:rPr>
          <w:rFonts w:ascii="宋体" w:hAnsi="宋体" w:cs="宋体"/>
          <w:sz w:val="24"/>
        </w:rPr>
      </w:pPr>
      <w:r>
        <w:rPr>
          <w:rFonts w:hint="eastAsia" w:ascii="宋体" w:hAnsi="宋体" w:cs="宋体"/>
          <w:sz w:val="24"/>
        </w:rPr>
        <w:t>2、应包括设备(产品)使用操作、保养、维修等培训内容。供应商需为采购人免费培训不少于3、名技术人员，培训服务以受培训人员熟练掌握相应技能为原则。在设备(产品)投入使用初期进行必要的跟踪指导，保障设备(产品)的稳定运行。磋商设备(产品)需在培训基地培训的，供应商应按要求履行，培训产生的交通费、食宿费、培训费等均由供应商承担。</w:t>
      </w:r>
    </w:p>
    <w:p>
      <w:pPr>
        <w:adjustRightInd w:val="0"/>
        <w:snapToGrid w:val="0"/>
        <w:spacing w:line="360" w:lineRule="auto"/>
        <w:ind w:firstLine="480" w:firstLineChars="200"/>
        <w:rPr>
          <w:rFonts w:ascii="宋体" w:hAnsi="宋体" w:cs="宋体"/>
          <w:sz w:val="24"/>
        </w:rPr>
      </w:pPr>
      <w:r>
        <w:rPr>
          <w:rFonts w:hint="eastAsia" w:ascii="宋体" w:hAnsi="宋体" w:cs="宋体"/>
          <w:sz w:val="24"/>
        </w:rPr>
        <w:t>4、供应商应当提供采购人相关主管人员的培训，应使其可以完成对整体系统的正常运行的宏观管理。此项培训必须包括原厂商相关项目的标准培训。</w:t>
      </w:r>
    </w:p>
    <w:p>
      <w:pPr>
        <w:adjustRightInd w:val="0"/>
        <w:snapToGrid w:val="0"/>
        <w:spacing w:line="360" w:lineRule="auto"/>
        <w:ind w:firstLine="480" w:firstLineChars="200"/>
        <w:rPr>
          <w:rFonts w:ascii="宋体" w:hAnsi="宋体" w:cs="宋体"/>
          <w:sz w:val="24"/>
        </w:rPr>
      </w:pPr>
      <w:r>
        <w:rPr>
          <w:rFonts w:hint="eastAsia" w:ascii="宋体" w:hAnsi="宋体" w:cs="宋体"/>
          <w:sz w:val="24"/>
        </w:rPr>
        <w:t>5、培训内容应当包括设备(产品)检修、系统操作、系统维护等方面的培训。</w:t>
      </w:r>
    </w:p>
    <w:p>
      <w:pPr>
        <w:spacing w:line="360" w:lineRule="auto"/>
        <w:rPr>
          <w:rFonts w:ascii="宋体" w:hAnsi="宋体" w:cs="宋体"/>
          <w:b/>
          <w:sz w:val="24"/>
        </w:rPr>
      </w:pPr>
      <w:r>
        <w:rPr>
          <w:rFonts w:hint="eastAsia" w:ascii="宋体" w:hAnsi="宋体" w:cs="宋体"/>
          <w:b/>
          <w:sz w:val="24"/>
        </w:rPr>
        <w:t>十一、技术资料要求：</w:t>
      </w:r>
    </w:p>
    <w:p>
      <w:pPr>
        <w:adjustRightInd w:val="0"/>
        <w:snapToGrid w:val="0"/>
        <w:spacing w:line="360" w:lineRule="auto"/>
        <w:ind w:firstLine="480" w:firstLineChars="200"/>
        <w:rPr>
          <w:rFonts w:ascii="宋体" w:hAnsi="宋体" w:cs="宋体"/>
          <w:sz w:val="24"/>
        </w:rPr>
      </w:pPr>
      <w:r>
        <w:rPr>
          <w:rFonts w:hint="eastAsia" w:ascii="宋体" w:hAnsi="宋体" w:cs="宋体"/>
          <w:sz w:val="24"/>
        </w:rPr>
        <w:t>供应商应向采购人提供全套中文技术资料一套，其费用包括在磋商价格中：</w:t>
      </w:r>
    </w:p>
    <w:p>
      <w:pPr>
        <w:adjustRightInd w:val="0"/>
        <w:snapToGrid w:val="0"/>
        <w:spacing w:line="360" w:lineRule="auto"/>
        <w:ind w:firstLine="480" w:firstLineChars="200"/>
        <w:rPr>
          <w:rFonts w:ascii="宋体" w:hAnsi="宋体" w:cs="宋体"/>
          <w:sz w:val="24"/>
        </w:rPr>
      </w:pPr>
      <w:r>
        <w:rPr>
          <w:rFonts w:hint="eastAsia" w:ascii="宋体" w:hAnsi="宋体" w:cs="宋体"/>
          <w:sz w:val="24"/>
        </w:rPr>
        <w:t>1.完整的设备(产品)操作使用手册和维护、修理技术文件，图纸、保修卡等；</w:t>
      </w:r>
    </w:p>
    <w:p>
      <w:pPr>
        <w:adjustRightInd w:val="0"/>
        <w:snapToGrid w:val="0"/>
        <w:spacing w:line="360" w:lineRule="auto"/>
        <w:ind w:firstLine="480" w:firstLineChars="200"/>
        <w:rPr>
          <w:rFonts w:ascii="宋体" w:hAnsi="宋体" w:cs="宋体"/>
          <w:sz w:val="24"/>
        </w:rPr>
      </w:pPr>
      <w:r>
        <w:rPr>
          <w:rFonts w:hint="eastAsia" w:ascii="宋体" w:hAnsi="宋体" w:cs="宋体"/>
          <w:sz w:val="24"/>
        </w:rPr>
        <w:t>2.制造厂的检验、测试报告、设备(产品)检验合格证书，质量保证书等文件验收时须一并提供；</w:t>
      </w:r>
    </w:p>
    <w:p>
      <w:pPr>
        <w:adjustRightInd w:val="0"/>
        <w:snapToGrid w:val="0"/>
        <w:spacing w:line="360" w:lineRule="auto"/>
        <w:ind w:firstLine="480" w:firstLineChars="200"/>
        <w:rPr>
          <w:rFonts w:ascii="宋体" w:hAnsi="宋体" w:cs="宋体"/>
          <w:sz w:val="24"/>
        </w:rPr>
      </w:pPr>
      <w:r>
        <w:rPr>
          <w:rFonts w:hint="eastAsia" w:ascii="宋体" w:hAnsi="宋体" w:cs="宋体"/>
          <w:sz w:val="24"/>
        </w:rPr>
        <w:t>3.设备(产品)验收标准；</w:t>
      </w:r>
    </w:p>
    <w:p>
      <w:pPr>
        <w:adjustRightInd w:val="0"/>
        <w:snapToGrid w:val="0"/>
        <w:spacing w:line="360" w:lineRule="auto"/>
        <w:ind w:firstLine="480" w:firstLineChars="200"/>
        <w:rPr>
          <w:rFonts w:ascii="宋体" w:hAnsi="宋体" w:cs="宋体"/>
          <w:sz w:val="24"/>
        </w:rPr>
      </w:pPr>
      <w:r>
        <w:rPr>
          <w:rFonts w:hint="eastAsia" w:ascii="宋体" w:hAnsi="宋体" w:cs="宋体"/>
          <w:sz w:val="24"/>
        </w:rPr>
        <w:t>4.技术说明书及必须的其它技术资料；</w:t>
      </w:r>
    </w:p>
    <w:p>
      <w:pPr>
        <w:adjustRightInd w:val="0"/>
        <w:snapToGrid w:val="0"/>
        <w:spacing w:line="360" w:lineRule="auto"/>
        <w:ind w:firstLine="480" w:firstLineChars="200"/>
        <w:rPr>
          <w:rFonts w:ascii="宋体" w:hAnsi="宋体" w:cs="宋体"/>
          <w:sz w:val="24"/>
        </w:rPr>
      </w:pPr>
      <w:r>
        <w:rPr>
          <w:rFonts w:hint="eastAsia" w:ascii="宋体" w:hAnsi="宋体" w:cs="宋体"/>
          <w:sz w:val="24"/>
        </w:rPr>
        <w:t>5.使用说明书；</w:t>
      </w:r>
    </w:p>
    <w:p>
      <w:pPr>
        <w:adjustRightInd w:val="0"/>
        <w:snapToGrid w:val="0"/>
        <w:spacing w:line="360" w:lineRule="auto"/>
        <w:ind w:firstLine="480" w:firstLineChars="200"/>
        <w:rPr>
          <w:rFonts w:ascii="宋体" w:hAnsi="宋体" w:cs="宋体"/>
          <w:sz w:val="24"/>
        </w:rPr>
      </w:pPr>
      <w:r>
        <w:rPr>
          <w:rFonts w:hint="eastAsia" w:ascii="宋体" w:hAnsi="宋体" w:cs="宋体"/>
          <w:sz w:val="24"/>
        </w:rPr>
        <w:t>6.系统安装，调试、维修线路图及原理图；</w:t>
      </w:r>
    </w:p>
    <w:p>
      <w:pPr>
        <w:adjustRightInd w:val="0"/>
        <w:snapToGrid w:val="0"/>
        <w:spacing w:line="360" w:lineRule="auto"/>
        <w:ind w:firstLine="480" w:firstLineChars="200"/>
        <w:rPr>
          <w:rFonts w:ascii="宋体" w:hAnsi="宋体" w:cs="宋体"/>
          <w:sz w:val="24"/>
        </w:rPr>
      </w:pPr>
      <w:r>
        <w:rPr>
          <w:rFonts w:hint="eastAsia" w:ascii="宋体" w:hAnsi="宋体" w:cs="宋体"/>
          <w:sz w:val="24"/>
        </w:rPr>
        <w:t>7.零部件目录；</w:t>
      </w:r>
    </w:p>
    <w:p>
      <w:pPr>
        <w:adjustRightInd w:val="0"/>
        <w:snapToGrid w:val="0"/>
        <w:spacing w:line="360" w:lineRule="auto"/>
        <w:ind w:firstLine="480" w:firstLineChars="200"/>
        <w:rPr>
          <w:rFonts w:ascii="宋体" w:hAnsi="宋体" w:cs="宋体"/>
          <w:sz w:val="24"/>
        </w:rPr>
      </w:pPr>
      <w:r>
        <w:rPr>
          <w:rFonts w:hint="eastAsia" w:ascii="宋体" w:hAnsi="宋体" w:cs="宋体"/>
          <w:sz w:val="24"/>
        </w:rPr>
        <w:t>8.备品备件、易损件清单；</w:t>
      </w:r>
    </w:p>
    <w:p>
      <w:pPr>
        <w:adjustRightInd w:val="0"/>
        <w:snapToGrid w:val="0"/>
        <w:spacing w:line="360" w:lineRule="auto"/>
        <w:ind w:firstLine="480" w:firstLineChars="200"/>
        <w:rPr>
          <w:rFonts w:ascii="宋体" w:hAnsi="宋体" w:cs="宋体"/>
          <w:sz w:val="24"/>
        </w:rPr>
      </w:pPr>
      <w:r>
        <w:rPr>
          <w:rFonts w:hint="eastAsia" w:ascii="宋体" w:hAnsi="宋体" w:cs="宋体"/>
          <w:sz w:val="24"/>
        </w:rPr>
        <w:t>9.项目完工后提供验收报告；</w:t>
      </w:r>
    </w:p>
    <w:p>
      <w:pPr>
        <w:adjustRightInd w:val="0"/>
        <w:snapToGrid w:val="0"/>
        <w:spacing w:line="360" w:lineRule="auto"/>
        <w:ind w:firstLine="480" w:firstLineChars="200"/>
        <w:rPr>
          <w:rFonts w:ascii="宋体" w:hAnsi="宋体" w:cs="宋体"/>
          <w:sz w:val="24"/>
        </w:rPr>
      </w:pPr>
      <w:r>
        <w:rPr>
          <w:rFonts w:hint="eastAsia" w:ascii="宋体" w:hAnsi="宋体" w:cs="宋体"/>
          <w:sz w:val="24"/>
        </w:rPr>
        <w:t>10.合同中要求的其他文件资料。</w:t>
      </w:r>
    </w:p>
    <w:p>
      <w:pPr>
        <w:pStyle w:val="11"/>
        <w:spacing w:line="360" w:lineRule="auto"/>
        <w:rPr>
          <w:rFonts w:hAnsi="宋体" w:cs="宋体"/>
          <w:b/>
          <w:sz w:val="24"/>
          <w:szCs w:val="24"/>
        </w:rPr>
      </w:pPr>
      <w:r>
        <w:rPr>
          <w:rFonts w:hint="eastAsia" w:hAnsi="宋体" w:cs="宋体"/>
          <w:b/>
          <w:sz w:val="24"/>
          <w:szCs w:val="24"/>
        </w:rPr>
        <w:t>十二、质量保证：</w:t>
      </w:r>
    </w:p>
    <w:p>
      <w:pPr>
        <w:spacing w:line="360" w:lineRule="auto"/>
        <w:ind w:firstLine="480" w:firstLineChars="200"/>
        <w:rPr>
          <w:rFonts w:ascii="宋体" w:hAnsi="宋体" w:cs="宋体"/>
          <w:bCs/>
          <w:sz w:val="24"/>
        </w:rPr>
      </w:pPr>
      <w:r>
        <w:rPr>
          <w:rFonts w:hint="eastAsia" w:ascii="宋体" w:hAnsi="宋体" w:cs="宋体"/>
          <w:bCs/>
          <w:sz w:val="24"/>
        </w:rPr>
        <w:t>1.乙方选用的产品保证技术指标先进、质量性能可靠、进货渠道正常，满足磋商文件要求。</w:t>
      </w:r>
    </w:p>
    <w:p>
      <w:pPr>
        <w:spacing w:line="360" w:lineRule="auto"/>
        <w:ind w:firstLine="480" w:firstLineChars="200"/>
        <w:rPr>
          <w:rFonts w:ascii="宋体" w:hAnsi="宋体" w:cs="宋体"/>
          <w:bCs/>
          <w:sz w:val="24"/>
        </w:rPr>
      </w:pPr>
      <w:r>
        <w:rPr>
          <w:rFonts w:hint="eastAsia" w:ascii="宋体" w:hAnsi="宋体" w:cs="宋体"/>
          <w:bCs/>
          <w:sz w:val="24"/>
        </w:rPr>
        <w:t>2.产品符合国家有关规范要求，确保整个产品达到最佳运行状态。</w:t>
      </w:r>
    </w:p>
    <w:p>
      <w:pPr>
        <w:spacing w:line="360" w:lineRule="auto"/>
        <w:rPr>
          <w:rFonts w:ascii="宋体" w:hAnsi="宋体" w:cs="宋体"/>
          <w:b/>
          <w:sz w:val="24"/>
        </w:rPr>
      </w:pPr>
      <w:r>
        <w:rPr>
          <w:rFonts w:hint="eastAsia" w:ascii="宋体" w:hAnsi="宋体" w:cs="宋体"/>
          <w:b/>
          <w:sz w:val="24"/>
        </w:rPr>
        <w:t>十三、验收:</w:t>
      </w:r>
    </w:p>
    <w:p>
      <w:pPr>
        <w:spacing w:line="360" w:lineRule="auto"/>
        <w:ind w:firstLine="480" w:firstLineChars="200"/>
        <w:rPr>
          <w:rFonts w:ascii="宋体" w:hAnsi="宋体" w:cs="宋体"/>
          <w:bCs/>
          <w:sz w:val="24"/>
        </w:rPr>
      </w:pPr>
      <w:r>
        <w:rPr>
          <w:rFonts w:hint="eastAsia" w:ascii="宋体" w:hAnsi="宋体" w:cs="宋体"/>
          <w:bCs/>
          <w:sz w:val="24"/>
        </w:rPr>
        <w:t>1.设备到达甲方指定地点后，组织现场开箱请点验货。所到设备的型号和数量必须与合同一致，甲方和乙方共同签署到货验收单。未签收到货验收单的货物不得擅自开箱安装。</w:t>
      </w:r>
    </w:p>
    <w:p>
      <w:pPr>
        <w:spacing w:line="360" w:lineRule="auto"/>
        <w:ind w:firstLine="480" w:firstLineChars="200"/>
        <w:rPr>
          <w:rFonts w:ascii="宋体" w:hAnsi="宋体" w:cs="宋体"/>
          <w:bCs/>
          <w:sz w:val="24"/>
        </w:rPr>
      </w:pPr>
      <w:r>
        <w:rPr>
          <w:rFonts w:hint="eastAsia" w:ascii="宋体" w:hAnsi="宋体" w:cs="宋体"/>
          <w:bCs/>
          <w:sz w:val="24"/>
        </w:rPr>
        <w:t>2.乙方保证合同所有设备是全新的（包括零部件），其规格参数及配件不低于（符合）本项目招标的要求。</w:t>
      </w:r>
    </w:p>
    <w:p>
      <w:pPr>
        <w:spacing w:line="360" w:lineRule="auto"/>
        <w:ind w:firstLine="480" w:firstLineChars="200"/>
        <w:rPr>
          <w:rFonts w:ascii="宋体" w:hAnsi="宋体" w:cs="宋体"/>
          <w:bCs/>
          <w:sz w:val="24"/>
        </w:rPr>
      </w:pPr>
      <w:r>
        <w:rPr>
          <w:rFonts w:hint="eastAsia" w:ascii="宋体" w:hAnsi="宋体" w:cs="宋体"/>
          <w:bCs/>
          <w:sz w:val="24"/>
        </w:rPr>
        <w:t>3.安装完成，乙方进行自测并形成自测报告，出现的问题限期整改。自检最终通过后，乙方提出验收申请，甲方组织相关人员进行最终验收。</w:t>
      </w:r>
    </w:p>
    <w:p>
      <w:pPr>
        <w:spacing w:line="360" w:lineRule="auto"/>
        <w:ind w:firstLine="480" w:firstLineChars="200"/>
        <w:rPr>
          <w:rFonts w:ascii="宋体" w:hAnsi="宋体" w:cs="宋体"/>
          <w:bCs/>
          <w:sz w:val="24"/>
        </w:rPr>
      </w:pPr>
      <w:r>
        <w:rPr>
          <w:rFonts w:hint="eastAsia" w:ascii="宋体" w:hAnsi="宋体" w:cs="宋体"/>
          <w:bCs/>
          <w:sz w:val="24"/>
        </w:rPr>
        <w:t>4.产品采购从通过最终验收之日起进入保修期，提供原厂保修升级。</w:t>
      </w:r>
    </w:p>
    <w:p>
      <w:pPr>
        <w:spacing w:line="360" w:lineRule="auto"/>
        <w:ind w:firstLine="480" w:firstLineChars="200"/>
        <w:rPr>
          <w:rFonts w:ascii="宋体" w:hAnsi="宋体" w:cs="宋体"/>
          <w:bCs/>
          <w:sz w:val="24"/>
        </w:rPr>
      </w:pPr>
      <w:r>
        <w:rPr>
          <w:rFonts w:hint="eastAsia" w:ascii="宋体" w:hAnsi="宋体" w:cs="宋体"/>
          <w:bCs/>
          <w:sz w:val="24"/>
        </w:rPr>
        <w:t>5.验收依据：</w:t>
      </w:r>
    </w:p>
    <w:p>
      <w:pPr>
        <w:spacing w:line="360" w:lineRule="auto"/>
        <w:ind w:firstLine="480" w:firstLineChars="200"/>
        <w:rPr>
          <w:rFonts w:ascii="宋体" w:hAnsi="宋体" w:cs="宋体"/>
          <w:bCs/>
          <w:sz w:val="24"/>
        </w:rPr>
      </w:pPr>
      <w:r>
        <w:rPr>
          <w:rFonts w:hint="eastAsia" w:ascii="宋体" w:hAnsi="宋体" w:cs="宋体"/>
          <w:bCs/>
          <w:sz w:val="24"/>
        </w:rPr>
        <w:t>（1）本合同及附加文本；</w:t>
      </w:r>
    </w:p>
    <w:p>
      <w:pPr>
        <w:spacing w:line="360" w:lineRule="auto"/>
        <w:ind w:firstLine="480" w:firstLineChars="200"/>
        <w:rPr>
          <w:rFonts w:ascii="宋体" w:hAnsi="宋体" w:cs="宋体"/>
          <w:bCs/>
          <w:sz w:val="24"/>
        </w:rPr>
      </w:pPr>
      <w:r>
        <w:rPr>
          <w:rFonts w:hint="eastAsia" w:ascii="宋体" w:hAnsi="宋体" w:cs="宋体"/>
          <w:bCs/>
          <w:sz w:val="24"/>
        </w:rPr>
        <w:t>（2）磋商文件、成交供应商的磋商响应文件及澄清（或承诺）函；</w:t>
      </w:r>
    </w:p>
    <w:p>
      <w:pPr>
        <w:spacing w:line="360" w:lineRule="auto"/>
        <w:ind w:firstLine="480" w:firstLineChars="200"/>
        <w:rPr>
          <w:rFonts w:ascii="宋体" w:hAnsi="宋体" w:cs="宋体"/>
          <w:bCs/>
          <w:sz w:val="24"/>
        </w:rPr>
      </w:pPr>
      <w:r>
        <w:rPr>
          <w:rFonts w:hint="eastAsia" w:ascii="宋体" w:hAnsi="宋体" w:cs="宋体"/>
          <w:bCs/>
          <w:sz w:val="24"/>
        </w:rPr>
        <w:t>（3）国家相应的标准、规范。</w:t>
      </w:r>
    </w:p>
    <w:p>
      <w:pPr>
        <w:tabs>
          <w:tab w:val="left" w:pos="498"/>
        </w:tabs>
        <w:spacing w:line="360" w:lineRule="auto"/>
        <w:jc w:val="left"/>
        <w:rPr>
          <w:rFonts w:ascii="宋体" w:hAnsi="宋体" w:cs="宋体"/>
          <w:sz w:val="24"/>
        </w:rPr>
      </w:pPr>
      <w:r>
        <w:rPr>
          <w:rFonts w:hint="eastAsia" w:ascii="宋体" w:hAnsi="宋体" w:cs="宋体"/>
          <w:b/>
          <w:sz w:val="24"/>
        </w:rPr>
        <w:t>十四、合同争议的解决：</w:t>
      </w:r>
      <w:r>
        <w:rPr>
          <w:rFonts w:hint="eastAsia" w:ascii="宋体" w:hAnsi="宋体" w:cs="宋体"/>
          <w:sz w:val="24"/>
        </w:rPr>
        <w:t>合同执行中发生争议的，当事人双方应协商解决，协商达不成一致时，可向采购人所在地人民法院提请诉讼。</w:t>
      </w:r>
    </w:p>
    <w:p>
      <w:pPr>
        <w:tabs>
          <w:tab w:val="left" w:pos="498"/>
        </w:tabs>
        <w:spacing w:line="360" w:lineRule="auto"/>
        <w:jc w:val="left"/>
        <w:rPr>
          <w:rFonts w:ascii="宋体" w:hAnsi="宋体" w:cs="宋体"/>
          <w:sz w:val="24"/>
        </w:rPr>
      </w:pPr>
      <w:r>
        <w:rPr>
          <w:rFonts w:hint="eastAsia" w:ascii="宋体" w:hAnsi="宋体" w:cs="宋体"/>
          <w:b/>
          <w:sz w:val="24"/>
        </w:rPr>
        <w:t>十五、</w:t>
      </w:r>
      <w:r>
        <w:rPr>
          <w:rFonts w:hint="eastAsia" w:ascii="宋体" w:hAnsi="宋体" w:cs="宋体"/>
          <w:sz w:val="24"/>
        </w:rPr>
        <w:t>不可抗力情况下的免责约定，双方约定不可抗力情况包括：五级以上地震、大风、大雨、大雪等。</w:t>
      </w:r>
    </w:p>
    <w:p>
      <w:pPr>
        <w:spacing w:line="360" w:lineRule="auto"/>
        <w:rPr>
          <w:rFonts w:ascii="宋体" w:hAnsi="宋体" w:cs="宋体"/>
          <w:sz w:val="24"/>
        </w:rPr>
      </w:pPr>
      <w:r>
        <w:rPr>
          <w:rFonts w:hint="eastAsia" w:ascii="宋体" w:hAnsi="宋体" w:cs="宋体"/>
          <w:b/>
          <w:sz w:val="24"/>
        </w:rPr>
        <w:t>十六、</w:t>
      </w:r>
      <w:r>
        <w:rPr>
          <w:rFonts w:hint="eastAsia" w:ascii="宋体" w:hAnsi="宋体" w:cs="宋体"/>
          <w:sz w:val="24"/>
        </w:rPr>
        <w:t>除本合同约定，合同一经签订，不得擅自变更、中止或者终止合同。对确需变更、调整或者中止、终止合同的，应按规定履行相应的手续。</w:t>
      </w:r>
    </w:p>
    <w:p>
      <w:pPr>
        <w:spacing w:line="360" w:lineRule="auto"/>
        <w:rPr>
          <w:rFonts w:ascii="宋体" w:hAnsi="宋体" w:cs="宋体"/>
          <w:sz w:val="24"/>
        </w:rPr>
      </w:pPr>
      <w:r>
        <w:rPr>
          <w:rFonts w:hint="eastAsia" w:ascii="宋体" w:hAnsi="宋体" w:cs="宋体"/>
          <w:b/>
          <w:sz w:val="24"/>
        </w:rPr>
        <w:t>十七、违约责任：</w:t>
      </w:r>
      <w:r>
        <w:rPr>
          <w:rFonts w:hint="eastAsia" w:ascii="宋体" w:hAnsi="宋体" w:cs="宋体"/>
          <w:sz w:val="24"/>
        </w:rPr>
        <w:t>按《合同法》中的相关条款和本合同的约定执行。</w:t>
      </w:r>
    </w:p>
    <w:p>
      <w:pPr>
        <w:spacing w:line="360" w:lineRule="auto"/>
        <w:rPr>
          <w:rFonts w:ascii="宋体" w:hAnsi="宋体" w:cs="宋体"/>
          <w:sz w:val="24"/>
        </w:rPr>
      </w:pPr>
      <w:r>
        <w:rPr>
          <w:rFonts w:hint="eastAsia" w:ascii="宋体" w:hAnsi="宋体" w:cs="宋体"/>
          <w:sz w:val="24"/>
        </w:rPr>
        <w:t>未按合同或磋商文件要求提供产品或供应的产品质量不能满足采购人技术要求，采购人有权终止合同，甚至对供应商违约行为进行追究。</w:t>
      </w:r>
    </w:p>
    <w:p>
      <w:pPr>
        <w:spacing w:line="360" w:lineRule="auto"/>
        <w:rPr>
          <w:rFonts w:ascii="宋体" w:hAnsi="宋体" w:cs="宋体"/>
          <w:b/>
          <w:sz w:val="24"/>
        </w:rPr>
      </w:pPr>
      <w:r>
        <w:rPr>
          <w:rFonts w:hint="eastAsia" w:ascii="宋体" w:hAnsi="宋体" w:cs="宋体"/>
          <w:b/>
          <w:sz w:val="24"/>
        </w:rPr>
        <w:t>十八、其他</w:t>
      </w:r>
    </w:p>
    <w:p>
      <w:pPr>
        <w:shd w:val="clear" w:color="auto" w:fill="FFFFFF"/>
        <w:spacing w:line="360" w:lineRule="auto"/>
        <w:ind w:firstLine="480" w:firstLineChars="200"/>
        <w:rPr>
          <w:rFonts w:ascii="宋体" w:hAnsi="宋体" w:cs="宋体"/>
          <w:kern w:val="28"/>
          <w:sz w:val="24"/>
        </w:rPr>
      </w:pPr>
      <w:r>
        <w:rPr>
          <w:rFonts w:hint="eastAsia" w:ascii="宋体" w:hAnsi="宋体" w:cs="宋体"/>
          <w:kern w:val="28"/>
          <w:sz w:val="24"/>
        </w:rPr>
        <w:t>双方指定的通讯地址为：</w:t>
      </w:r>
    </w:p>
    <w:p>
      <w:pPr>
        <w:shd w:val="clear" w:color="auto" w:fill="FFFFFF"/>
        <w:spacing w:line="360" w:lineRule="auto"/>
        <w:ind w:firstLine="480" w:firstLineChars="200"/>
        <w:rPr>
          <w:rFonts w:ascii="宋体" w:hAnsi="宋体" w:cs="宋体"/>
          <w:kern w:val="28"/>
          <w:sz w:val="24"/>
        </w:rPr>
      </w:pPr>
      <w:r>
        <w:rPr>
          <w:rFonts w:hint="eastAsia" w:ascii="宋体" w:hAnsi="宋体" w:cs="宋体"/>
          <w:kern w:val="28"/>
          <w:sz w:val="24"/>
        </w:rPr>
        <w:t>采购人：</w:t>
      </w:r>
      <w:r>
        <w:rPr>
          <w:rFonts w:hint="eastAsia" w:ascii="宋体" w:hAnsi="宋体" w:cs="宋体"/>
          <w:kern w:val="28"/>
          <w:sz w:val="24"/>
          <w:u w:val="single"/>
        </w:rPr>
        <w:t>西安市阎良区西飞第一中学</w:t>
      </w:r>
      <w:r>
        <w:rPr>
          <w:rFonts w:hint="eastAsia" w:ascii="宋体" w:hAnsi="宋体" w:cs="宋体"/>
          <w:kern w:val="28"/>
          <w:sz w:val="24"/>
        </w:rPr>
        <w:t xml:space="preserve">                         </w:t>
      </w:r>
    </w:p>
    <w:p>
      <w:pPr>
        <w:shd w:val="clear" w:color="auto" w:fill="FFFFFF"/>
        <w:spacing w:line="360" w:lineRule="auto"/>
        <w:ind w:firstLine="480" w:firstLineChars="200"/>
        <w:rPr>
          <w:rFonts w:ascii="宋体" w:hAnsi="宋体" w:cs="宋体"/>
          <w:kern w:val="28"/>
          <w:sz w:val="24"/>
        </w:rPr>
      </w:pPr>
      <w:r>
        <w:rPr>
          <w:rFonts w:hint="eastAsia" w:ascii="宋体" w:hAnsi="宋体" w:cs="宋体"/>
          <w:kern w:val="28"/>
          <w:sz w:val="24"/>
        </w:rPr>
        <w:t>通讯地址：</w:t>
      </w:r>
      <w:r>
        <w:rPr>
          <w:rFonts w:hint="eastAsia" w:ascii="宋体" w:hAnsi="宋体" w:cs="宋体"/>
          <w:kern w:val="28"/>
          <w:sz w:val="24"/>
          <w:u w:val="single"/>
        </w:rPr>
        <w:t xml:space="preserve">西安市莲湖区自强西路明珠巷5号 </w:t>
      </w:r>
      <w:r>
        <w:rPr>
          <w:rFonts w:hint="eastAsia" w:ascii="宋体" w:hAnsi="宋体" w:cs="宋体"/>
          <w:kern w:val="28"/>
          <w:sz w:val="24"/>
        </w:rPr>
        <w:t xml:space="preserve">                                            </w:t>
      </w:r>
    </w:p>
    <w:p>
      <w:pPr>
        <w:shd w:val="clear" w:color="auto" w:fill="FFFFFF"/>
        <w:spacing w:line="360" w:lineRule="auto"/>
        <w:ind w:firstLine="480" w:firstLineChars="200"/>
        <w:rPr>
          <w:rFonts w:ascii="宋体" w:hAnsi="宋体" w:cs="宋体"/>
          <w:kern w:val="28"/>
          <w:sz w:val="24"/>
        </w:rPr>
      </w:pPr>
      <w:r>
        <w:rPr>
          <w:rFonts w:hint="eastAsia" w:ascii="宋体" w:hAnsi="宋体" w:cs="宋体"/>
          <w:kern w:val="28"/>
          <w:sz w:val="24"/>
        </w:rPr>
        <w:t>联系电话：</w:t>
      </w:r>
      <w:r>
        <w:rPr>
          <w:rFonts w:hint="eastAsia" w:ascii="宋体" w:hAnsi="宋体" w:cs="宋体"/>
          <w:kern w:val="28"/>
          <w:sz w:val="24"/>
          <w:u w:val="single"/>
        </w:rPr>
        <w:t xml:space="preserve">               </w:t>
      </w:r>
      <w:r>
        <w:rPr>
          <w:rFonts w:hint="eastAsia" w:ascii="宋体" w:hAnsi="宋体" w:cs="宋体"/>
          <w:kern w:val="28"/>
          <w:sz w:val="24"/>
        </w:rPr>
        <w:t xml:space="preserve">                                 </w:t>
      </w:r>
    </w:p>
    <w:p>
      <w:pPr>
        <w:shd w:val="clear" w:color="auto" w:fill="FFFFFF"/>
        <w:spacing w:line="360" w:lineRule="auto"/>
        <w:ind w:firstLine="480" w:firstLineChars="200"/>
        <w:rPr>
          <w:rFonts w:ascii="宋体" w:hAnsi="宋体" w:cs="宋体"/>
          <w:kern w:val="28"/>
          <w:sz w:val="24"/>
        </w:rPr>
      </w:pPr>
      <w:r>
        <w:rPr>
          <w:rFonts w:hint="eastAsia" w:ascii="宋体" w:hAnsi="宋体" w:cs="宋体"/>
          <w:kern w:val="28"/>
          <w:sz w:val="24"/>
        </w:rPr>
        <w:t>供应商：</w:t>
      </w:r>
      <w:r>
        <w:rPr>
          <w:rFonts w:hint="eastAsia" w:ascii="宋体" w:hAnsi="宋体" w:cs="宋体"/>
          <w:kern w:val="28"/>
          <w:sz w:val="24"/>
          <w:u w:val="single"/>
        </w:rPr>
        <w:t xml:space="preserve">                 </w:t>
      </w:r>
      <w:r>
        <w:rPr>
          <w:rFonts w:hint="eastAsia" w:ascii="宋体" w:hAnsi="宋体" w:cs="宋体"/>
          <w:kern w:val="28"/>
          <w:sz w:val="24"/>
        </w:rPr>
        <w:t xml:space="preserve">     </w:t>
      </w:r>
    </w:p>
    <w:p>
      <w:pPr>
        <w:shd w:val="clear" w:color="auto" w:fill="FFFFFF"/>
        <w:spacing w:line="360" w:lineRule="auto"/>
        <w:ind w:firstLine="480" w:firstLineChars="200"/>
        <w:rPr>
          <w:rFonts w:ascii="宋体" w:hAnsi="宋体" w:cs="宋体"/>
          <w:kern w:val="28"/>
          <w:sz w:val="24"/>
        </w:rPr>
      </w:pPr>
      <w:r>
        <w:rPr>
          <w:rFonts w:hint="eastAsia" w:ascii="宋体" w:hAnsi="宋体" w:cs="宋体"/>
          <w:kern w:val="28"/>
          <w:sz w:val="24"/>
        </w:rPr>
        <w:t>通讯地址：</w:t>
      </w:r>
      <w:r>
        <w:rPr>
          <w:rFonts w:hint="eastAsia" w:ascii="宋体" w:hAnsi="宋体" w:cs="宋体"/>
          <w:kern w:val="28"/>
          <w:sz w:val="24"/>
          <w:u w:val="single"/>
        </w:rPr>
        <w:t xml:space="preserve">               </w:t>
      </w:r>
      <w:r>
        <w:rPr>
          <w:rFonts w:hint="eastAsia" w:ascii="宋体" w:hAnsi="宋体" w:cs="宋体"/>
          <w:kern w:val="28"/>
          <w:sz w:val="24"/>
        </w:rPr>
        <w:t xml:space="preserve">                             </w:t>
      </w:r>
    </w:p>
    <w:p>
      <w:pPr>
        <w:shd w:val="clear" w:color="auto" w:fill="FFFFFF"/>
        <w:spacing w:line="360" w:lineRule="auto"/>
        <w:ind w:firstLine="480" w:firstLineChars="200"/>
        <w:rPr>
          <w:rFonts w:ascii="宋体" w:hAnsi="宋体" w:cs="宋体"/>
          <w:kern w:val="28"/>
          <w:sz w:val="24"/>
          <w:u w:val="single"/>
        </w:rPr>
      </w:pPr>
      <w:r>
        <w:rPr>
          <w:rFonts w:hint="eastAsia" w:ascii="宋体" w:hAnsi="宋体" w:cs="宋体"/>
          <w:kern w:val="28"/>
          <w:sz w:val="24"/>
        </w:rPr>
        <w:t>联系电话：</w:t>
      </w:r>
      <w:r>
        <w:rPr>
          <w:rFonts w:hint="eastAsia" w:ascii="宋体" w:hAnsi="宋体" w:cs="宋体"/>
          <w:kern w:val="28"/>
          <w:sz w:val="24"/>
          <w:u w:val="single"/>
        </w:rPr>
        <w:t xml:space="preserve">               </w:t>
      </w:r>
    </w:p>
    <w:p>
      <w:pPr>
        <w:shd w:val="clear" w:color="auto" w:fill="FFFFFF"/>
        <w:spacing w:line="360" w:lineRule="auto"/>
        <w:ind w:firstLine="480" w:firstLineChars="200"/>
        <w:rPr>
          <w:rFonts w:ascii="宋体" w:hAnsi="宋体" w:cs="宋体"/>
          <w:kern w:val="28"/>
          <w:sz w:val="24"/>
        </w:rPr>
      </w:pPr>
      <w:r>
        <w:rPr>
          <w:rFonts w:hint="eastAsia" w:ascii="宋体" w:hAnsi="宋体" w:cs="宋体"/>
          <w:kern w:val="28"/>
          <w:sz w:val="24"/>
        </w:rPr>
        <w:t>上述通讯信息如发生变更，应在变更后及时书面通知本合同对方；如未书面通知，则视为未变更。双方一致确认，任何一方向上述地址送达文件即视为送达成功，无论是否实际收到。</w:t>
      </w:r>
    </w:p>
    <w:p>
      <w:pPr>
        <w:shd w:val="clear" w:color="auto" w:fill="FFFFFF"/>
        <w:spacing w:line="360" w:lineRule="auto"/>
        <w:ind w:firstLine="480" w:firstLineChars="200"/>
        <w:rPr>
          <w:rFonts w:ascii="宋体" w:hAnsi="宋体" w:cs="宋体"/>
          <w:kern w:val="28"/>
          <w:sz w:val="24"/>
        </w:rPr>
      </w:pPr>
      <w:r>
        <w:rPr>
          <w:rFonts w:hint="eastAsia" w:ascii="宋体" w:hAnsi="宋体" w:cs="宋体"/>
          <w:kern w:val="28"/>
          <w:sz w:val="24"/>
        </w:rPr>
        <w:t>一方发给另一方的通知、文件等，可以采用直接送达或快递的方式。直接送达的，以另一方书面签收视为送达；采用快递方式的，应寄往另一方所列上述通讯地址，并自交付快递公司后第三日视为送达。</w:t>
      </w:r>
    </w:p>
    <w:p>
      <w:pPr>
        <w:shd w:val="clear" w:color="auto" w:fill="FFFFFF"/>
        <w:spacing w:line="360" w:lineRule="auto"/>
        <w:ind w:firstLine="480" w:firstLineChars="200"/>
        <w:rPr>
          <w:rFonts w:ascii="宋体" w:hAnsi="宋体" w:cs="宋体"/>
          <w:kern w:val="28"/>
          <w:sz w:val="24"/>
        </w:rPr>
      </w:pPr>
      <w:r>
        <w:rPr>
          <w:rFonts w:hint="eastAsia" w:ascii="宋体" w:hAnsi="宋体" w:cs="宋体"/>
          <w:kern w:val="28"/>
          <w:sz w:val="24"/>
        </w:rPr>
        <w:t>本协议所留地址为各方住所或主要办事机构所在地址。本合同履行过程中发生任何纠纷，则前述地址视为法院邮寄法律文书及双方邮寄律师函等文件的法定送达地址。</w:t>
      </w:r>
    </w:p>
    <w:p>
      <w:pPr>
        <w:shd w:val="clear" w:color="auto" w:fill="FFFFFF"/>
        <w:spacing w:line="360" w:lineRule="auto"/>
        <w:ind w:firstLine="480" w:firstLineChars="200"/>
        <w:rPr>
          <w:rFonts w:ascii="宋体" w:hAnsi="宋体" w:cs="宋体"/>
          <w:sz w:val="24"/>
        </w:rPr>
      </w:pPr>
      <w:r>
        <w:rPr>
          <w:rFonts w:hint="eastAsia" w:ascii="宋体" w:hAnsi="宋体" w:cs="宋体"/>
          <w:kern w:val="28"/>
          <w:sz w:val="24"/>
        </w:rPr>
        <w:t>本合同一方给另一方的通知，都应以书面的形式（信函、传真）发送至对方，对本合同条款进行任何改动，均须由双方签署书面合同修改签证，方为有效。</w:t>
      </w:r>
    </w:p>
    <w:p>
      <w:pPr>
        <w:spacing w:line="360" w:lineRule="auto"/>
        <w:rPr>
          <w:rFonts w:ascii="宋体" w:hAnsi="宋体" w:cs="宋体"/>
          <w:b/>
          <w:sz w:val="24"/>
        </w:rPr>
      </w:pPr>
      <w:r>
        <w:rPr>
          <w:rFonts w:hint="eastAsia" w:ascii="宋体" w:hAnsi="宋体" w:cs="宋体"/>
          <w:b/>
          <w:sz w:val="24"/>
        </w:rPr>
        <w:t>十九、合同订立</w:t>
      </w:r>
    </w:p>
    <w:p>
      <w:pPr>
        <w:adjustRightInd w:val="0"/>
        <w:snapToGrid w:val="0"/>
        <w:spacing w:line="360" w:lineRule="auto"/>
        <w:ind w:firstLine="475" w:firstLineChars="198"/>
        <w:rPr>
          <w:rFonts w:ascii="宋体" w:hAnsi="宋体" w:cs="宋体"/>
          <w:sz w:val="24"/>
        </w:rPr>
      </w:pPr>
      <w:r>
        <w:rPr>
          <w:rFonts w:hint="eastAsia" w:ascii="宋体" w:hAnsi="宋体" w:cs="宋体"/>
          <w:sz w:val="24"/>
        </w:rPr>
        <w:t>1. 订立时间：</w:t>
      </w:r>
      <w:r>
        <w:rPr>
          <w:rFonts w:hint="eastAsia" w:ascii="宋体" w:hAnsi="宋体" w:cs="宋体"/>
          <w:sz w:val="24"/>
          <w:u w:val="single"/>
        </w:rPr>
        <w:t xml:space="preserve">          </w:t>
      </w:r>
      <w:r>
        <w:rPr>
          <w:rFonts w:hint="eastAsia" w:ascii="宋体" w:hAnsi="宋体" w:cs="宋体"/>
          <w:sz w:val="24"/>
        </w:rPr>
        <w:t>年</w:t>
      </w:r>
      <w:r>
        <w:rPr>
          <w:rFonts w:hint="eastAsia" w:ascii="宋体" w:hAnsi="宋体" w:cs="宋体"/>
          <w:sz w:val="24"/>
          <w:u w:val="single"/>
        </w:rPr>
        <w:t xml:space="preserve">       </w:t>
      </w:r>
      <w:r>
        <w:rPr>
          <w:rFonts w:hint="eastAsia" w:ascii="宋体" w:hAnsi="宋体" w:cs="宋体"/>
          <w:sz w:val="24"/>
        </w:rPr>
        <w:t>月</w:t>
      </w:r>
      <w:r>
        <w:rPr>
          <w:rFonts w:hint="eastAsia" w:ascii="宋体" w:hAnsi="宋体" w:cs="宋体"/>
          <w:sz w:val="24"/>
          <w:u w:val="single"/>
        </w:rPr>
        <w:t xml:space="preserve">      </w:t>
      </w:r>
      <w:r>
        <w:rPr>
          <w:rFonts w:hint="eastAsia" w:ascii="宋体" w:hAnsi="宋体" w:cs="宋体"/>
          <w:sz w:val="24"/>
        </w:rPr>
        <w:t>日。</w:t>
      </w:r>
    </w:p>
    <w:p>
      <w:pPr>
        <w:adjustRightInd w:val="0"/>
        <w:snapToGrid w:val="0"/>
        <w:spacing w:line="360" w:lineRule="auto"/>
        <w:ind w:firstLine="475" w:firstLineChars="198"/>
        <w:rPr>
          <w:rFonts w:ascii="宋体" w:hAnsi="宋体" w:cs="宋体"/>
          <w:sz w:val="24"/>
        </w:rPr>
      </w:pPr>
      <w:r>
        <w:rPr>
          <w:rFonts w:hint="eastAsia" w:ascii="宋体" w:hAnsi="宋体" w:cs="宋体"/>
          <w:sz w:val="24"/>
        </w:rPr>
        <w:t>2. 订立地点：</w:t>
      </w:r>
      <w:r>
        <w:rPr>
          <w:rFonts w:hint="eastAsia" w:ascii="宋体" w:hAnsi="宋体" w:cs="宋体"/>
          <w:sz w:val="24"/>
          <w:u w:val="single"/>
        </w:rPr>
        <w:t xml:space="preserve">                            </w:t>
      </w:r>
      <w:r>
        <w:rPr>
          <w:rFonts w:hint="eastAsia" w:ascii="宋体" w:hAnsi="宋体" w:cs="宋体"/>
          <w:sz w:val="24"/>
        </w:rPr>
        <w:t>。</w:t>
      </w:r>
    </w:p>
    <w:p>
      <w:pPr>
        <w:tabs>
          <w:tab w:val="left" w:pos="980"/>
        </w:tabs>
        <w:kinsoku w:val="0"/>
        <w:spacing w:line="360" w:lineRule="auto"/>
        <w:ind w:firstLine="480" w:firstLineChars="200"/>
        <w:rPr>
          <w:rFonts w:ascii="宋体" w:hAnsi="宋体" w:cs="宋体"/>
          <w:sz w:val="24"/>
        </w:rPr>
      </w:pPr>
      <w:r>
        <w:rPr>
          <w:rFonts w:hint="eastAsia" w:ascii="宋体" w:hAnsi="宋体" w:cs="宋体"/>
          <w:sz w:val="24"/>
        </w:rPr>
        <w:t>3. 本合同一式</w:t>
      </w:r>
      <w:r>
        <w:rPr>
          <w:rFonts w:hint="eastAsia" w:ascii="宋体" w:hAnsi="宋体" w:cs="宋体"/>
          <w:sz w:val="24"/>
          <w:u w:val="single"/>
        </w:rPr>
        <w:t xml:space="preserve">    </w:t>
      </w:r>
      <w:r>
        <w:rPr>
          <w:rFonts w:hint="eastAsia" w:ascii="宋体" w:hAnsi="宋体" w:cs="宋体"/>
          <w:sz w:val="24"/>
        </w:rPr>
        <w:t>份，具有同等法律效力，双方各执</w:t>
      </w:r>
      <w:r>
        <w:rPr>
          <w:rFonts w:hint="eastAsia" w:ascii="宋体" w:hAnsi="宋体" w:cs="宋体"/>
          <w:sz w:val="24"/>
          <w:u w:val="single"/>
        </w:rPr>
        <w:t xml:space="preserve">     </w:t>
      </w:r>
      <w:r>
        <w:rPr>
          <w:rFonts w:hint="eastAsia" w:ascii="宋体" w:hAnsi="宋体" w:cs="宋体"/>
          <w:sz w:val="24"/>
        </w:rPr>
        <w:t>份，监管部门备案</w:t>
      </w:r>
      <w:r>
        <w:rPr>
          <w:rFonts w:hint="eastAsia" w:ascii="宋体" w:hAnsi="宋体" w:cs="宋体"/>
          <w:sz w:val="24"/>
          <w:u w:val="single"/>
        </w:rPr>
        <w:t xml:space="preserve">   </w:t>
      </w:r>
      <w:r>
        <w:rPr>
          <w:rFonts w:hint="eastAsia" w:ascii="宋体" w:hAnsi="宋体" w:cs="宋体"/>
          <w:sz w:val="24"/>
        </w:rPr>
        <w:t>份、采购代理机构存档</w:t>
      </w:r>
      <w:r>
        <w:rPr>
          <w:rFonts w:hint="eastAsia" w:ascii="宋体" w:hAnsi="宋体" w:cs="宋体"/>
          <w:sz w:val="24"/>
          <w:u w:val="single"/>
        </w:rPr>
        <w:t xml:space="preserve">   </w:t>
      </w:r>
      <w:r>
        <w:rPr>
          <w:rFonts w:hint="eastAsia" w:ascii="宋体" w:hAnsi="宋体" w:cs="宋体"/>
          <w:sz w:val="24"/>
        </w:rPr>
        <w:t>份。各方签字盖章后生效，合同执行完毕自动失效。（合同的服务承诺则长期有效）。</w:t>
      </w:r>
    </w:p>
    <w:p>
      <w:pPr>
        <w:tabs>
          <w:tab w:val="left" w:pos="980"/>
        </w:tabs>
        <w:kinsoku w:val="0"/>
        <w:spacing w:line="360" w:lineRule="auto"/>
        <w:ind w:firstLine="480" w:firstLineChars="200"/>
        <w:rPr>
          <w:rFonts w:ascii="宋体" w:hAnsi="宋体" w:cs="宋体"/>
          <w:sz w:val="24"/>
        </w:rPr>
      </w:pPr>
    </w:p>
    <w:p>
      <w:pPr>
        <w:adjustRightInd w:val="0"/>
        <w:snapToGrid w:val="0"/>
        <w:spacing w:line="360" w:lineRule="auto"/>
        <w:ind w:firstLine="475" w:firstLineChars="198"/>
        <w:rPr>
          <w:rFonts w:ascii="宋体" w:hAnsi="宋体" w:cs="宋体"/>
          <w:sz w:val="24"/>
        </w:rPr>
      </w:pPr>
      <w:r>
        <w:rPr>
          <w:rFonts w:hint="eastAsia" w:ascii="宋体" w:hAnsi="宋体" w:cs="宋体"/>
          <w:sz w:val="24"/>
        </w:rPr>
        <w:t>采购人：</w:t>
      </w:r>
      <w:r>
        <w:rPr>
          <w:rFonts w:hint="eastAsia" w:ascii="宋体" w:hAnsi="宋体" w:cs="宋体"/>
          <w:sz w:val="24"/>
          <w:u w:val="single"/>
        </w:rPr>
        <w:t xml:space="preserve">   （盖章）     </w:t>
      </w:r>
      <w:r>
        <w:rPr>
          <w:rFonts w:hint="eastAsia" w:ascii="宋体" w:hAnsi="宋体" w:cs="宋体"/>
          <w:sz w:val="24"/>
        </w:rPr>
        <w:t xml:space="preserve">           供应商：</w:t>
      </w:r>
      <w:r>
        <w:rPr>
          <w:rFonts w:hint="eastAsia" w:ascii="宋体" w:hAnsi="宋体" w:cs="宋体"/>
          <w:sz w:val="24"/>
          <w:u w:val="single"/>
        </w:rPr>
        <w:t xml:space="preserve">   （盖章）    </w:t>
      </w:r>
    </w:p>
    <w:p>
      <w:pPr>
        <w:adjustRightInd w:val="0"/>
        <w:snapToGrid w:val="0"/>
        <w:spacing w:line="360" w:lineRule="auto"/>
        <w:ind w:firstLine="475" w:firstLineChars="198"/>
        <w:rPr>
          <w:rFonts w:ascii="宋体" w:hAnsi="宋体" w:cs="宋体"/>
          <w:sz w:val="24"/>
        </w:rPr>
      </w:pPr>
      <w:r>
        <w:rPr>
          <w:rFonts w:hint="eastAsia" w:ascii="宋体" w:hAnsi="宋体" w:cs="宋体"/>
          <w:sz w:val="24"/>
        </w:rPr>
        <w:t xml:space="preserve">地址： </w:t>
      </w:r>
      <w:r>
        <w:rPr>
          <w:rFonts w:hint="eastAsia" w:ascii="宋体" w:hAnsi="宋体" w:cs="宋体"/>
          <w:sz w:val="24"/>
          <w:u w:val="single"/>
        </w:rPr>
        <w:t xml:space="preserve">                     </w:t>
      </w:r>
      <w:r>
        <w:rPr>
          <w:rFonts w:hint="eastAsia" w:ascii="宋体" w:hAnsi="宋体" w:cs="宋体"/>
          <w:sz w:val="24"/>
        </w:rPr>
        <w:t xml:space="preserve">       地址： </w:t>
      </w:r>
      <w:r>
        <w:rPr>
          <w:rFonts w:hint="eastAsia" w:ascii="宋体" w:hAnsi="宋体" w:cs="宋体"/>
          <w:sz w:val="24"/>
          <w:u w:val="single"/>
        </w:rPr>
        <w:t xml:space="preserve">                      </w:t>
      </w:r>
    </w:p>
    <w:p>
      <w:pPr>
        <w:adjustRightInd w:val="0"/>
        <w:snapToGrid w:val="0"/>
        <w:spacing w:line="360" w:lineRule="auto"/>
        <w:ind w:firstLine="480" w:firstLineChars="200"/>
        <w:rPr>
          <w:rFonts w:ascii="宋体" w:hAnsi="宋体" w:cs="宋体"/>
          <w:sz w:val="24"/>
        </w:rPr>
      </w:pPr>
      <w:r>
        <w:rPr>
          <w:rFonts w:hint="eastAsia" w:ascii="宋体" w:hAnsi="宋体" w:cs="宋体"/>
          <w:sz w:val="24"/>
        </w:rPr>
        <w:t>邮政编码：</w:t>
      </w:r>
      <w:r>
        <w:rPr>
          <w:rFonts w:hint="eastAsia" w:ascii="宋体" w:hAnsi="宋体" w:cs="宋体"/>
          <w:sz w:val="24"/>
          <w:u w:val="single"/>
        </w:rPr>
        <w:t xml:space="preserve">                 </w:t>
      </w:r>
      <w:r>
        <w:rPr>
          <w:rFonts w:hint="eastAsia" w:ascii="宋体" w:hAnsi="宋体" w:cs="宋体"/>
          <w:sz w:val="24"/>
        </w:rPr>
        <w:t xml:space="preserve">        邮政编码：</w:t>
      </w:r>
      <w:r>
        <w:rPr>
          <w:rFonts w:hint="eastAsia" w:ascii="宋体" w:hAnsi="宋体" w:cs="宋体"/>
          <w:sz w:val="24"/>
          <w:u w:val="single"/>
        </w:rPr>
        <w:t xml:space="preserve">                  </w:t>
      </w:r>
    </w:p>
    <w:p>
      <w:pPr>
        <w:adjustRightInd w:val="0"/>
        <w:snapToGrid w:val="0"/>
        <w:spacing w:line="360" w:lineRule="auto"/>
        <w:ind w:firstLine="475" w:firstLineChars="198"/>
        <w:rPr>
          <w:rFonts w:ascii="宋体" w:hAnsi="宋体" w:cs="宋体"/>
          <w:sz w:val="24"/>
        </w:rPr>
      </w:pPr>
      <w:r>
        <w:rPr>
          <w:rFonts w:hint="eastAsia" w:ascii="宋体" w:hAnsi="宋体" w:cs="宋体"/>
          <w:sz w:val="24"/>
        </w:rPr>
        <w:t>法定代表人或其授权                 法定代表人或其授权</w:t>
      </w:r>
    </w:p>
    <w:p>
      <w:pPr>
        <w:adjustRightInd w:val="0"/>
        <w:snapToGrid w:val="0"/>
        <w:spacing w:line="360" w:lineRule="auto"/>
        <w:ind w:firstLine="475" w:firstLineChars="198"/>
        <w:rPr>
          <w:rFonts w:ascii="宋体" w:hAnsi="宋体" w:cs="宋体"/>
          <w:sz w:val="24"/>
        </w:rPr>
      </w:pPr>
      <w:r>
        <w:rPr>
          <w:rFonts w:hint="eastAsia" w:ascii="宋体" w:hAnsi="宋体" w:cs="宋体"/>
          <w:sz w:val="24"/>
        </w:rPr>
        <w:t>的代理人：</w:t>
      </w:r>
      <w:r>
        <w:rPr>
          <w:rFonts w:hint="eastAsia" w:ascii="宋体" w:hAnsi="宋体" w:cs="宋体"/>
          <w:sz w:val="24"/>
          <w:u w:val="single"/>
        </w:rPr>
        <w:t xml:space="preserve">（签字）      </w:t>
      </w:r>
      <w:r>
        <w:rPr>
          <w:rFonts w:hint="eastAsia" w:ascii="宋体" w:hAnsi="宋体" w:cs="宋体"/>
          <w:sz w:val="24"/>
        </w:rPr>
        <w:t xml:space="preserve">           的代理人：</w:t>
      </w:r>
      <w:r>
        <w:rPr>
          <w:rFonts w:hint="eastAsia" w:ascii="宋体" w:hAnsi="宋体" w:cs="宋体"/>
          <w:sz w:val="24"/>
          <w:u w:val="single"/>
        </w:rPr>
        <w:t xml:space="preserve">（签字）          </w:t>
      </w:r>
    </w:p>
    <w:p>
      <w:pPr>
        <w:adjustRightInd w:val="0"/>
        <w:snapToGrid w:val="0"/>
        <w:spacing w:line="360" w:lineRule="auto"/>
        <w:ind w:firstLine="475" w:firstLineChars="198"/>
        <w:rPr>
          <w:rFonts w:ascii="宋体" w:hAnsi="宋体" w:cs="宋体"/>
          <w:sz w:val="24"/>
        </w:rPr>
      </w:pPr>
      <w:r>
        <w:rPr>
          <w:rFonts w:hint="eastAsia" w:ascii="宋体" w:hAnsi="宋体" w:cs="宋体"/>
          <w:sz w:val="24"/>
        </w:rPr>
        <w:t>开户银行：</w:t>
      </w:r>
      <w:r>
        <w:rPr>
          <w:rFonts w:hint="eastAsia" w:ascii="宋体" w:hAnsi="宋体" w:cs="宋体"/>
          <w:sz w:val="24"/>
          <w:u w:val="single"/>
        </w:rPr>
        <w:t xml:space="preserve">                 </w:t>
      </w:r>
      <w:r>
        <w:rPr>
          <w:rFonts w:hint="eastAsia" w:ascii="宋体" w:hAnsi="宋体" w:cs="宋体"/>
          <w:sz w:val="24"/>
        </w:rPr>
        <w:t xml:space="preserve">        开户银行：</w:t>
      </w:r>
      <w:r>
        <w:rPr>
          <w:rFonts w:hint="eastAsia" w:ascii="宋体" w:hAnsi="宋体" w:cs="宋体"/>
          <w:sz w:val="24"/>
          <w:u w:val="single"/>
        </w:rPr>
        <w:t xml:space="preserve">                  </w:t>
      </w:r>
    </w:p>
    <w:p>
      <w:pPr>
        <w:adjustRightInd w:val="0"/>
        <w:snapToGrid w:val="0"/>
        <w:spacing w:line="360" w:lineRule="auto"/>
        <w:ind w:firstLine="475" w:firstLineChars="198"/>
        <w:rPr>
          <w:rFonts w:ascii="宋体" w:hAnsi="宋体" w:cs="宋体"/>
          <w:sz w:val="24"/>
        </w:rPr>
      </w:pPr>
      <w:r>
        <w:rPr>
          <w:rFonts w:hint="eastAsia" w:ascii="宋体" w:hAnsi="宋体" w:cs="宋体"/>
          <w:sz w:val="24"/>
        </w:rPr>
        <w:t>账号：</w:t>
      </w:r>
      <w:r>
        <w:rPr>
          <w:rFonts w:hint="eastAsia" w:ascii="宋体" w:hAnsi="宋体" w:cs="宋体"/>
          <w:sz w:val="24"/>
          <w:u w:val="single"/>
        </w:rPr>
        <w:t xml:space="preserve">                      </w:t>
      </w:r>
      <w:r>
        <w:rPr>
          <w:rFonts w:hint="eastAsia" w:ascii="宋体" w:hAnsi="宋体" w:cs="宋体"/>
          <w:sz w:val="24"/>
        </w:rPr>
        <w:t xml:space="preserve">       账号：</w:t>
      </w:r>
      <w:r>
        <w:rPr>
          <w:rFonts w:hint="eastAsia" w:ascii="宋体" w:hAnsi="宋体" w:cs="宋体"/>
          <w:sz w:val="24"/>
          <w:u w:val="single"/>
        </w:rPr>
        <w:t xml:space="preserve">                       </w:t>
      </w:r>
    </w:p>
    <w:p>
      <w:pPr>
        <w:adjustRightInd w:val="0"/>
        <w:snapToGrid w:val="0"/>
        <w:spacing w:line="360" w:lineRule="auto"/>
        <w:ind w:firstLine="475" w:firstLineChars="198"/>
        <w:rPr>
          <w:rFonts w:ascii="宋体" w:hAnsi="宋体" w:cs="宋体"/>
          <w:sz w:val="24"/>
        </w:rPr>
      </w:pPr>
      <w:r>
        <w:rPr>
          <w:rFonts w:hint="eastAsia" w:ascii="宋体" w:hAnsi="宋体" w:cs="宋体"/>
          <w:sz w:val="24"/>
        </w:rPr>
        <w:t>电话：</w:t>
      </w:r>
      <w:r>
        <w:rPr>
          <w:rFonts w:hint="eastAsia" w:ascii="宋体" w:hAnsi="宋体" w:cs="宋体"/>
          <w:sz w:val="24"/>
          <w:u w:val="single"/>
        </w:rPr>
        <w:t xml:space="preserve">                      </w:t>
      </w:r>
      <w:r>
        <w:rPr>
          <w:rFonts w:hint="eastAsia" w:ascii="宋体" w:hAnsi="宋体" w:cs="宋体"/>
          <w:sz w:val="24"/>
        </w:rPr>
        <w:t xml:space="preserve">       电话：</w:t>
      </w:r>
      <w:r>
        <w:rPr>
          <w:rFonts w:hint="eastAsia" w:ascii="宋体" w:hAnsi="宋体" w:cs="宋体"/>
          <w:sz w:val="24"/>
          <w:u w:val="single"/>
        </w:rPr>
        <w:t xml:space="preserve">                       </w:t>
      </w:r>
    </w:p>
    <w:p>
      <w:pPr>
        <w:adjustRightInd w:val="0"/>
        <w:snapToGrid w:val="0"/>
        <w:spacing w:line="360" w:lineRule="auto"/>
        <w:ind w:firstLine="475" w:firstLineChars="198"/>
        <w:rPr>
          <w:rFonts w:ascii="宋体" w:hAnsi="宋体" w:cs="宋体"/>
          <w:sz w:val="24"/>
        </w:rPr>
      </w:pPr>
      <w:r>
        <w:rPr>
          <w:rFonts w:hint="eastAsia" w:ascii="宋体" w:hAnsi="宋体" w:cs="宋体"/>
          <w:sz w:val="24"/>
        </w:rPr>
        <w:t>传真：</w:t>
      </w:r>
      <w:r>
        <w:rPr>
          <w:rFonts w:hint="eastAsia" w:ascii="宋体" w:hAnsi="宋体" w:cs="宋体"/>
          <w:sz w:val="24"/>
          <w:u w:val="single"/>
        </w:rPr>
        <w:t xml:space="preserve">                      </w:t>
      </w:r>
      <w:r>
        <w:rPr>
          <w:rFonts w:hint="eastAsia" w:ascii="宋体" w:hAnsi="宋体" w:cs="宋体"/>
          <w:sz w:val="24"/>
        </w:rPr>
        <w:t xml:space="preserve">       传真：</w:t>
      </w:r>
      <w:r>
        <w:rPr>
          <w:rFonts w:hint="eastAsia" w:ascii="宋体" w:hAnsi="宋体" w:cs="宋体"/>
          <w:sz w:val="24"/>
          <w:u w:val="single"/>
        </w:rPr>
        <w:t xml:space="preserve">                       </w:t>
      </w:r>
    </w:p>
    <w:p>
      <w:pPr>
        <w:adjustRightInd w:val="0"/>
        <w:snapToGrid w:val="0"/>
        <w:spacing w:line="360" w:lineRule="auto"/>
        <w:ind w:firstLine="475" w:firstLineChars="198"/>
        <w:rPr>
          <w:rFonts w:ascii="宋体" w:hAnsi="宋体" w:cs="宋体"/>
          <w:sz w:val="24"/>
          <w:u w:val="single"/>
        </w:rPr>
      </w:pPr>
      <w:r>
        <w:rPr>
          <w:rFonts w:hint="eastAsia" w:ascii="宋体" w:hAnsi="宋体" w:cs="宋体"/>
          <w:sz w:val="24"/>
        </w:rPr>
        <w:t>电子邮箱：</w:t>
      </w:r>
      <w:r>
        <w:rPr>
          <w:rFonts w:hint="eastAsia" w:ascii="宋体" w:hAnsi="宋体" w:cs="宋体"/>
          <w:sz w:val="24"/>
          <w:u w:val="single"/>
        </w:rPr>
        <w:t xml:space="preserve">                 </w:t>
      </w:r>
      <w:r>
        <w:rPr>
          <w:rFonts w:hint="eastAsia" w:ascii="宋体" w:hAnsi="宋体" w:cs="宋体"/>
          <w:sz w:val="24"/>
        </w:rPr>
        <w:t xml:space="preserve">        电子邮箱：</w:t>
      </w:r>
      <w:r>
        <w:rPr>
          <w:rFonts w:hint="eastAsia" w:ascii="宋体" w:hAnsi="宋体" w:cs="宋体"/>
          <w:sz w:val="24"/>
          <w:u w:val="single"/>
        </w:rPr>
        <w:t xml:space="preserve">                  </w:t>
      </w:r>
    </w:p>
    <w:p>
      <w:pPr>
        <w:rPr>
          <w:rFonts w:ascii="宋体" w:hAnsi="宋体" w:cs="宋体"/>
          <w:sz w:val="24"/>
        </w:rPr>
      </w:pPr>
      <w:r>
        <w:rPr>
          <w:rFonts w:hint="eastAsia" w:ascii="宋体" w:hAnsi="宋体" w:cs="宋体"/>
          <w:sz w:val="24"/>
        </w:rPr>
        <w:br w:type="page"/>
      </w:r>
    </w:p>
    <w:p>
      <w:pPr>
        <w:pStyle w:val="5"/>
      </w:pPr>
    </w:p>
    <w:p>
      <w:pPr>
        <w:spacing w:line="460" w:lineRule="exact"/>
        <w:ind w:firstLine="560" w:firstLineChars="200"/>
        <w:rPr>
          <w:rFonts w:ascii="宋体" w:hAnsi="宋体" w:cs="宋体"/>
          <w:sz w:val="28"/>
          <w:szCs w:val="28"/>
        </w:rPr>
      </w:pPr>
    </w:p>
    <w:p>
      <w:pPr>
        <w:spacing w:line="360" w:lineRule="auto"/>
        <w:jc w:val="center"/>
        <w:rPr>
          <w:rFonts w:ascii="宋体" w:hAnsi="宋体" w:cs="宋体"/>
          <w:sz w:val="24"/>
        </w:rPr>
      </w:pPr>
      <w:bookmarkStart w:id="172" w:name="_Toc12546"/>
      <w:bookmarkStart w:id="173" w:name="_Toc6944"/>
      <w:bookmarkStart w:id="174" w:name="_Toc2620"/>
      <w:bookmarkStart w:id="175" w:name="_Toc31279"/>
      <w:bookmarkStart w:id="176" w:name="_Toc6467"/>
      <w:bookmarkStart w:id="177" w:name="_Toc23270"/>
      <w:bookmarkStart w:id="178" w:name="_Toc16027_WPSOffice_Level1"/>
      <w:bookmarkStart w:id="179" w:name="_Toc14297"/>
      <w:r>
        <w:rPr>
          <w:rStyle w:val="32"/>
          <w:rFonts w:hint="eastAsia" w:ascii="宋体" w:hAnsi="宋体" w:cs="宋体"/>
        </w:rPr>
        <w:t>第五部分 竞争性磋商响应文件格式</w:t>
      </w:r>
      <w:bookmarkEnd w:id="172"/>
      <w:bookmarkEnd w:id="173"/>
      <w:bookmarkEnd w:id="174"/>
      <w:bookmarkEnd w:id="175"/>
      <w:bookmarkEnd w:id="176"/>
      <w:bookmarkEnd w:id="177"/>
      <w:bookmarkEnd w:id="178"/>
      <w:bookmarkEnd w:id="179"/>
    </w:p>
    <w:p>
      <w:pPr>
        <w:pStyle w:val="14"/>
      </w:pPr>
    </w:p>
    <w:p>
      <w:pPr>
        <w:rPr>
          <w:rFonts w:ascii="宋体" w:hAnsi="宋体" w:cs="宋体"/>
          <w:b/>
          <w:sz w:val="28"/>
          <w:szCs w:val="28"/>
        </w:rPr>
      </w:pPr>
      <w:r>
        <w:rPr>
          <w:rFonts w:hint="eastAsia" w:ascii="宋体" w:hAnsi="宋体" w:cs="宋体"/>
          <w:b/>
          <w:sz w:val="28"/>
          <w:szCs w:val="28"/>
        </w:rPr>
        <w:t>项目编号:  SXSJHT2020-304                           （正本或副本）</w:t>
      </w:r>
    </w:p>
    <w:p>
      <w:pPr>
        <w:ind w:firstLine="1084" w:firstLineChars="300"/>
        <w:rPr>
          <w:rFonts w:ascii="宋体" w:hAnsi="宋体" w:cs="宋体"/>
          <w:b/>
          <w:sz w:val="36"/>
          <w:szCs w:val="36"/>
        </w:rPr>
      </w:pPr>
    </w:p>
    <w:p>
      <w:pPr>
        <w:jc w:val="right"/>
        <w:rPr>
          <w:rFonts w:ascii="宋体" w:hAnsi="宋体" w:cs="宋体"/>
          <w:b/>
          <w:sz w:val="36"/>
          <w:szCs w:val="36"/>
          <w:bdr w:val="single" w:color="auto" w:sz="4" w:space="0"/>
          <w:shd w:val="pct10" w:color="auto" w:fill="FFFFFF"/>
        </w:rPr>
      </w:pPr>
    </w:p>
    <w:p>
      <w:pPr>
        <w:spacing w:beforeLines="50" w:line="800" w:lineRule="exact"/>
        <w:ind w:right="-874" w:rightChars="-416"/>
        <w:rPr>
          <w:rFonts w:ascii="宋体" w:hAnsi="宋体" w:cs="宋体"/>
          <w:b/>
          <w:bCs/>
          <w:spacing w:val="52"/>
          <w:kern w:val="0"/>
          <w:sz w:val="15"/>
          <w:szCs w:val="15"/>
        </w:rPr>
      </w:pPr>
    </w:p>
    <w:p>
      <w:pPr>
        <w:jc w:val="center"/>
        <w:rPr>
          <w:rFonts w:ascii="宋体" w:hAnsi="宋体" w:cs="宋体"/>
          <w:b/>
          <w:kern w:val="0"/>
          <w:sz w:val="48"/>
          <w:szCs w:val="48"/>
        </w:rPr>
      </w:pPr>
      <w:r>
        <w:rPr>
          <w:rFonts w:hint="eastAsia" w:ascii="宋体" w:hAnsi="宋体" w:cs="宋体"/>
          <w:b/>
          <w:kern w:val="0"/>
          <w:sz w:val="48"/>
          <w:szCs w:val="48"/>
        </w:rPr>
        <w:t>西安市阎良区西飞第一中学智慧校园综合管理平台建设项目</w:t>
      </w:r>
    </w:p>
    <w:p>
      <w:pPr>
        <w:pStyle w:val="3"/>
        <w:jc w:val="center"/>
        <w:rPr>
          <w:rFonts w:ascii="宋体" w:hAnsi="宋体" w:cs="宋体"/>
        </w:rPr>
      </w:pPr>
    </w:p>
    <w:p>
      <w:pPr>
        <w:jc w:val="center"/>
        <w:rPr>
          <w:rFonts w:ascii="宋体" w:hAnsi="宋体" w:cs="宋体"/>
        </w:rPr>
      </w:pPr>
    </w:p>
    <w:p>
      <w:pPr>
        <w:pStyle w:val="3"/>
        <w:jc w:val="center"/>
        <w:rPr>
          <w:rFonts w:ascii="宋体" w:hAnsi="宋体" w:cs="宋体"/>
        </w:rPr>
      </w:pPr>
    </w:p>
    <w:p>
      <w:pPr>
        <w:jc w:val="center"/>
        <w:rPr>
          <w:rFonts w:ascii="宋体" w:hAnsi="宋体" w:cs="宋体"/>
          <w:b/>
          <w:kern w:val="0"/>
          <w:sz w:val="48"/>
          <w:szCs w:val="48"/>
        </w:rPr>
      </w:pPr>
      <w:r>
        <w:rPr>
          <w:rFonts w:hint="eastAsia" w:ascii="宋体" w:hAnsi="宋体" w:cs="宋体"/>
          <w:b/>
          <w:kern w:val="0"/>
          <w:sz w:val="48"/>
          <w:szCs w:val="48"/>
        </w:rPr>
        <w:t>竞争性磋商响应文件</w:t>
      </w:r>
    </w:p>
    <w:p>
      <w:pPr>
        <w:jc w:val="center"/>
        <w:rPr>
          <w:rFonts w:ascii="宋体" w:hAnsi="宋体" w:cs="宋体"/>
          <w:b/>
          <w:kern w:val="0"/>
          <w:sz w:val="48"/>
          <w:szCs w:val="48"/>
        </w:rPr>
      </w:pPr>
    </w:p>
    <w:p>
      <w:pPr>
        <w:jc w:val="center"/>
        <w:rPr>
          <w:rFonts w:ascii="宋体" w:hAnsi="宋体" w:cs="宋体"/>
          <w:b/>
          <w:kern w:val="0"/>
          <w:sz w:val="48"/>
          <w:szCs w:val="48"/>
        </w:rPr>
      </w:pPr>
      <w:r>
        <w:rPr>
          <w:rFonts w:hint="eastAsia" w:ascii="宋体" w:hAnsi="宋体" w:cs="宋体"/>
          <w:b/>
          <w:kern w:val="0"/>
          <w:sz w:val="48"/>
          <w:szCs w:val="48"/>
        </w:rPr>
        <w:t>（格式）</w:t>
      </w:r>
    </w:p>
    <w:p>
      <w:pPr>
        <w:rPr>
          <w:rFonts w:ascii="宋体" w:hAnsi="宋体" w:cs="宋体"/>
          <w:sz w:val="32"/>
        </w:rPr>
      </w:pPr>
    </w:p>
    <w:p>
      <w:pPr>
        <w:rPr>
          <w:rFonts w:ascii="宋体" w:hAnsi="宋体" w:cs="宋体"/>
        </w:rPr>
      </w:pPr>
    </w:p>
    <w:p>
      <w:pPr>
        <w:rPr>
          <w:rFonts w:ascii="宋体" w:hAnsi="宋体" w:cs="宋体"/>
          <w:sz w:val="32"/>
        </w:rPr>
      </w:pPr>
    </w:p>
    <w:p>
      <w:pPr>
        <w:rPr>
          <w:rFonts w:ascii="宋体" w:hAnsi="宋体" w:cs="宋体"/>
          <w:sz w:val="32"/>
        </w:rPr>
      </w:pPr>
    </w:p>
    <w:p>
      <w:pPr>
        <w:pStyle w:val="3"/>
        <w:rPr>
          <w:rFonts w:ascii="宋体" w:hAnsi="宋体" w:cs="宋体"/>
        </w:rPr>
      </w:pPr>
    </w:p>
    <w:p>
      <w:pPr>
        <w:spacing w:line="480" w:lineRule="auto"/>
        <w:ind w:firstLine="1968" w:firstLineChars="700"/>
        <w:rPr>
          <w:rFonts w:ascii="宋体" w:hAnsi="宋体" w:cs="宋体"/>
          <w:b/>
          <w:sz w:val="28"/>
          <w:szCs w:val="28"/>
          <w:u w:val="single"/>
        </w:rPr>
      </w:pPr>
      <w:r>
        <w:rPr>
          <w:rFonts w:hint="eastAsia" w:ascii="宋体" w:hAnsi="宋体" w:cs="宋体"/>
          <w:b/>
          <w:sz w:val="28"/>
          <w:szCs w:val="28"/>
        </w:rPr>
        <w:t>供   应   商：</w:t>
      </w:r>
      <w:r>
        <w:rPr>
          <w:rFonts w:hint="eastAsia" w:ascii="宋体" w:hAnsi="宋体" w:cs="宋体"/>
          <w:b/>
          <w:sz w:val="28"/>
          <w:szCs w:val="28"/>
          <w:u w:val="single"/>
        </w:rPr>
        <w:tab/>
      </w:r>
      <w:r>
        <w:rPr>
          <w:rFonts w:hint="eastAsia" w:ascii="宋体" w:hAnsi="宋体" w:cs="宋体"/>
          <w:b/>
          <w:sz w:val="28"/>
          <w:szCs w:val="28"/>
          <w:u w:val="single"/>
        </w:rPr>
        <w:tab/>
      </w:r>
      <w:r>
        <w:rPr>
          <w:rFonts w:hint="eastAsia" w:ascii="宋体" w:hAnsi="宋体" w:cs="宋体"/>
          <w:b/>
          <w:sz w:val="28"/>
          <w:szCs w:val="28"/>
          <w:u w:val="single"/>
        </w:rPr>
        <w:t xml:space="preserve">              </w:t>
      </w:r>
      <w:r>
        <w:rPr>
          <w:rFonts w:hint="eastAsia" w:ascii="宋体" w:hAnsi="宋体" w:cs="宋体"/>
          <w:b/>
          <w:sz w:val="28"/>
          <w:szCs w:val="28"/>
        </w:rPr>
        <w:t>（盖     章）</w:t>
      </w:r>
    </w:p>
    <w:p>
      <w:pPr>
        <w:spacing w:line="480" w:lineRule="auto"/>
        <w:ind w:firstLine="1968" w:firstLineChars="700"/>
        <w:rPr>
          <w:rFonts w:ascii="宋体" w:hAnsi="宋体" w:cs="宋体"/>
          <w:b/>
          <w:sz w:val="28"/>
          <w:szCs w:val="28"/>
        </w:rPr>
      </w:pPr>
      <w:r>
        <w:rPr>
          <w:rFonts w:hint="eastAsia" w:ascii="宋体" w:hAnsi="宋体" w:cs="宋体"/>
          <w:b/>
          <w:sz w:val="28"/>
          <w:szCs w:val="28"/>
        </w:rPr>
        <w:t>法定代表人或委托代理人:</w:t>
      </w:r>
      <w:r>
        <w:rPr>
          <w:rFonts w:hint="eastAsia" w:ascii="宋体" w:hAnsi="宋体" w:cs="宋体"/>
          <w:b/>
          <w:sz w:val="28"/>
          <w:szCs w:val="28"/>
          <w:u w:val="single"/>
        </w:rPr>
        <w:t xml:space="preserve">          </w:t>
      </w:r>
      <w:r>
        <w:rPr>
          <w:rFonts w:hint="eastAsia" w:ascii="宋体" w:hAnsi="宋体" w:cs="宋体"/>
          <w:b/>
          <w:sz w:val="28"/>
          <w:szCs w:val="28"/>
        </w:rPr>
        <w:t>（签字或盖章）</w:t>
      </w:r>
    </w:p>
    <w:p>
      <w:pPr>
        <w:spacing w:line="480" w:lineRule="auto"/>
        <w:ind w:firstLine="1968" w:firstLineChars="700"/>
        <w:rPr>
          <w:rFonts w:ascii="宋体" w:hAnsi="宋体" w:cs="宋体"/>
          <w:b/>
          <w:sz w:val="36"/>
          <w:szCs w:val="36"/>
          <w:bdr w:val="single" w:color="auto" w:sz="4" w:space="0"/>
          <w:shd w:val="pct10" w:color="auto" w:fill="FFFFFF"/>
        </w:rPr>
      </w:pPr>
      <w:r>
        <w:rPr>
          <w:rFonts w:hint="eastAsia" w:ascii="宋体" w:hAnsi="宋体" w:cs="宋体"/>
          <w:b/>
          <w:sz w:val="28"/>
          <w:szCs w:val="28"/>
        </w:rPr>
        <w:t>日       期：   年    月    日</w:t>
      </w:r>
    </w:p>
    <w:p>
      <w:pPr>
        <w:rPr>
          <w:rFonts w:ascii="宋体" w:hAnsi="宋体" w:cs="宋体"/>
          <w:b/>
          <w:sz w:val="32"/>
          <w:szCs w:val="32"/>
        </w:rPr>
      </w:pPr>
      <w:bookmarkStart w:id="180" w:name="_Toc167591144"/>
      <w:bookmarkStart w:id="181" w:name="_Toc167590775"/>
      <w:bookmarkStart w:id="182" w:name="_Toc194663918"/>
      <w:bookmarkStart w:id="183" w:name="_Toc173549978"/>
      <w:bookmarkStart w:id="184" w:name="_Toc175033592"/>
      <w:bookmarkStart w:id="185" w:name="_Toc169846776"/>
      <w:bookmarkStart w:id="186" w:name="_Toc193187097"/>
      <w:bookmarkStart w:id="187" w:name="_Toc169838532"/>
      <w:bookmarkStart w:id="188" w:name="_Toc167591043"/>
      <w:bookmarkStart w:id="189" w:name="_Toc170980552"/>
      <w:bookmarkStart w:id="190" w:name="_Toc175032437"/>
      <w:bookmarkStart w:id="191" w:name="_Toc170980453"/>
      <w:bookmarkStart w:id="192" w:name="_Toc169846873"/>
      <w:bookmarkStart w:id="193" w:name="_Toc167591330"/>
      <w:bookmarkStart w:id="194" w:name="_Toc193126881"/>
      <w:bookmarkStart w:id="195" w:name="_Toc154482479"/>
      <w:bookmarkStart w:id="196" w:name="_Toc167849360"/>
      <w:bookmarkStart w:id="197" w:name="_Toc188808833"/>
      <w:bookmarkStart w:id="198" w:name="_Toc167591492"/>
      <w:r>
        <w:rPr>
          <w:rFonts w:hint="eastAsia" w:ascii="宋体" w:hAnsi="宋体" w:cs="宋体"/>
          <w:b/>
          <w:sz w:val="32"/>
          <w:szCs w:val="32"/>
        </w:rPr>
        <w:br w:type="page"/>
      </w:r>
    </w:p>
    <w:p>
      <w:pPr>
        <w:pStyle w:val="2"/>
        <w:ind w:firstLine="0" w:firstLineChars="0"/>
        <w:jc w:val="center"/>
        <w:rPr>
          <w:rFonts w:ascii="宋体" w:hAnsi="宋体" w:cs="宋体"/>
          <w:sz w:val="24"/>
        </w:rPr>
      </w:pPr>
      <w:r>
        <w:rPr>
          <w:rFonts w:hint="eastAsia" w:ascii="宋体" w:hAnsi="宋体" w:cs="宋体"/>
          <w:b/>
          <w:sz w:val="32"/>
          <w:szCs w:val="32"/>
        </w:rPr>
        <w:t>竞争性磋商响应文件编制说明</w:t>
      </w:r>
    </w:p>
    <w:p>
      <w:pPr>
        <w:spacing w:line="480" w:lineRule="auto"/>
        <w:ind w:firstLine="480" w:firstLineChars="200"/>
        <w:rPr>
          <w:rFonts w:ascii="宋体" w:hAnsi="宋体" w:cs="宋体"/>
          <w:sz w:val="24"/>
        </w:rPr>
      </w:pPr>
      <w:r>
        <w:rPr>
          <w:rFonts w:hint="eastAsia" w:ascii="宋体" w:hAnsi="宋体" w:cs="宋体"/>
          <w:sz w:val="24"/>
        </w:rPr>
        <w:t>1.陕西盛世嘉和招标提供的竞争性磋商文件格式，起到样式作用，编制竞争性磋商响应文件前，请详细阅读竞争性磋商文件，理解文件中的每一项要求。</w:t>
      </w:r>
    </w:p>
    <w:p>
      <w:pPr>
        <w:spacing w:line="480" w:lineRule="auto"/>
        <w:ind w:firstLine="480" w:firstLineChars="200"/>
        <w:rPr>
          <w:rFonts w:ascii="宋体" w:hAnsi="宋体" w:cs="宋体"/>
          <w:b/>
          <w:bCs/>
          <w:sz w:val="24"/>
        </w:rPr>
      </w:pPr>
      <w:r>
        <w:rPr>
          <w:rFonts w:hint="eastAsia" w:ascii="宋体" w:hAnsi="宋体" w:cs="宋体"/>
          <w:sz w:val="24"/>
        </w:rPr>
        <w:t>2.竞争性磋商响应文件的编制应按照样本格式提供的内容，做出逐一明确的答复；供应商认为有必要，还可以做其它补充说明。</w:t>
      </w:r>
      <w:r>
        <w:rPr>
          <w:rFonts w:hint="eastAsia" w:ascii="宋体" w:hAnsi="宋体" w:cs="宋体"/>
          <w:b/>
          <w:bCs/>
          <w:sz w:val="24"/>
        </w:rPr>
        <w:t>每一项内容必须在目录中注明具体页码，便于磋商小组评审。</w:t>
      </w:r>
    </w:p>
    <w:p>
      <w:pPr>
        <w:spacing w:line="480" w:lineRule="auto"/>
        <w:ind w:firstLine="482" w:firstLineChars="201"/>
        <w:rPr>
          <w:rFonts w:ascii="宋体" w:hAnsi="宋体" w:cs="宋体"/>
          <w:sz w:val="24"/>
        </w:rPr>
      </w:pPr>
      <w:r>
        <w:rPr>
          <w:rFonts w:hint="eastAsia" w:ascii="宋体" w:hAnsi="宋体" w:cs="宋体"/>
          <w:sz w:val="24"/>
        </w:rPr>
        <w:t>3.全部编制完成，并加盖印章后，竞争性磋商响应文件正、副本应分别装订成册。</w:t>
      </w:r>
    </w:p>
    <w:p>
      <w:pPr>
        <w:spacing w:line="500" w:lineRule="exact"/>
        <w:rPr>
          <w:rFonts w:ascii="宋体" w:hAnsi="宋体" w:cs="宋体"/>
          <w:b/>
          <w:sz w:val="44"/>
          <w:szCs w:val="44"/>
        </w:rPr>
      </w:pPr>
    </w:p>
    <w:p>
      <w:pPr>
        <w:spacing w:line="500" w:lineRule="exact"/>
        <w:rPr>
          <w:rFonts w:ascii="宋体" w:hAnsi="宋体" w:cs="宋体"/>
          <w:b/>
          <w:sz w:val="44"/>
          <w:szCs w:val="44"/>
        </w:rPr>
      </w:pPr>
    </w:p>
    <w:p>
      <w:pPr>
        <w:spacing w:line="500" w:lineRule="exact"/>
        <w:rPr>
          <w:rFonts w:ascii="宋体" w:hAnsi="宋体" w:cs="宋体"/>
          <w:b/>
          <w:sz w:val="44"/>
          <w:szCs w:val="44"/>
        </w:rPr>
      </w:pPr>
    </w:p>
    <w:p>
      <w:pPr>
        <w:spacing w:line="500" w:lineRule="exact"/>
        <w:rPr>
          <w:rFonts w:ascii="宋体" w:hAnsi="宋体" w:cs="宋体"/>
          <w:b/>
          <w:sz w:val="44"/>
          <w:szCs w:val="44"/>
        </w:rPr>
      </w:pPr>
    </w:p>
    <w:p>
      <w:pPr>
        <w:spacing w:line="500" w:lineRule="exact"/>
        <w:rPr>
          <w:rFonts w:ascii="宋体" w:hAnsi="宋体" w:cs="宋体"/>
          <w:b/>
          <w:sz w:val="44"/>
          <w:szCs w:val="44"/>
        </w:rPr>
      </w:pPr>
    </w:p>
    <w:p>
      <w:pPr>
        <w:spacing w:line="500" w:lineRule="exact"/>
        <w:rPr>
          <w:rFonts w:ascii="宋体" w:hAnsi="宋体" w:cs="宋体"/>
          <w:b/>
          <w:sz w:val="44"/>
          <w:szCs w:val="44"/>
        </w:rPr>
      </w:pPr>
    </w:p>
    <w:p>
      <w:pPr>
        <w:spacing w:line="500" w:lineRule="exact"/>
        <w:rPr>
          <w:rFonts w:ascii="宋体" w:hAnsi="宋体" w:cs="宋体"/>
          <w:b/>
          <w:sz w:val="44"/>
          <w:szCs w:val="44"/>
        </w:rPr>
      </w:pPr>
    </w:p>
    <w:p>
      <w:pPr>
        <w:spacing w:line="500" w:lineRule="exact"/>
        <w:rPr>
          <w:rFonts w:ascii="宋体" w:hAnsi="宋体" w:cs="宋体"/>
          <w:b/>
          <w:sz w:val="44"/>
          <w:szCs w:val="44"/>
        </w:rPr>
      </w:pPr>
    </w:p>
    <w:p>
      <w:pPr>
        <w:spacing w:line="500" w:lineRule="exact"/>
        <w:rPr>
          <w:rFonts w:ascii="宋体" w:hAnsi="宋体" w:cs="宋体"/>
          <w:b/>
          <w:sz w:val="44"/>
          <w:szCs w:val="44"/>
        </w:rPr>
      </w:pPr>
    </w:p>
    <w:p>
      <w:pPr>
        <w:spacing w:line="500" w:lineRule="exact"/>
        <w:rPr>
          <w:rFonts w:ascii="宋体" w:hAnsi="宋体" w:cs="宋体"/>
          <w:b/>
          <w:sz w:val="44"/>
          <w:szCs w:val="44"/>
        </w:rPr>
      </w:pPr>
    </w:p>
    <w:p>
      <w:pPr>
        <w:spacing w:line="500" w:lineRule="exact"/>
        <w:rPr>
          <w:rFonts w:ascii="宋体" w:hAnsi="宋体" w:cs="宋体"/>
          <w:b/>
          <w:sz w:val="44"/>
          <w:szCs w:val="44"/>
        </w:rPr>
      </w:pPr>
    </w:p>
    <w:p>
      <w:pPr>
        <w:spacing w:line="500" w:lineRule="exact"/>
        <w:rPr>
          <w:rFonts w:ascii="宋体" w:hAnsi="宋体" w:cs="宋体"/>
          <w:b/>
          <w:sz w:val="44"/>
          <w:szCs w:val="44"/>
        </w:rPr>
      </w:pPr>
    </w:p>
    <w:p>
      <w:pPr>
        <w:spacing w:line="500" w:lineRule="exact"/>
        <w:rPr>
          <w:rFonts w:ascii="宋体" w:hAnsi="宋体" w:cs="宋体"/>
          <w:b/>
          <w:sz w:val="44"/>
          <w:szCs w:val="44"/>
        </w:rPr>
      </w:pPr>
    </w:p>
    <w:p>
      <w:pPr>
        <w:spacing w:line="500" w:lineRule="exact"/>
        <w:rPr>
          <w:rFonts w:ascii="宋体" w:hAnsi="宋体" w:cs="宋体"/>
          <w:b/>
          <w:sz w:val="44"/>
          <w:szCs w:val="44"/>
        </w:rPr>
      </w:pPr>
    </w:p>
    <w:p>
      <w:pPr>
        <w:spacing w:line="500" w:lineRule="exact"/>
        <w:rPr>
          <w:rFonts w:ascii="宋体" w:hAnsi="宋体" w:cs="宋体"/>
          <w:b/>
          <w:sz w:val="44"/>
          <w:szCs w:val="44"/>
        </w:rPr>
      </w:pPr>
    </w:p>
    <w:p>
      <w:pPr>
        <w:rPr>
          <w:rFonts w:ascii="宋体" w:hAnsi="宋体" w:cs="宋体"/>
        </w:rPr>
      </w:pPr>
    </w:p>
    <w:p>
      <w:pPr>
        <w:rPr>
          <w:rFonts w:ascii="宋体" w:hAnsi="宋体" w:cs="宋体"/>
          <w:b/>
          <w:sz w:val="36"/>
          <w:szCs w:val="36"/>
        </w:rPr>
      </w:pPr>
      <w:bookmarkStart w:id="199" w:name="_Toc26234"/>
      <w:bookmarkStart w:id="200" w:name="_Toc10020"/>
    </w:p>
    <w:p>
      <w:pPr>
        <w:rPr>
          <w:rFonts w:ascii="宋体" w:hAnsi="宋体" w:cs="宋体"/>
          <w:b/>
          <w:sz w:val="28"/>
          <w:szCs w:val="28"/>
        </w:rPr>
      </w:pPr>
    </w:p>
    <w:bookmarkEnd w:id="180"/>
    <w:bookmarkEnd w:id="181"/>
    <w:bookmarkEnd w:id="182"/>
    <w:bookmarkEnd w:id="183"/>
    <w:bookmarkEnd w:id="184"/>
    <w:bookmarkEnd w:id="185"/>
    <w:bookmarkEnd w:id="186"/>
    <w:bookmarkEnd w:id="187"/>
    <w:bookmarkEnd w:id="188"/>
    <w:bookmarkEnd w:id="189"/>
    <w:bookmarkEnd w:id="190"/>
    <w:bookmarkEnd w:id="191"/>
    <w:bookmarkEnd w:id="192"/>
    <w:bookmarkEnd w:id="193"/>
    <w:bookmarkEnd w:id="194"/>
    <w:bookmarkEnd w:id="195"/>
    <w:bookmarkEnd w:id="196"/>
    <w:bookmarkEnd w:id="197"/>
    <w:bookmarkEnd w:id="198"/>
    <w:bookmarkEnd w:id="199"/>
    <w:bookmarkEnd w:id="200"/>
    <w:p>
      <w:pPr>
        <w:spacing w:line="480" w:lineRule="auto"/>
        <w:rPr>
          <w:rFonts w:ascii="宋体" w:hAnsi="宋体" w:cs="宋体"/>
          <w:b/>
          <w:sz w:val="32"/>
          <w:szCs w:val="32"/>
        </w:rPr>
      </w:pPr>
      <w:bookmarkStart w:id="201" w:name="_Toc21539"/>
      <w:bookmarkStart w:id="202" w:name="_Toc494096889"/>
      <w:bookmarkStart w:id="203" w:name="_Toc15592"/>
      <w:bookmarkStart w:id="204" w:name="_Toc20980"/>
      <w:bookmarkStart w:id="205" w:name="_Toc972"/>
      <w:bookmarkStart w:id="206" w:name="_Toc188808842"/>
      <w:bookmarkStart w:id="207" w:name="_Toc194663942"/>
      <w:bookmarkStart w:id="208" w:name="_Toc188808855"/>
      <w:bookmarkStart w:id="209" w:name="_Toc193187111"/>
      <w:bookmarkStart w:id="210" w:name="_Toc193126891"/>
      <w:bookmarkStart w:id="211" w:name="_Toc193126905"/>
    </w:p>
    <w:p>
      <w:pPr>
        <w:spacing w:line="480" w:lineRule="auto"/>
        <w:ind w:firstLine="210"/>
        <w:jc w:val="center"/>
        <w:rPr>
          <w:rFonts w:ascii="宋体" w:hAnsi="宋体" w:cs="宋体"/>
          <w:b/>
          <w:sz w:val="44"/>
          <w:szCs w:val="44"/>
        </w:rPr>
      </w:pPr>
      <w:r>
        <w:rPr>
          <w:rFonts w:hint="eastAsia" w:ascii="宋体" w:hAnsi="宋体" w:cs="宋体"/>
          <w:b/>
          <w:sz w:val="44"/>
          <w:szCs w:val="44"/>
        </w:rPr>
        <w:t>目   录</w:t>
      </w:r>
    </w:p>
    <w:p>
      <w:pPr>
        <w:spacing w:line="360" w:lineRule="auto"/>
        <w:ind w:firstLine="720" w:firstLineChars="300"/>
        <w:rPr>
          <w:rFonts w:ascii="宋体" w:hAnsi="宋体" w:cs="宋体"/>
          <w:kern w:val="0"/>
          <w:sz w:val="24"/>
        </w:rPr>
      </w:pPr>
      <w:r>
        <w:rPr>
          <w:rFonts w:hint="eastAsia" w:ascii="宋体" w:hAnsi="宋体" w:cs="宋体"/>
          <w:kern w:val="0"/>
          <w:sz w:val="24"/>
        </w:rPr>
        <w:t>1）磋商响应函；</w:t>
      </w:r>
    </w:p>
    <w:p>
      <w:pPr>
        <w:spacing w:line="360" w:lineRule="auto"/>
        <w:ind w:firstLine="720" w:firstLineChars="300"/>
        <w:rPr>
          <w:rFonts w:ascii="宋体" w:hAnsi="宋体" w:cs="宋体"/>
          <w:kern w:val="0"/>
          <w:sz w:val="24"/>
        </w:rPr>
      </w:pPr>
      <w:r>
        <w:rPr>
          <w:rFonts w:hint="eastAsia" w:ascii="宋体" w:hAnsi="宋体" w:cs="宋体"/>
          <w:kern w:val="0"/>
          <w:sz w:val="24"/>
        </w:rPr>
        <w:t>2）报价表；</w:t>
      </w:r>
    </w:p>
    <w:p>
      <w:pPr>
        <w:spacing w:line="360" w:lineRule="auto"/>
        <w:ind w:firstLine="720" w:firstLineChars="300"/>
        <w:rPr>
          <w:rFonts w:ascii="宋体" w:hAnsi="宋体" w:cs="宋体"/>
          <w:kern w:val="0"/>
          <w:sz w:val="24"/>
        </w:rPr>
      </w:pPr>
      <w:r>
        <w:rPr>
          <w:rFonts w:hint="eastAsia" w:ascii="宋体" w:hAnsi="宋体" w:cs="宋体"/>
          <w:kern w:val="0"/>
          <w:sz w:val="24"/>
        </w:rPr>
        <w:t>3）技术偏离表；</w:t>
      </w:r>
    </w:p>
    <w:p>
      <w:pPr>
        <w:spacing w:line="360" w:lineRule="auto"/>
        <w:ind w:firstLine="720" w:firstLineChars="300"/>
        <w:rPr>
          <w:rFonts w:ascii="宋体" w:hAnsi="宋体" w:cs="宋体"/>
          <w:kern w:val="0"/>
          <w:sz w:val="24"/>
        </w:rPr>
      </w:pPr>
      <w:r>
        <w:rPr>
          <w:rFonts w:hint="eastAsia" w:ascii="宋体" w:hAnsi="宋体" w:cs="宋体"/>
          <w:kern w:val="0"/>
          <w:sz w:val="24"/>
        </w:rPr>
        <w:t>4）商务偏离表；</w:t>
      </w:r>
    </w:p>
    <w:p>
      <w:pPr>
        <w:spacing w:line="360" w:lineRule="auto"/>
        <w:ind w:firstLine="720" w:firstLineChars="300"/>
        <w:rPr>
          <w:rFonts w:ascii="宋体" w:hAnsi="宋体" w:cs="宋体"/>
          <w:kern w:val="0"/>
          <w:sz w:val="24"/>
        </w:rPr>
      </w:pPr>
      <w:r>
        <w:rPr>
          <w:rFonts w:hint="eastAsia" w:ascii="宋体" w:hAnsi="宋体" w:cs="宋体"/>
          <w:kern w:val="0"/>
          <w:sz w:val="24"/>
        </w:rPr>
        <w:t>5）磋商响应方案说明；</w:t>
      </w:r>
    </w:p>
    <w:p>
      <w:pPr>
        <w:spacing w:line="360" w:lineRule="auto"/>
        <w:ind w:firstLine="720" w:firstLineChars="300"/>
        <w:rPr>
          <w:rFonts w:ascii="宋体" w:hAnsi="宋体" w:cs="宋体"/>
          <w:kern w:val="0"/>
          <w:sz w:val="24"/>
        </w:rPr>
      </w:pPr>
      <w:r>
        <w:rPr>
          <w:rFonts w:hint="eastAsia" w:ascii="宋体" w:hAnsi="宋体" w:cs="宋体"/>
          <w:kern w:val="0"/>
          <w:sz w:val="24"/>
        </w:rPr>
        <w:t>6）供应商资格证明文件；</w:t>
      </w:r>
    </w:p>
    <w:p>
      <w:pPr>
        <w:spacing w:line="360" w:lineRule="auto"/>
        <w:ind w:firstLine="720" w:firstLineChars="300"/>
        <w:rPr>
          <w:rFonts w:ascii="宋体" w:hAnsi="宋体" w:cs="宋体"/>
          <w:kern w:val="0"/>
          <w:sz w:val="24"/>
        </w:rPr>
      </w:pPr>
      <w:r>
        <w:rPr>
          <w:rFonts w:hint="eastAsia" w:ascii="宋体" w:hAnsi="宋体" w:cs="宋体"/>
          <w:kern w:val="0"/>
          <w:sz w:val="24"/>
        </w:rPr>
        <w:t>7）业绩；</w:t>
      </w:r>
    </w:p>
    <w:p>
      <w:pPr>
        <w:spacing w:line="360" w:lineRule="auto"/>
        <w:ind w:firstLine="720" w:firstLineChars="300"/>
        <w:rPr>
          <w:rFonts w:ascii="宋体" w:hAnsi="宋体" w:cs="宋体"/>
          <w:kern w:val="0"/>
          <w:sz w:val="24"/>
        </w:rPr>
      </w:pPr>
      <w:r>
        <w:rPr>
          <w:rFonts w:hint="eastAsia" w:ascii="宋体" w:hAnsi="宋体" w:cs="宋体"/>
          <w:kern w:val="0"/>
          <w:sz w:val="24"/>
        </w:rPr>
        <w:t>8）</w:t>
      </w:r>
      <w:r>
        <w:rPr>
          <w:rFonts w:hint="eastAsia" w:ascii="宋体" w:hAnsi="宋体" w:cs="宋体"/>
          <w:sz w:val="24"/>
        </w:rPr>
        <w:t>供应商承诺书；</w:t>
      </w:r>
    </w:p>
    <w:p>
      <w:pPr>
        <w:spacing w:line="360" w:lineRule="auto"/>
        <w:ind w:firstLine="720" w:firstLineChars="300"/>
        <w:rPr>
          <w:rFonts w:ascii="宋体" w:hAnsi="宋体" w:cs="宋体"/>
          <w:kern w:val="0"/>
          <w:sz w:val="24"/>
        </w:rPr>
      </w:pPr>
      <w:r>
        <w:rPr>
          <w:rFonts w:hint="eastAsia" w:ascii="宋体" w:hAnsi="宋体" w:cs="宋体"/>
          <w:sz w:val="24"/>
        </w:rPr>
        <w:t>9）</w:t>
      </w:r>
      <w:r>
        <w:rPr>
          <w:rFonts w:hint="eastAsia" w:ascii="宋体" w:hAnsi="宋体" w:cs="宋体"/>
          <w:kern w:val="0"/>
          <w:sz w:val="24"/>
        </w:rPr>
        <w:t>其他证明文件；</w:t>
      </w:r>
    </w:p>
    <w:p>
      <w:pPr>
        <w:spacing w:line="360" w:lineRule="auto"/>
        <w:ind w:left="210"/>
        <w:jc w:val="left"/>
        <w:rPr>
          <w:rFonts w:ascii="宋体" w:hAnsi="宋体" w:cs="宋体"/>
          <w:bCs/>
          <w:sz w:val="28"/>
          <w:szCs w:val="28"/>
        </w:rPr>
      </w:pPr>
    </w:p>
    <w:p>
      <w:pPr>
        <w:spacing w:line="400" w:lineRule="exact"/>
        <w:ind w:firstLine="210"/>
        <w:jc w:val="center"/>
        <w:rPr>
          <w:rFonts w:ascii="宋体" w:hAnsi="宋体" w:cs="宋体"/>
          <w:b/>
          <w:sz w:val="28"/>
          <w:szCs w:val="28"/>
        </w:rPr>
      </w:pPr>
      <w:r>
        <w:rPr>
          <w:rFonts w:hint="eastAsia" w:ascii="宋体" w:hAnsi="宋体" w:cs="宋体"/>
          <w:b/>
          <w:sz w:val="36"/>
          <w:szCs w:val="36"/>
        </w:rPr>
        <w:br w:type="page"/>
      </w:r>
      <w:r>
        <w:rPr>
          <w:rFonts w:hint="eastAsia" w:ascii="宋体" w:hAnsi="宋体" w:cs="宋体"/>
          <w:b/>
          <w:sz w:val="36"/>
          <w:szCs w:val="36"/>
        </w:rPr>
        <w:t>一</w:t>
      </w:r>
      <w:r>
        <w:rPr>
          <w:rFonts w:hint="eastAsia" w:ascii="宋体" w:hAnsi="宋体" w:cs="宋体"/>
          <w:b/>
          <w:sz w:val="28"/>
          <w:szCs w:val="28"/>
        </w:rPr>
        <w:t>、磋商响应函</w:t>
      </w:r>
      <w:bookmarkEnd w:id="201"/>
      <w:bookmarkEnd w:id="202"/>
      <w:bookmarkEnd w:id="203"/>
      <w:bookmarkEnd w:id="204"/>
      <w:bookmarkEnd w:id="205"/>
    </w:p>
    <w:p>
      <w:pPr>
        <w:spacing w:line="400" w:lineRule="exact"/>
        <w:rPr>
          <w:rFonts w:ascii="宋体" w:hAnsi="宋体" w:cs="宋体"/>
          <w:b/>
          <w:sz w:val="24"/>
        </w:rPr>
      </w:pPr>
      <w:r>
        <w:rPr>
          <w:rFonts w:hint="eastAsia" w:ascii="宋体" w:hAnsi="宋体" w:cs="宋体"/>
          <w:b/>
          <w:sz w:val="24"/>
        </w:rPr>
        <w:t>陕西盛世嘉和招标有限公司：</w:t>
      </w:r>
    </w:p>
    <w:p>
      <w:pPr>
        <w:spacing w:line="400" w:lineRule="exact"/>
        <w:ind w:firstLine="480" w:firstLineChars="200"/>
        <w:rPr>
          <w:rFonts w:ascii="宋体" w:hAnsi="宋体" w:cs="宋体"/>
          <w:sz w:val="24"/>
        </w:rPr>
      </w:pPr>
      <w:r>
        <w:rPr>
          <w:rFonts w:hint="eastAsia" w:ascii="宋体" w:hAnsi="宋体" w:cs="宋体"/>
          <w:sz w:val="24"/>
        </w:rPr>
        <w:t>我单位收到贵单位项目</w:t>
      </w:r>
      <w:r>
        <w:rPr>
          <w:rFonts w:hint="eastAsia" w:ascii="宋体" w:hAnsi="宋体" w:cs="宋体"/>
          <w:sz w:val="24"/>
          <w:u w:val="single"/>
        </w:rPr>
        <w:t>（项目名称）（ SXSJHT2020-   ）</w:t>
      </w:r>
      <w:r>
        <w:rPr>
          <w:rFonts w:hint="eastAsia" w:ascii="宋体" w:hAnsi="宋体" w:cs="宋体"/>
          <w:sz w:val="24"/>
        </w:rPr>
        <w:t>号竞争性磋商文件，我们决定参加该项目磋商活动，并参与磋商会议。为此，我方郑重声明以下诸点，并负法律责任。</w:t>
      </w:r>
    </w:p>
    <w:p>
      <w:pPr>
        <w:spacing w:line="400" w:lineRule="exact"/>
        <w:ind w:firstLine="720" w:firstLineChars="300"/>
        <w:rPr>
          <w:rFonts w:ascii="宋体" w:hAnsi="宋体" w:cs="宋体"/>
          <w:sz w:val="24"/>
        </w:rPr>
      </w:pPr>
      <w:r>
        <w:rPr>
          <w:rFonts w:hint="eastAsia" w:ascii="宋体" w:hAnsi="宋体" w:cs="宋体"/>
          <w:sz w:val="24"/>
        </w:rPr>
        <w:t>1.按磋商文件的规定，我公司的第一次磋商总报价为：人民币（大写）：            （￥</w:t>
      </w:r>
      <w:r>
        <w:rPr>
          <w:rFonts w:hint="eastAsia" w:ascii="宋体" w:hAnsi="宋体" w:cs="宋体"/>
          <w:sz w:val="24"/>
          <w:u w:val="single"/>
        </w:rPr>
        <w:t xml:space="preserve">        </w:t>
      </w:r>
      <w:r>
        <w:rPr>
          <w:rFonts w:hint="eastAsia" w:ascii="宋体" w:hAnsi="宋体" w:cs="宋体"/>
          <w:sz w:val="24"/>
        </w:rPr>
        <w:t xml:space="preserve">元），并对其后的磋商报价负法律责任。         </w:t>
      </w:r>
    </w:p>
    <w:p>
      <w:pPr>
        <w:spacing w:line="400" w:lineRule="exact"/>
        <w:ind w:firstLine="480" w:firstLineChars="200"/>
        <w:rPr>
          <w:rFonts w:ascii="宋体" w:hAnsi="宋体" w:cs="宋体"/>
          <w:sz w:val="24"/>
        </w:rPr>
      </w:pPr>
      <w:r>
        <w:rPr>
          <w:rFonts w:hint="eastAsia" w:ascii="宋体" w:hAnsi="宋体" w:cs="宋体"/>
          <w:sz w:val="24"/>
        </w:rPr>
        <w:t>2.我方提交的竞争性磋商响应文件，正本壹份，副本贰份，电子文件一份，并保证磋商响应文件提供的数据和材料真实、准确。否则，愿承担相关的法律责任。</w:t>
      </w:r>
    </w:p>
    <w:p>
      <w:pPr>
        <w:spacing w:line="400" w:lineRule="exact"/>
        <w:ind w:firstLine="480" w:firstLineChars="200"/>
        <w:rPr>
          <w:rFonts w:ascii="宋体" w:hAnsi="宋体" w:cs="宋体"/>
          <w:sz w:val="24"/>
        </w:rPr>
      </w:pPr>
      <w:r>
        <w:rPr>
          <w:rFonts w:hint="eastAsia" w:ascii="宋体" w:hAnsi="宋体" w:cs="宋体"/>
          <w:sz w:val="24"/>
        </w:rPr>
        <w:t>3.我方已详细阅读了磋商文件，完全理解并放弃提出含糊不清或易形成歧义的表述和资料。</w:t>
      </w:r>
    </w:p>
    <w:p>
      <w:pPr>
        <w:spacing w:line="400" w:lineRule="exact"/>
        <w:ind w:firstLine="480" w:firstLineChars="200"/>
        <w:rPr>
          <w:rFonts w:ascii="宋体" w:hAnsi="宋体" w:cs="宋体"/>
          <w:sz w:val="24"/>
        </w:rPr>
      </w:pPr>
      <w:r>
        <w:rPr>
          <w:rFonts w:hint="eastAsia" w:ascii="宋体" w:hAnsi="宋体" w:cs="宋体"/>
          <w:sz w:val="24"/>
        </w:rPr>
        <w:t>4.如果我们竞争性磋商响应文件被接受，我们将履行竞争性磋商文件中规定的每一项要求，按期、按质、按量完成任务。</w:t>
      </w:r>
    </w:p>
    <w:p>
      <w:pPr>
        <w:spacing w:line="400" w:lineRule="exact"/>
        <w:ind w:firstLine="480" w:firstLineChars="200"/>
        <w:rPr>
          <w:rFonts w:ascii="宋体" w:hAnsi="宋体" w:cs="宋体"/>
          <w:sz w:val="24"/>
        </w:rPr>
      </w:pPr>
      <w:r>
        <w:rPr>
          <w:rFonts w:hint="eastAsia" w:ascii="宋体" w:hAnsi="宋体" w:cs="宋体"/>
          <w:sz w:val="24"/>
        </w:rPr>
        <w:t>5.我方的磋商响应文件有效期为 个日历日，磋商后在规定的磋商有效期内撤回磋商，我们愿接受政府采购的有关处罚决定。</w:t>
      </w:r>
    </w:p>
    <w:p>
      <w:pPr>
        <w:spacing w:line="400" w:lineRule="exact"/>
        <w:ind w:firstLine="480" w:firstLineChars="200"/>
        <w:rPr>
          <w:rFonts w:ascii="宋体" w:hAnsi="宋体" w:cs="宋体"/>
          <w:sz w:val="24"/>
        </w:rPr>
      </w:pPr>
      <w:r>
        <w:rPr>
          <w:rFonts w:hint="eastAsia" w:ascii="宋体" w:hAnsi="宋体" w:cs="宋体"/>
          <w:sz w:val="24"/>
        </w:rPr>
        <w:t>6.我方承诺遵守《中华人民共和国政府采购法》及其实施条例的有关规定，保证在获得成交资格后：</w:t>
      </w:r>
    </w:p>
    <w:p>
      <w:pPr>
        <w:spacing w:line="400" w:lineRule="exact"/>
        <w:ind w:firstLine="480" w:firstLineChars="200"/>
        <w:rPr>
          <w:rFonts w:ascii="宋体" w:hAnsi="宋体" w:cs="宋体"/>
          <w:sz w:val="24"/>
        </w:rPr>
      </w:pPr>
      <w:r>
        <w:rPr>
          <w:rFonts w:hint="eastAsia" w:ascii="宋体" w:hAnsi="宋体" w:cs="宋体"/>
          <w:sz w:val="24"/>
        </w:rPr>
        <w:t>（1）按照磋商文件确定的事项签订合同，履行双方所签订的合同，并承担合同规定的责任和义务；</w:t>
      </w:r>
    </w:p>
    <w:p>
      <w:pPr>
        <w:spacing w:line="400" w:lineRule="exact"/>
        <w:ind w:firstLine="480" w:firstLineChars="200"/>
        <w:rPr>
          <w:rFonts w:ascii="宋体" w:hAnsi="宋体" w:cs="宋体"/>
          <w:sz w:val="24"/>
        </w:rPr>
      </w:pPr>
      <w:r>
        <w:rPr>
          <w:rFonts w:hint="eastAsia" w:ascii="宋体" w:hAnsi="宋体" w:cs="宋体"/>
          <w:sz w:val="24"/>
        </w:rPr>
        <w:t>（2）我方保证按规定和标准向贵方缴纳成交服务费；</w:t>
      </w:r>
    </w:p>
    <w:p>
      <w:pPr>
        <w:spacing w:line="400" w:lineRule="exact"/>
        <w:ind w:firstLine="480" w:firstLineChars="200"/>
        <w:rPr>
          <w:rFonts w:ascii="宋体" w:hAnsi="宋体" w:cs="宋体"/>
          <w:sz w:val="24"/>
        </w:rPr>
      </w:pPr>
      <w:r>
        <w:rPr>
          <w:rFonts w:hint="eastAsia" w:ascii="宋体" w:hAnsi="宋体" w:cs="宋体"/>
          <w:sz w:val="24"/>
        </w:rPr>
        <w:t>（3）磋商响应文件有效期延长至合同履行完毕。</w:t>
      </w:r>
    </w:p>
    <w:p>
      <w:pPr>
        <w:spacing w:line="400" w:lineRule="exact"/>
        <w:ind w:firstLine="480" w:firstLineChars="200"/>
        <w:rPr>
          <w:rFonts w:ascii="宋体" w:hAnsi="宋体" w:cs="宋体"/>
          <w:sz w:val="24"/>
        </w:rPr>
      </w:pPr>
      <w:r>
        <w:rPr>
          <w:rFonts w:hint="eastAsia" w:ascii="宋体" w:hAnsi="宋体" w:cs="宋体"/>
          <w:sz w:val="24"/>
        </w:rPr>
        <w:t>7.我方完全理解最低报价不是成交的唯一条件，并尊重磋商小组的评评审结论和成交结果。</w:t>
      </w:r>
    </w:p>
    <w:p>
      <w:pPr>
        <w:spacing w:line="400" w:lineRule="exact"/>
        <w:ind w:firstLine="480" w:firstLineChars="200"/>
        <w:rPr>
          <w:rFonts w:ascii="宋体" w:hAnsi="宋体" w:cs="宋体"/>
          <w:sz w:val="24"/>
        </w:rPr>
      </w:pPr>
      <w:r>
        <w:rPr>
          <w:rFonts w:hint="eastAsia" w:ascii="宋体" w:hAnsi="宋体" w:cs="宋体"/>
          <w:sz w:val="24"/>
        </w:rPr>
        <w:t>8.一旦我方成交,我方同意与使用单位签订保密协议。</w:t>
      </w:r>
    </w:p>
    <w:p>
      <w:pPr>
        <w:spacing w:line="400" w:lineRule="exact"/>
        <w:ind w:firstLine="480" w:firstLineChars="200"/>
        <w:rPr>
          <w:rFonts w:ascii="宋体" w:hAnsi="宋体" w:cs="宋体"/>
          <w:sz w:val="24"/>
        </w:rPr>
      </w:pPr>
      <w:r>
        <w:rPr>
          <w:rFonts w:hint="eastAsia" w:ascii="宋体" w:hAnsi="宋体" w:cs="宋体"/>
          <w:sz w:val="24"/>
        </w:rPr>
        <w:t>9.有关于本磋商响应文件的函电，请按下列地址联系。</w:t>
      </w:r>
    </w:p>
    <w:p>
      <w:pPr>
        <w:spacing w:line="400" w:lineRule="exact"/>
        <w:ind w:firstLine="840"/>
        <w:rPr>
          <w:rFonts w:ascii="宋体" w:hAnsi="宋体" w:cs="宋体"/>
          <w:sz w:val="24"/>
          <w:u w:val="single"/>
        </w:rPr>
      </w:pPr>
      <w:r>
        <w:rPr>
          <w:rFonts w:hint="eastAsia" w:ascii="宋体" w:hAnsi="宋体" w:cs="宋体"/>
          <w:sz w:val="24"/>
        </w:rPr>
        <w:t>供应商全称（盖章）：</w:t>
      </w:r>
    </w:p>
    <w:p>
      <w:pPr>
        <w:spacing w:line="400" w:lineRule="exact"/>
        <w:ind w:firstLine="840"/>
        <w:rPr>
          <w:rFonts w:ascii="宋体" w:hAnsi="宋体" w:cs="宋体"/>
          <w:sz w:val="24"/>
          <w:u w:val="single"/>
        </w:rPr>
      </w:pPr>
      <w:r>
        <w:rPr>
          <w:rFonts w:hint="eastAsia" w:ascii="宋体" w:hAnsi="宋体" w:cs="宋体"/>
          <w:sz w:val="24"/>
        </w:rPr>
        <w:t>地    址：</w:t>
      </w:r>
    </w:p>
    <w:p>
      <w:pPr>
        <w:spacing w:line="400" w:lineRule="exact"/>
        <w:ind w:firstLine="840"/>
        <w:rPr>
          <w:rFonts w:ascii="宋体" w:hAnsi="宋体" w:cs="宋体"/>
          <w:sz w:val="24"/>
          <w:u w:val="single"/>
        </w:rPr>
      </w:pPr>
      <w:r>
        <w:rPr>
          <w:rFonts w:hint="eastAsia" w:ascii="宋体" w:hAnsi="宋体" w:cs="宋体"/>
          <w:sz w:val="24"/>
        </w:rPr>
        <w:t>开 户 行：</w:t>
      </w:r>
    </w:p>
    <w:p>
      <w:pPr>
        <w:spacing w:line="400" w:lineRule="exact"/>
        <w:ind w:firstLine="840"/>
        <w:rPr>
          <w:rFonts w:ascii="宋体" w:hAnsi="宋体" w:cs="宋体"/>
          <w:sz w:val="24"/>
        </w:rPr>
      </w:pPr>
      <w:r>
        <w:rPr>
          <w:rFonts w:hint="eastAsia" w:ascii="宋体" w:hAnsi="宋体" w:cs="宋体"/>
          <w:sz w:val="24"/>
        </w:rPr>
        <w:t>帐    号：</w:t>
      </w:r>
    </w:p>
    <w:p>
      <w:pPr>
        <w:spacing w:line="400" w:lineRule="exact"/>
        <w:ind w:firstLine="840"/>
        <w:rPr>
          <w:rFonts w:ascii="宋体" w:hAnsi="宋体" w:cs="宋体"/>
          <w:sz w:val="24"/>
        </w:rPr>
      </w:pPr>
      <w:r>
        <w:rPr>
          <w:rFonts w:hint="eastAsia" w:ascii="宋体" w:hAnsi="宋体" w:cs="宋体"/>
          <w:sz w:val="24"/>
        </w:rPr>
        <w:t>电    话：</w:t>
      </w:r>
    </w:p>
    <w:p>
      <w:pPr>
        <w:spacing w:line="400" w:lineRule="exact"/>
        <w:ind w:firstLine="840"/>
        <w:rPr>
          <w:rFonts w:ascii="宋体" w:hAnsi="宋体" w:cs="宋体"/>
          <w:sz w:val="24"/>
        </w:rPr>
      </w:pPr>
      <w:r>
        <w:rPr>
          <w:rFonts w:hint="eastAsia" w:ascii="宋体" w:hAnsi="宋体" w:cs="宋体"/>
          <w:sz w:val="24"/>
        </w:rPr>
        <w:t>传    真：</w:t>
      </w:r>
    </w:p>
    <w:p>
      <w:pPr>
        <w:spacing w:line="400" w:lineRule="exact"/>
        <w:ind w:firstLine="840"/>
        <w:rPr>
          <w:rFonts w:ascii="宋体" w:hAnsi="宋体" w:cs="宋体"/>
          <w:sz w:val="24"/>
          <w:u w:val="single"/>
        </w:rPr>
      </w:pPr>
      <w:r>
        <w:rPr>
          <w:rFonts w:hint="eastAsia" w:ascii="宋体" w:hAnsi="宋体" w:cs="宋体"/>
          <w:sz w:val="24"/>
        </w:rPr>
        <w:t xml:space="preserve">邮    编： </w:t>
      </w:r>
    </w:p>
    <w:p>
      <w:pPr>
        <w:spacing w:line="400" w:lineRule="exact"/>
        <w:ind w:firstLine="840"/>
        <w:jc w:val="left"/>
        <w:rPr>
          <w:rFonts w:ascii="宋体" w:hAnsi="宋体" w:cs="宋体"/>
          <w:sz w:val="24"/>
        </w:rPr>
      </w:pPr>
      <w:r>
        <w:rPr>
          <w:rFonts w:hint="eastAsia" w:ascii="宋体" w:hAnsi="宋体" w:cs="宋体"/>
          <w:sz w:val="24"/>
        </w:rPr>
        <w:t>法定代表人或委托代理人:（签字或盖章）</w:t>
      </w:r>
    </w:p>
    <w:p>
      <w:pPr>
        <w:spacing w:line="400" w:lineRule="exact"/>
        <w:ind w:firstLine="7200" w:firstLineChars="3000"/>
        <w:rPr>
          <w:rFonts w:ascii="宋体" w:hAnsi="宋体" w:cs="宋体"/>
          <w:b/>
          <w:bCs/>
          <w:sz w:val="36"/>
          <w:szCs w:val="21"/>
        </w:rPr>
      </w:pPr>
      <w:r>
        <w:rPr>
          <w:rFonts w:hint="eastAsia" w:ascii="宋体" w:hAnsi="宋体" w:cs="宋体"/>
          <w:sz w:val="24"/>
        </w:rPr>
        <w:t>年     月      日</w:t>
      </w:r>
      <w:bookmarkStart w:id="212" w:name="_Toc22016"/>
      <w:bookmarkStart w:id="213" w:name="_Toc4738"/>
      <w:bookmarkStart w:id="214" w:name="_Toc3104"/>
    </w:p>
    <w:p>
      <w:pPr>
        <w:pStyle w:val="34"/>
        <w:spacing w:line="480" w:lineRule="exact"/>
        <w:ind w:left="240" w:firstLine="361" w:firstLineChars="100"/>
        <w:jc w:val="center"/>
        <w:rPr>
          <w:rFonts w:ascii="宋体" w:hAnsi="宋体" w:cs="宋体"/>
          <w:b/>
          <w:bCs/>
          <w:sz w:val="36"/>
          <w:szCs w:val="21"/>
        </w:rPr>
      </w:pPr>
    </w:p>
    <w:p>
      <w:pPr>
        <w:pStyle w:val="34"/>
        <w:spacing w:line="480" w:lineRule="exact"/>
        <w:ind w:left="240" w:firstLine="361" w:firstLineChars="100"/>
        <w:jc w:val="center"/>
        <w:rPr>
          <w:rFonts w:ascii="宋体" w:hAnsi="宋体" w:cs="宋体"/>
          <w:b/>
          <w:kern w:val="2"/>
          <w:sz w:val="28"/>
          <w:szCs w:val="28"/>
        </w:rPr>
      </w:pPr>
      <w:r>
        <w:rPr>
          <w:rFonts w:hint="eastAsia" w:ascii="宋体" w:hAnsi="宋体" w:cs="宋体"/>
          <w:b/>
          <w:bCs/>
          <w:sz w:val="36"/>
          <w:szCs w:val="21"/>
        </w:rPr>
        <w:br w:type="page"/>
      </w:r>
      <w:r>
        <w:rPr>
          <w:rFonts w:hint="eastAsia" w:ascii="宋体" w:hAnsi="宋体" w:cs="宋体"/>
          <w:b/>
          <w:kern w:val="2"/>
          <w:sz w:val="28"/>
          <w:szCs w:val="28"/>
        </w:rPr>
        <w:t>二、报价表</w:t>
      </w:r>
    </w:p>
    <w:p>
      <w:pPr>
        <w:pStyle w:val="34"/>
        <w:spacing w:line="480" w:lineRule="exact"/>
        <w:ind w:left="210" w:leftChars="100" w:firstLine="0" w:firstLineChars="0"/>
        <w:jc w:val="center"/>
        <w:rPr>
          <w:rFonts w:ascii="宋体" w:hAnsi="宋体" w:cs="宋体"/>
          <w:b/>
          <w:kern w:val="2"/>
          <w:sz w:val="28"/>
          <w:szCs w:val="28"/>
        </w:rPr>
      </w:pPr>
      <w:r>
        <w:rPr>
          <w:rFonts w:hint="eastAsia" w:ascii="宋体" w:hAnsi="宋体" w:cs="宋体"/>
          <w:b/>
          <w:kern w:val="2"/>
          <w:sz w:val="28"/>
          <w:szCs w:val="28"/>
        </w:rPr>
        <w:t>1.第一次磋商报价表</w:t>
      </w:r>
    </w:p>
    <w:tbl>
      <w:tblPr>
        <w:tblStyle w:val="19"/>
        <w:tblpPr w:leftFromText="180" w:rightFromText="180" w:vertAnchor="text" w:horzAnchor="page" w:tblpX="1560" w:tblpY="475"/>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95"/>
        <w:gridCol w:w="702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6" w:hRule="atLeast"/>
        </w:trPr>
        <w:tc>
          <w:tcPr>
            <w:tcW w:w="1995" w:type="dxa"/>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项目名称</w:t>
            </w:r>
          </w:p>
        </w:tc>
        <w:tc>
          <w:tcPr>
            <w:tcW w:w="702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Theme="minorEastAsia" w:hAnsiTheme="minorEastAsia" w:eastAsiaTheme="minorEastAsia" w:cstheme="min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26" w:hRule="atLeast"/>
        </w:trPr>
        <w:tc>
          <w:tcPr>
            <w:tcW w:w="1995"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项目编号</w:t>
            </w:r>
          </w:p>
        </w:tc>
        <w:tc>
          <w:tcPr>
            <w:tcW w:w="7021"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Theme="minorEastAsia" w:hAnsiTheme="minorEastAsia" w:eastAsiaTheme="minorEastAsia" w:cstheme="minorEastAsia"/>
                <w:color w:val="FF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94" w:hRule="atLeast"/>
        </w:trPr>
        <w:tc>
          <w:tcPr>
            <w:tcW w:w="1995"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磋商总报价</w:t>
            </w:r>
          </w:p>
          <w:p>
            <w:pPr>
              <w:jc w:val="center"/>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（元）</w:t>
            </w:r>
          </w:p>
        </w:tc>
        <w:tc>
          <w:tcPr>
            <w:tcW w:w="7021"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大写：</w:t>
            </w:r>
            <w:r>
              <w:rPr>
                <w:rFonts w:hint="eastAsia" w:asciiTheme="minorEastAsia" w:hAnsiTheme="minorEastAsia" w:eastAsiaTheme="minorEastAsia" w:cstheme="minorEastAsia"/>
                <w:sz w:val="24"/>
                <w:u w:val="single"/>
              </w:rPr>
              <w:t xml:space="preserve">                                   </w:t>
            </w:r>
            <w:r>
              <w:rPr>
                <w:rFonts w:hint="eastAsia" w:asciiTheme="minorEastAsia" w:hAnsiTheme="minorEastAsia" w:eastAsiaTheme="minorEastAsia" w:cstheme="minorEastAsia"/>
                <w:sz w:val="24"/>
              </w:rPr>
              <w:t xml:space="preserve"> </w:t>
            </w:r>
          </w:p>
          <w:p>
            <w:pPr>
              <w:rPr>
                <w:rFonts w:asciiTheme="minorEastAsia" w:hAnsiTheme="minorEastAsia" w:eastAsiaTheme="minorEastAsia" w:cstheme="minorEastAsia"/>
                <w:sz w:val="24"/>
              </w:rPr>
            </w:pPr>
          </w:p>
          <w:p>
            <w:pPr>
              <w:spacing w:line="360" w:lineRule="auto"/>
              <w:rPr>
                <w:rFonts w:asciiTheme="minorEastAsia" w:hAnsiTheme="minorEastAsia" w:eastAsiaTheme="minorEastAsia" w:cstheme="minorEastAsia"/>
                <w:sz w:val="24"/>
                <w:u w:val="single"/>
              </w:rPr>
            </w:pPr>
            <w:r>
              <w:rPr>
                <w:rFonts w:hint="eastAsia" w:asciiTheme="minorEastAsia" w:hAnsiTheme="minorEastAsia" w:eastAsiaTheme="minorEastAsia" w:cstheme="minorEastAsia"/>
                <w:sz w:val="24"/>
              </w:rPr>
              <w:t>小写：</w:t>
            </w:r>
            <w:r>
              <w:rPr>
                <w:rFonts w:hint="eastAsia" w:asciiTheme="minorEastAsia" w:hAnsiTheme="minorEastAsia" w:eastAsiaTheme="minorEastAsia" w:cstheme="minorEastAsia"/>
                <w:sz w:val="24"/>
                <w:u w:val="single"/>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5" w:hRule="atLeast"/>
        </w:trPr>
        <w:tc>
          <w:tcPr>
            <w:tcW w:w="1995"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Theme="minorEastAsia" w:hAnsiTheme="minorEastAsia" w:eastAsiaTheme="minorEastAsia" w:cstheme="minorEastAsia"/>
                <w:bCs/>
                <w:sz w:val="24"/>
              </w:rPr>
            </w:pPr>
            <w:r>
              <w:rPr>
                <w:rFonts w:hint="eastAsia" w:asciiTheme="minorEastAsia" w:hAnsiTheme="minorEastAsia" w:eastAsiaTheme="minorEastAsia" w:cstheme="minorEastAsia"/>
                <w:bCs/>
                <w:sz w:val="24"/>
              </w:rPr>
              <w:t>交货期</w:t>
            </w:r>
          </w:p>
        </w:tc>
        <w:tc>
          <w:tcPr>
            <w:tcW w:w="7021"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360" w:lineRule="auto"/>
              <w:ind w:firstLine="720" w:firstLineChars="300"/>
              <w:rPr>
                <w:rFonts w:asciiTheme="minorEastAsia" w:hAnsiTheme="minorEastAsia" w:eastAsiaTheme="minorEastAsia" w:cstheme="minorEastAsia"/>
                <w:sz w:val="24"/>
              </w:rPr>
            </w:pPr>
          </w:p>
          <w:p>
            <w:pPr>
              <w:spacing w:line="360" w:lineRule="auto"/>
              <w:ind w:firstLine="720" w:firstLineChars="300"/>
              <w:rPr>
                <w:rFonts w:asciiTheme="minorEastAsia" w:hAnsiTheme="minorEastAsia" w:eastAsiaTheme="minorEastAsia" w:cstheme="min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5" w:hRule="atLeast"/>
        </w:trPr>
        <w:tc>
          <w:tcPr>
            <w:tcW w:w="1995"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Theme="minorEastAsia" w:hAnsiTheme="minorEastAsia" w:eastAsiaTheme="minorEastAsia" w:cstheme="minorEastAsia"/>
                <w:kern w:val="0"/>
                <w:sz w:val="24"/>
              </w:rPr>
            </w:pPr>
            <w:r>
              <w:rPr>
                <w:rFonts w:hint="eastAsia" w:asciiTheme="minorEastAsia" w:hAnsiTheme="minorEastAsia" w:eastAsiaTheme="minorEastAsia" w:cstheme="minorEastAsia"/>
                <w:bCs/>
                <w:sz w:val="24"/>
              </w:rPr>
              <w:t>质保期</w:t>
            </w:r>
          </w:p>
        </w:tc>
        <w:tc>
          <w:tcPr>
            <w:tcW w:w="7021"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360" w:lineRule="auto"/>
              <w:ind w:firstLine="720" w:firstLineChars="300"/>
              <w:rPr>
                <w:rFonts w:asciiTheme="minorEastAsia" w:hAnsiTheme="minorEastAsia" w:eastAsiaTheme="minorEastAsia" w:cstheme="min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5" w:hRule="atLeast"/>
        </w:trPr>
        <w:tc>
          <w:tcPr>
            <w:tcW w:w="1995"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备注</w:t>
            </w:r>
          </w:p>
        </w:tc>
        <w:tc>
          <w:tcPr>
            <w:tcW w:w="7021"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360" w:lineRule="auto"/>
              <w:ind w:firstLine="720" w:firstLineChars="300"/>
              <w:rPr>
                <w:rFonts w:asciiTheme="minorEastAsia" w:hAnsiTheme="minorEastAsia" w:eastAsiaTheme="minorEastAsia" w:cstheme="min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1" w:hRule="atLeast"/>
        </w:trPr>
        <w:tc>
          <w:tcPr>
            <w:tcW w:w="9016"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ind w:firstLine="360" w:firstLineChars="150"/>
              <w:rPr>
                <w:rFonts w:asciiTheme="minorEastAsia" w:hAnsiTheme="minorEastAsia" w:eastAsiaTheme="minorEastAsia" w:cstheme="minorEastAsia"/>
                <w:bCs/>
                <w:kern w:val="0"/>
                <w:sz w:val="24"/>
              </w:rPr>
            </w:pPr>
            <w:r>
              <w:rPr>
                <w:rFonts w:hint="eastAsia" w:asciiTheme="minorEastAsia" w:hAnsiTheme="minorEastAsia" w:eastAsiaTheme="minorEastAsia" w:cstheme="minorEastAsia"/>
                <w:bCs/>
                <w:kern w:val="0"/>
                <w:sz w:val="24"/>
              </w:rPr>
              <w:t>说明：</w:t>
            </w:r>
          </w:p>
          <w:p>
            <w:pPr>
              <w:widowControl/>
              <w:ind w:firstLine="360" w:firstLineChars="150"/>
              <w:rPr>
                <w:rFonts w:asciiTheme="minorEastAsia" w:hAnsiTheme="minorEastAsia" w:eastAsiaTheme="minorEastAsia" w:cstheme="minorEastAsia"/>
                <w:bCs/>
                <w:kern w:val="0"/>
                <w:sz w:val="24"/>
              </w:rPr>
            </w:pPr>
            <w:r>
              <w:rPr>
                <w:rFonts w:hint="eastAsia" w:asciiTheme="minorEastAsia" w:hAnsiTheme="minorEastAsia" w:eastAsiaTheme="minorEastAsia" w:cstheme="minorEastAsia"/>
                <w:bCs/>
                <w:kern w:val="0"/>
                <w:sz w:val="24"/>
              </w:rPr>
              <w:t>1.磋商报价以元为单位，大小写不一致时，以大写为准；</w:t>
            </w:r>
          </w:p>
          <w:p>
            <w:pPr>
              <w:widowControl/>
              <w:ind w:firstLine="360" w:firstLineChars="150"/>
              <w:rPr>
                <w:rFonts w:asciiTheme="minorEastAsia" w:hAnsiTheme="minorEastAsia" w:eastAsiaTheme="minorEastAsia" w:cstheme="minorEastAsia"/>
                <w:bCs/>
                <w:kern w:val="0"/>
                <w:sz w:val="24"/>
              </w:rPr>
            </w:pPr>
            <w:r>
              <w:rPr>
                <w:rFonts w:hint="eastAsia" w:asciiTheme="minorEastAsia" w:hAnsiTheme="minorEastAsia" w:eastAsiaTheme="minorEastAsia" w:cstheme="minorEastAsia"/>
                <w:bCs/>
                <w:kern w:val="0"/>
                <w:sz w:val="24"/>
              </w:rPr>
              <w:t>2.本表所列各项数据与响应文件其他地方表述不一致时，以本表为准。</w:t>
            </w:r>
          </w:p>
        </w:tc>
      </w:tr>
    </w:tbl>
    <w:p>
      <w:pPr>
        <w:spacing w:line="360" w:lineRule="auto"/>
        <w:rPr>
          <w:rFonts w:ascii="宋体" w:hAnsi="宋体" w:cs="宋体"/>
          <w:sz w:val="24"/>
        </w:rPr>
      </w:pPr>
    </w:p>
    <w:p>
      <w:pPr>
        <w:spacing w:line="360" w:lineRule="auto"/>
        <w:jc w:val="center"/>
        <w:rPr>
          <w:rFonts w:ascii="宋体" w:hAnsi="宋体" w:cs="宋体"/>
          <w:sz w:val="24"/>
        </w:rPr>
      </w:pPr>
    </w:p>
    <w:p>
      <w:pPr>
        <w:spacing w:line="360" w:lineRule="auto"/>
        <w:jc w:val="center"/>
        <w:rPr>
          <w:rFonts w:ascii="宋体" w:hAnsi="宋体" w:cs="宋体"/>
          <w:sz w:val="24"/>
        </w:rPr>
      </w:pPr>
    </w:p>
    <w:p>
      <w:pPr>
        <w:spacing w:line="480" w:lineRule="auto"/>
        <w:ind w:firstLine="240" w:firstLineChars="100"/>
        <w:jc w:val="center"/>
        <w:rPr>
          <w:rFonts w:ascii="宋体" w:hAnsi="宋体" w:cs="宋体"/>
          <w:sz w:val="24"/>
        </w:rPr>
      </w:pPr>
      <w:r>
        <w:rPr>
          <w:rFonts w:hint="eastAsia" w:ascii="宋体" w:hAnsi="宋体" w:cs="宋体"/>
          <w:sz w:val="24"/>
        </w:rPr>
        <w:t xml:space="preserve">             供应商名称：（盖章）</w:t>
      </w:r>
    </w:p>
    <w:p>
      <w:pPr>
        <w:spacing w:line="480" w:lineRule="auto"/>
        <w:ind w:firstLine="240" w:firstLineChars="100"/>
        <w:jc w:val="center"/>
        <w:rPr>
          <w:rFonts w:ascii="宋体" w:hAnsi="宋体" w:cs="宋体"/>
          <w:sz w:val="24"/>
        </w:rPr>
      </w:pPr>
      <w:r>
        <w:rPr>
          <w:rFonts w:hint="eastAsia" w:ascii="宋体" w:hAnsi="宋体" w:cs="宋体"/>
          <w:sz w:val="24"/>
        </w:rPr>
        <w:t xml:space="preserve">                             法定代表人或委托代理人：(签字或盖章)</w:t>
      </w:r>
    </w:p>
    <w:p>
      <w:pPr>
        <w:spacing w:line="480" w:lineRule="auto"/>
        <w:ind w:firstLine="240" w:firstLineChars="100"/>
        <w:jc w:val="center"/>
        <w:rPr>
          <w:rFonts w:ascii="宋体" w:hAnsi="宋体" w:cs="宋体"/>
          <w:sz w:val="24"/>
        </w:rPr>
      </w:pPr>
      <w:r>
        <w:rPr>
          <w:rFonts w:hint="eastAsia" w:ascii="宋体" w:hAnsi="宋体" w:cs="宋体"/>
          <w:sz w:val="24"/>
        </w:rPr>
        <w:t xml:space="preserve">                      日      期：  年   月     日</w:t>
      </w:r>
      <w:bookmarkStart w:id="215" w:name="_Toc9185"/>
      <w:bookmarkStart w:id="216" w:name="_Toc32382"/>
      <w:bookmarkStart w:id="217" w:name="_Toc15065"/>
    </w:p>
    <w:bookmarkEnd w:id="215"/>
    <w:bookmarkEnd w:id="216"/>
    <w:bookmarkEnd w:id="217"/>
    <w:p>
      <w:pPr>
        <w:rPr>
          <w:rFonts w:ascii="宋体" w:hAnsi="宋体" w:cs="宋体"/>
          <w:b/>
          <w:sz w:val="28"/>
          <w:szCs w:val="28"/>
        </w:rPr>
      </w:pPr>
    </w:p>
    <w:p>
      <w:pPr>
        <w:rPr>
          <w:rFonts w:ascii="宋体" w:hAnsi="宋体" w:cs="宋体"/>
          <w:b/>
          <w:sz w:val="28"/>
          <w:szCs w:val="28"/>
        </w:rPr>
      </w:pPr>
      <w:r>
        <w:rPr>
          <w:rFonts w:hint="eastAsia" w:ascii="宋体" w:hAnsi="宋体" w:cs="宋体"/>
          <w:b/>
          <w:sz w:val="28"/>
          <w:szCs w:val="28"/>
        </w:rPr>
        <w:br w:type="page"/>
      </w:r>
    </w:p>
    <w:p>
      <w:pPr>
        <w:tabs>
          <w:tab w:val="center" w:pos="4535"/>
          <w:tab w:val="left" w:pos="6521"/>
        </w:tabs>
        <w:autoSpaceDE w:val="0"/>
        <w:autoSpaceDN w:val="0"/>
        <w:adjustRightInd w:val="0"/>
        <w:snapToGrid w:val="0"/>
        <w:spacing w:line="360" w:lineRule="auto"/>
        <w:jc w:val="center"/>
        <w:outlineLvl w:val="1"/>
        <w:rPr>
          <w:rFonts w:ascii="宋体" w:hAnsi="宋体" w:cs="宋体"/>
          <w:b/>
          <w:sz w:val="28"/>
          <w:szCs w:val="28"/>
        </w:rPr>
      </w:pPr>
      <w:r>
        <w:rPr>
          <w:rFonts w:hint="eastAsia" w:ascii="宋体" w:hAnsi="宋体" w:cs="宋体"/>
          <w:b/>
          <w:sz w:val="28"/>
          <w:szCs w:val="28"/>
        </w:rPr>
        <w:t>2.</w:t>
      </w:r>
      <w:r>
        <w:rPr>
          <w:rFonts w:hint="eastAsia" w:ascii="宋体" w:hAnsi="宋体" w:cs="宋体"/>
          <w:b/>
          <w:sz w:val="28"/>
          <w:szCs w:val="28"/>
          <w:lang w:val="zh-CN"/>
        </w:rPr>
        <w:t>货物（产品）分项报价表</w:t>
      </w:r>
    </w:p>
    <w:tbl>
      <w:tblPr>
        <w:tblStyle w:val="19"/>
        <w:tblW w:w="9980" w:type="dxa"/>
        <w:jc w:val="center"/>
        <w:tblLayout w:type="fixed"/>
        <w:tblCellMar>
          <w:top w:w="0" w:type="dxa"/>
          <w:left w:w="28" w:type="dxa"/>
          <w:bottom w:w="0" w:type="dxa"/>
          <w:right w:w="28" w:type="dxa"/>
        </w:tblCellMar>
      </w:tblPr>
      <w:tblGrid>
        <w:gridCol w:w="981"/>
        <w:gridCol w:w="602"/>
        <w:gridCol w:w="893"/>
        <w:gridCol w:w="812"/>
        <w:gridCol w:w="952"/>
        <w:gridCol w:w="2024"/>
        <w:gridCol w:w="1077"/>
        <w:gridCol w:w="1318"/>
        <w:gridCol w:w="1321"/>
      </w:tblGrid>
      <w:tr>
        <w:tblPrEx>
          <w:tblCellMar>
            <w:top w:w="0" w:type="dxa"/>
            <w:left w:w="28" w:type="dxa"/>
            <w:bottom w:w="0" w:type="dxa"/>
            <w:right w:w="28" w:type="dxa"/>
          </w:tblCellMar>
        </w:tblPrEx>
        <w:trPr>
          <w:trHeight w:val="1003" w:hRule="atLeast"/>
          <w:jc w:val="center"/>
        </w:trPr>
        <w:tc>
          <w:tcPr>
            <w:tcW w:w="981" w:type="dxa"/>
            <w:vMerge w:val="restart"/>
            <w:tcBorders>
              <w:top w:val="single" w:color="auto" w:sz="6" w:space="0"/>
              <w:left w:val="single" w:color="auto" w:sz="6" w:space="0"/>
              <w:right w:val="single" w:color="auto" w:sz="4" w:space="0"/>
            </w:tcBorders>
            <w:vAlign w:val="center"/>
          </w:tcPr>
          <w:p>
            <w:pPr>
              <w:spacing w:after="120"/>
              <w:jc w:val="center"/>
              <w:rPr>
                <w:rFonts w:ascii="宋体" w:hAnsi="宋体" w:cs="宋体"/>
                <w:sz w:val="24"/>
              </w:rPr>
            </w:pPr>
            <w:r>
              <w:rPr>
                <w:rFonts w:hint="eastAsia" w:ascii="宋体" w:hAnsi="宋体" w:cs="宋体"/>
                <w:sz w:val="24"/>
              </w:rPr>
              <w:t xml:space="preserve">                           产品</w:t>
            </w:r>
          </w:p>
          <w:p>
            <w:pPr>
              <w:spacing w:after="120"/>
              <w:jc w:val="center"/>
              <w:rPr>
                <w:rFonts w:ascii="宋体" w:hAnsi="宋体" w:cs="宋体"/>
                <w:sz w:val="24"/>
              </w:rPr>
            </w:pPr>
            <w:r>
              <w:rPr>
                <w:rFonts w:hint="eastAsia" w:ascii="宋体" w:hAnsi="宋体" w:cs="宋体"/>
                <w:sz w:val="24"/>
              </w:rPr>
              <w:t>费用</w:t>
            </w:r>
          </w:p>
        </w:tc>
        <w:tc>
          <w:tcPr>
            <w:tcW w:w="602" w:type="dxa"/>
            <w:tcBorders>
              <w:top w:val="single" w:color="auto" w:sz="6" w:space="0"/>
              <w:left w:val="single" w:color="auto" w:sz="4" w:space="0"/>
              <w:bottom w:val="single" w:color="auto" w:sz="6" w:space="0"/>
            </w:tcBorders>
            <w:vAlign w:val="center"/>
          </w:tcPr>
          <w:p>
            <w:pPr>
              <w:spacing w:after="120"/>
              <w:jc w:val="center"/>
              <w:rPr>
                <w:rFonts w:ascii="宋体" w:hAnsi="宋体" w:cs="宋体"/>
                <w:sz w:val="24"/>
              </w:rPr>
            </w:pPr>
            <w:r>
              <w:rPr>
                <w:rFonts w:hint="eastAsia" w:ascii="宋体" w:hAnsi="宋体" w:cs="宋体"/>
                <w:sz w:val="24"/>
              </w:rPr>
              <w:t>序号</w:t>
            </w:r>
          </w:p>
        </w:tc>
        <w:tc>
          <w:tcPr>
            <w:tcW w:w="893" w:type="dxa"/>
            <w:tcBorders>
              <w:top w:val="single" w:color="auto" w:sz="6" w:space="0"/>
              <w:left w:val="single" w:color="auto" w:sz="6" w:space="0"/>
              <w:bottom w:val="single" w:color="auto" w:sz="6" w:space="0"/>
              <w:right w:val="single" w:color="auto" w:sz="6" w:space="0"/>
            </w:tcBorders>
            <w:vAlign w:val="center"/>
          </w:tcPr>
          <w:p>
            <w:pPr>
              <w:spacing w:after="120"/>
              <w:jc w:val="center"/>
              <w:rPr>
                <w:rFonts w:ascii="宋体" w:hAnsi="宋体" w:cs="宋体"/>
                <w:sz w:val="24"/>
              </w:rPr>
            </w:pPr>
            <w:r>
              <w:rPr>
                <w:rFonts w:hint="eastAsia" w:ascii="宋体" w:hAnsi="宋体" w:cs="宋体"/>
                <w:sz w:val="24"/>
              </w:rPr>
              <w:t>名称</w:t>
            </w:r>
          </w:p>
        </w:tc>
        <w:tc>
          <w:tcPr>
            <w:tcW w:w="812" w:type="dxa"/>
            <w:tcBorders>
              <w:top w:val="single" w:color="auto" w:sz="6" w:space="0"/>
              <w:left w:val="single" w:color="auto" w:sz="6" w:space="0"/>
              <w:bottom w:val="single" w:color="auto" w:sz="6" w:space="0"/>
              <w:right w:val="single" w:color="auto" w:sz="4" w:space="0"/>
            </w:tcBorders>
            <w:vAlign w:val="center"/>
          </w:tcPr>
          <w:p>
            <w:pPr>
              <w:spacing w:after="120"/>
              <w:jc w:val="center"/>
              <w:rPr>
                <w:rFonts w:ascii="宋体" w:hAnsi="宋体" w:cs="宋体"/>
                <w:sz w:val="24"/>
              </w:rPr>
            </w:pPr>
            <w:r>
              <w:rPr>
                <w:rFonts w:hint="eastAsia" w:ascii="宋体" w:hAnsi="宋体" w:cs="宋体"/>
                <w:sz w:val="24"/>
              </w:rPr>
              <w:t>品牌</w:t>
            </w:r>
          </w:p>
        </w:tc>
        <w:tc>
          <w:tcPr>
            <w:tcW w:w="952" w:type="dxa"/>
            <w:tcBorders>
              <w:top w:val="single" w:color="auto" w:sz="6" w:space="0"/>
              <w:left w:val="single" w:color="auto" w:sz="4" w:space="0"/>
              <w:bottom w:val="single" w:color="auto" w:sz="6" w:space="0"/>
              <w:right w:val="single" w:color="auto" w:sz="6" w:space="0"/>
            </w:tcBorders>
            <w:vAlign w:val="center"/>
          </w:tcPr>
          <w:p>
            <w:pPr>
              <w:spacing w:after="120"/>
              <w:jc w:val="center"/>
              <w:rPr>
                <w:rFonts w:ascii="宋体" w:hAnsi="宋体" w:cs="宋体"/>
                <w:sz w:val="24"/>
              </w:rPr>
            </w:pPr>
            <w:r>
              <w:rPr>
                <w:rFonts w:hint="eastAsia" w:ascii="宋体" w:hAnsi="宋体" w:cs="宋体"/>
                <w:sz w:val="24"/>
              </w:rPr>
              <w:t>型号和规格</w:t>
            </w:r>
          </w:p>
        </w:tc>
        <w:tc>
          <w:tcPr>
            <w:tcW w:w="2024" w:type="dxa"/>
            <w:tcBorders>
              <w:top w:val="single" w:color="auto" w:sz="6" w:space="0"/>
              <w:left w:val="single" w:color="auto" w:sz="6" w:space="0"/>
              <w:bottom w:val="single" w:color="auto" w:sz="6" w:space="0"/>
              <w:right w:val="single" w:color="auto" w:sz="6" w:space="0"/>
            </w:tcBorders>
            <w:vAlign w:val="center"/>
          </w:tcPr>
          <w:p>
            <w:pPr>
              <w:spacing w:beforeLines="50" w:after="120"/>
              <w:jc w:val="center"/>
              <w:rPr>
                <w:rFonts w:ascii="宋体" w:hAnsi="宋体" w:cs="宋体"/>
                <w:sz w:val="24"/>
              </w:rPr>
            </w:pPr>
            <w:r>
              <w:rPr>
                <w:rFonts w:hint="eastAsia" w:ascii="宋体" w:hAnsi="宋体" w:cs="宋体"/>
                <w:sz w:val="24"/>
              </w:rPr>
              <w:t>原产地及制造厂名</w:t>
            </w:r>
          </w:p>
        </w:tc>
        <w:tc>
          <w:tcPr>
            <w:tcW w:w="1077" w:type="dxa"/>
            <w:tcBorders>
              <w:top w:val="single" w:color="auto" w:sz="6" w:space="0"/>
              <w:left w:val="single" w:color="auto" w:sz="6" w:space="0"/>
              <w:bottom w:val="single" w:color="auto" w:sz="6" w:space="0"/>
              <w:right w:val="single" w:color="auto" w:sz="6" w:space="0"/>
            </w:tcBorders>
            <w:vAlign w:val="center"/>
          </w:tcPr>
          <w:p>
            <w:pPr>
              <w:spacing w:after="120"/>
              <w:jc w:val="center"/>
              <w:rPr>
                <w:rFonts w:ascii="宋体" w:hAnsi="宋体" w:cs="宋体"/>
                <w:sz w:val="24"/>
              </w:rPr>
            </w:pPr>
            <w:r>
              <w:rPr>
                <w:rFonts w:hint="eastAsia" w:ascii="宋体" w:hAnsi="宋体" w:cs="宋体"/>
                <w:sz w:val="24"/>
              </w:rPr>
              <w:t>数量</w:t>
            </w:r>
          </w:p>
        </w:tc>
        <w:tc>
          <w:tcPr>
            <w:tcW w:w="1318" w:type="dxa"/>
            <w:tcBorders>
              <w:top w:val="single" w:color="auto" w:sz="6" w:space="0"/>
              <w:left w:val="single" w:color="auto" w:sz="6" w:space="0"/>
              <w:bottom w:val="single" w:color="auto" w:sz="6" w:space="0"/>
              <w:right w:val="single" w:color="auto" w:sz="6" w:space="0"/>
            </w:tcBorders>
            <w:vAlign w:val="center"/>
          </w:tcPr>
          <w:p>
            <w:pPr>
              <w:spacing w:after="120"/>
              <w:jc w:val="center"/>
              <w:rPr>
                <w:rFonts w:ascii="宋体" w:hAnsi="宋体" w:cs="宋体"/>
                <w:sz w:val="24"/>
              </w:rPr>
            </w:pPr>
            <w:r>
              <w:rPr>
                <w:rFonts w:hint="eastAsia" w:ascii="宋体" w:hAnsi="宋体" w:cs="宋体"/>
                <w:sz w:val="24"/>
              </w:rPr>
              <w:t>单价</w:t>
            </w:r>
          </w:p>
          <w:p>
            <w:pPr>
              <w:spacing w:after="120"/>
              <w:jc w:val="center"/>
              <w:rPr>
                <w:rFonts w:ascii="宋体" w:hAnsi="宋体" w:cs="宋体"/>
                <w:bCs/>
                <w:sz w:val="24"/>
              </w:rPr>
            </w:pPr>
            <w:r>
              <w:rPr>
                <w:rFonts w:hint="eastAsia" w:ascii="宋体" w:hAnsi="宋体" w:cs="宋体"/>
                <w:sz w:val="24"/>
              </w:rPr>
              <w:t>（元）</w:t>
            </w:r>
          </w:p>
        </w:tc>
        <w:tc>
          <w:tcPr>
            <w:tcW w:w="1321" w:type="dxa"/>
            <w:tcBorders>
              <w:top w:val="single" w:color="auto" w:sz="6" w:space="0"/>
              <w:left w:val="single" w:color="auto" w:sz="6" w:space="0"/>
              <w:bottom w:val="single" w:color="auto" w:sz="6" w:space="0"/>
              <w:right w:val="single" w:color="auto" w:sz="6" w:space="0"/>
            </w:tcBorders>
            <w:vAlign w:val="center"/>
          </w:tcPr>
          <w:p>
            <w:pPr>
              <w:spacing w:after="120"/>
              <w:jc w:val="center"/>
              <w:rPr>
                <w:rFonts w:ascii="宋体" w:hAnsi="宋体" w:cs="宋体"/>
                <w:bCs/>
                <w:sz w:val="24"/>
              </w:rPr>
            </w:pPr>
            <w:r>
              <w:rPr>
                <w:rFonts w:hint="eastAsia" w:ascii="宋体" w:hAnsi="宋体" w:cs="宋体"/>
                <w:bCs/>
                <w:sz w:val="24"/>
              </w:rPr>
              <w:t>总价</w:t>
            </w:r>
          </w:p>
          <w:p>
            <w:pPr>
              <w:spacing w:after="120"/>
              <w:jc w:val="center"/>
              <w:rPr>
                <w:rFonts w:ascii="宋体" w:hAnsi="宋体" w:cs="宋体"/>
                <w:bCs/>
                <w:sz w:val="24"/>
              </w:rPr>
            </w:pPr>
            <w:r>
              <w:rPr>
                <w:rFonts w:hint="eastAsia" w:ascii="宋体" w:hAnsi="宋体" w:cs="宋体"/>
                <w:bCs/>
                <w:sz w:val="24"/>
              </w:rPr>
              <w:t>（元）</w:t>
            </w:r>
          </w:p>
        </w:tc>
      </w:tr>
      <w:tr>
        <w:tblPrEx>
          <w:tblCellMar>
            <w:top w:w="0" w:type="dxa"/>
            <w:left w:w="28" w:type="dxa"/>
            <w:bottom w:w="0" w:type="dxa"/>
            <w:right w:w="28" w:type="dxa"/>
          </w:tblCellMar>
        </w:tblPrEx>
        <w:trPr>
          <w:trHeight w:val="709" w:hRule="atLeast"/>
          <w:jc w:val="center"/>
        </w:trPr>
        <w:tc>
          <w:tcPr>
            <w:tcW w:w="981" w:type="dxa"/>
            <w:vMerge w:val="continue"/>
            <w:tcBorders>
              <w:left w:val="single" w:color="auto" w:sz="6" w:space="0"/>
              <w:right w:val="single" w:color="auto" w:sz="4" w:space="0"/>
            </w:tcBorders>
            <w:vAlign w:val="center"/>
          </w:tcPr>
          <w:p>
            <w:pPr>
              <w:spacing w:beforeLines="100"/>
              <w:jc w:val="center"/>
              <w:rPr>
                <w:rFonts w:ascii="宋体" w:hAnsi="宋体" w:cs="宋体"/>
                <w:sz w:val="24"/>
              </w:rPr>
            </w:pPr>
          </w:p>
        </w:tc>
        <w:tc>
          <w:tcPr>
            <w:tcW w:w="602" w:type="dxa"/>
            <w:tcBorders>
              <w:top w:val="single" w:color="auto" w:sz="6" w:space="0"/>
              <w:left w:val="single" w:color="auto" w:sz="4" w:space="0"/>
              <w:bottom w:val="single" w:color="auto" w:sz="4" w:space="0"/>
            </w:tcBorders>
            <w:vAlign w:val="center"/>
          </w:tcPr>
          <w:p>
            <w:pPr>
              <w:spacing w:beforeLines="100"/>
              <w:jc w:val="center"/>
              <w:rPr>
                <w:rFonts w:ascii="宋体" w:hAnsi="宋体" w:cs="宋体"/>
                <w:sz w:val="24"/>
              </w:rPr>
            </w:pPr>
            <w:r>
              <w:rPr>
                <w:rFonts w:hint="eastAsia" w:ascii="宋体" w:hAnsi="宋体" w:cs="宋体"/>
                <w:sz w:val="24"/>
              </w:rPr>
              <w:t>1</w:t>
            </w:r>
          </w:p>
        </w:tc>
        <w:tc>
          <w:tcPr>
            <w:tcW w:w="893" w:type="dxa"/>
            <w:tcBorders>
              <w:top w:val="single" w:color="auto" w:sz="6" w:space="0"/>
              <w:left w:val="single" w:color="auto" w:sz="6" w:space="0"/>
              <w:bottom w:val="single" w:color="auto" w:sz="4" w:space="0"/>
              <w:right w:val="single" w:color="auto" w:sz="6" w:space="0"/>
            </w:tcBorders>
            <w:vAlign w:val="center"/>
          </w:tcPr>
          <w:p>
            <w:pPr>
              <w:jc w:val="center"/>
              <w:rPr>
                <w:rFonts w:ascii="宋体" w:hAnsi="宋体" w:cs="宋体"/>
                <w:sz w:val="24"/>
              </w:rPr>
            </w:pPr>
          </w:p>
        </w:tc>
        <w:tc>
          <w:tcPr>
            <w:tcW w:w="812" w:type="dxa"/>
            <w:tcBorders>
              <w:top w:val="single" w:color="auto" w:sz="6" w:space="0"/>
              <w:left w:val="single" w:color="auto" w:sz="6" w:space="0"/>
              <w:bottom w:val="single" w:color="auto" w:sz="4" w:space="0"/>
              <w:right w:val="single" w:color="auto" w:sz="4" w:space="0"/>
            </w:tcBorders>
            <w:vAlign w:val="center"/>
          </w:tcPr>
          <w:p>
            <w:pPr>
              <w:spacing w:beforeLines="50"/>
              <w:jc w:val="center"/>
              <w:rPr>
                <w:rFonts w:ascii="宋体" w:hAnsi="宋体" w:cs="宋体"/>
                <w:sz w:val="24"/>
              </w:rPr>
            </w:pPr>
          </w:p>
        </w:tc>
        <w:tc>
          <w:tcPr>
            <w:tcW w:w="952" w:type="dxa"/>
            <w:tcBorders>
              <w:top w:val="single" w:color="auto" w:sz="6" w:space="0"/>
              <w:left w:val="single" w:color="auto" w:sz="4" w:space="0"/>
              <w:bottom w:val="single" w:color="auto" w:sz="4" w:space="0"/>
              <w:right w:val="single" w:color="auto" w:sz="6" w:space="0"/>
            </w:tcBorders>
            <w:vAlign w:val="center"/>
          </w:tcPr>
          <w:p>
            <w:pPr>
              <w:spacing w:beforeLines="50"/>
              <w:jc w:val="center"/>
              <w:rPr>
                <w:rFonts w:ascii="宋体" w:hAnsi="宋体" w:cs="宋体"/>
                <w:sz w:val="24"/>
              </w:rPr>
            </w:pPr>
          </w:p>
        </w:tc>
        <w:tc>
          <w:tcPr>
            <w:tcW w:w="2024" w:type="dxa"/>
            <w:tcBorders>
              <w:top w:val="single" w:color="auto" w:sz="6" w:space="0"/>
              <w:left w:val="single" w:color="auto" w:sz="6" w:space="0"/>
              <w:bottom w:val="single" w:color="auto" w:sz="4" w:space="0"/>
              <w:right w:val="single" w:color="auto" w:sz="6" w:space="0"/>
            </w:tcBorders>
            <w:vAlign w:val="center"/>
          </w:tcPr>
          <w:p>
            <w:pPr>
              <w:spacing w:beforeLines="50"/>
              <w:jc w:val="center"/>
              <w:rPr>
                <w:rFonts w:ascii="宋体" w:hAnsi="宋体" w:cs="宋体"/>
                <w:sz w:val="24"/>
              </w:rPr>
            </w:pPr>
          </w:p>
        </w:tc>
        <w:tc>
          <w:tcPr>
            <w:tcW w:w="1077" w:type="dxa"/>
            <w:tcBorders>
              <w:top w:val="single" w:color="auto" w:sz="6" w:space="0"/>
              <w:left w:val="single" w:color="auto" w:sz="6" w:space="0"/>
              <w:bottom w:val="single" w:color="auto" w:sz="4" w:space="0"/>
              <w:right w:val="single" w:color="auto" w:sz="6" w:space="0"/>
            </w:tcBorders>
            <w:vAlign w:val="center"/>
          </w:tcPr>
          <w:p>
            <w:pPr>
              <w:spacing w:beforeLines="50"/>
              <w:jc w:val="center"/>
              <w:rPr>
                <w:rFonts w:ascii="宋体" w:hAnsi="宋体" w:cs="宋体"/>
                <w:sz w:val="24"/>
              </w:rPr>
            </w:pPr>
          </w:p>
        </w:tc>
        <w:tc>
          <w:tcPr>
            <w:tcW w:w="1318" w:type="dxa"/>
            <w:tcBorders>
              <w:top w:val="single" w:color="auto" w:sz="6" w:space="0"/>
              <w:left w:val="single" w:color="auto" w:sz="6" w:space="0"/>
              <w:bottom w:val="single" w:color="auto" w:sz="4" w:space="0"/>
              <w:right w:val="single" w:color="auto" w:sz="6" w:space="0"/>
            </w:tcBorders>
            <w:vAlign w:val="center"/>
          </w:tcPr>
          <w:p>
            <w:pPr>
              <w:spacing w:beforeLines="50"/>
              <w:jc w:val="center"/>
              <w:rPr>
                <w:rFonts w:ascii="宋体" w:hAnsi="宋体" w:cs="宋体"/>
                <w:sz w:val="24"/>
              </w:rPr>
            </w:pPr>
          </w:p>
        </w:tc>
        <w:tc>
          <w:tcPr>
            <w:tcW w:w="1321" w:type="dxa"/>
            <w:tcBorders>
              <w:top w:val="single" w:color="auto" w:sz="6" w:space="0"/>
              <w:left w:val="single" w:color="auto" w:sz="6" w:space="0"/>
              <w:bottom w:val="single" w:color="auto" w:sz="4" w:space="0"/>
              <w:right w:val="single" w:color="auto" w:sz="6" w:space="0"/>
            </w:tcBorders>
            <w:vAlign w:val="center"/>
          </w:tcPr>
          <w:p>
            <w:pPr>
              <w:spacing w:beforeLines="50"/>
              <w:jc w:val="center"/>
              <w:rPr>
                <w:rFonts w:ascii="宋体" w:hAnsi="宋体" w:cs="宋体"/>
                <w:sz w:val="24"/>
              </w:rPr>
            </w:pPr>
          </w:p>
        </w:tc>
      </w:tr>
      <w:tr>
        <w:tblPrEx>
          <w:tblCellMar>
            <w:top w:w="0" w:type="dxa"/>
            <w:left w:w="28" w:type="dxa"/>
            <w:bottom w:w="0" w:type="dxa"/>
            <w:right w:w="28" w:type="dxa"/>
          </w:tblCellMar>
        </w:tblPrEx>
        <w:trPr>
          <w:trHeight w:val="694" w:hRule="atLeast"/>
          <w:jc w:val="center"/>
        </w:trPr>
        <w:tc>
          <w:tcPr>
            <w:tcW w:w="981" w:type="dxa"/>
            <w:vMerge w:val="continue"/>
            <w:tcBorders>
              <w:left w:val="single" w:color="auto" w:sz="6" w:space="0"/>
              <w:right w:val="single" w:color="auto" w:sz="4" w:space="0"/>
            </w:tcBorders>
            <w:vAlign w:val="center"/>
          </w:tcPr>
          <w:p>
            <w:pPr>
              <w:spacing w:beforeLines="100"/>
              <w:jc w:val="center"/>
              <w:rPr>
                <w:rFonts w:ascii="宋体" w:hAnsi="宋体" w:cs="宋体"/>
                <w:sz w:val="24"/>
              </w:rPr>
            </w:pPr>
          </w:p>
        </w:tc>
        <w:tc>
          <w:tcPr>
            <w:tcW w:w="602" w:type="dxa"/>
            <w:tcBorders>
              <w:top w:val="single" w:color="auto" w:sz="4" w:space="0"/>
              <w:left w:val="single" w:color="auto" w:sz="4" w:space="0"/>
              <w:bottom w:val="single" w:color="auto" w:sz="6" w:space="0"/>
            </w:tcBorders>
            <w:vAlign w:val="center"/>
          </w:tcPr>
          <w:p>
            <w:pPr>
              <w:spacing w:beforeLines="100"/>
              <w:jc w:val="center"/>
              <w:rPr>
                <w:rFonts w:ascii="宋体" w:hAnsi="宋体" w:cs="宋体"/>
                <w:sz w:val="24"/>
              </w:rPr>
            </w:pPr>
            <w:r>
              <w:rPr>
                <w:rFonts w:hint="eastAsia" w:ascii="宋体" w:hAnsi="宋体" w:cs="宋体"/>
                <w:sz w:val="24"/>
              </w:rPr>
              <w:t>2</w:t>
            </w:r>
          </w:p>
        </w:tc>
        <w:tc>
          <w:tcPr>
            <w:tcW w:w="893" w:type="dxa"/>
            <w:tcBorders>
              <w:top w:val="single" w:color="auto" w:sz="4" w:space="0"/>
              <w:left w:val="single" w:color="auto" w:sz="6" w:space="0"/>
              <w:bottom w:val="single" w:color="auto" w:sz="6" w:space="0"/>
              <w:right w:val="single" w:color="auto" w:sz="6" w:space="0"/>
            </w:tcBorders>
            <w:vAlign w:val="center"/>
          </w:tcPr>
          <w:p>
            <w:pPr>
              <w:jc w:val="center"/>
              <w:rPr>
                <w:rFonts w:ascii="宋体" w:hAnsi="宋体" w:cs="宋体"/>
                <w:sz w:val="24"/>
              </w:rPr>
            </w:pPr>
          </w:p>
        </w:tc>
        <w:tc>
          <w:tcPr>
            <w:tcW w:w="812" w:type="dxa"/>
            <w:tcBorders>
              <w:top w:val="single" w:color="auto" w:sz="4" w:space="0"/>
              <w:left w:val="single" w:color="auto" w:sz="6" w:space="0"/>
              <w:bottom w:val="single" w:color="auto" w:sz="6" w:space="0"/>
              <w:right w:val="single" w:color="auto" w:sz="4" w:space="0"/>
            </w:tcBorders>
            <w:vAlign w:val="center"/>
          </w:tcPr>
          <w:p>
            <w:pPr>
              <w:spacing w:beforeLines="50"/>
              <w:jc w:val="center"/>
              <w:rPr>
                <w:rFonts w:ascii="宋体" w:hAnsi="宋体" w:cs="宋体"/>
                <w:sz w:val="24"/>
              </w:rPr>
            </w:pPr>
          </w:p>
        </w:tc>
        <w:tc>
          <w:tcPr>
            <w:tcW w:w="952" w:type="dxa"/>
            <w:tcBorders>
              <w:top w:val="single" w:color="auto" w:sz="4" w:space="0"/>
              <w:left w:val="single" w:color="auto" w:sz="4" w:space="0"/>
              <w:bottom w:val="single" w:color="auto" w:sz="6" w:space="0"/>
              <w:right w:val="single" w:color="auto" w:sz="6" w:space="0"/>
            </w:tcBorders>
            <w:vAlign w:val="center"/>
          </w:tcPr>
          <w:p>
            <w:pPr>
              <w:spacing w:beforeLines="50"/>
              <w:jc w:val="center"/>
              <w:rPr>
                <w:rFonts w:ascii="宋体" w:hAnsi="宋体" w:cs="宋体"/>
                <w:sz w:val="24"/>
              </w:rPr>
            </w:pPr>
          </w:p>
        </w:tc>
        <w:tc>
          <w:tcPr>
            <w:tcW w:w="2024" w:type="dxa"/>
            <w:tcBorders>
              <w:top w:val="single" w:color="auto" w:sz="4" w:space="0"/>
              <w:left w:val="single" w:color="auto" w:sz="6" w:space="0"/>
              <w:bottom w:val="single" w:color="auto" w:sz="6" w:space="0"/>
              <w:right w:val="single" w:color="auto" w:sz="6" w:space="0"/>
            </w:tcBorders>
            <w:vAlign w:val="center"/>
          </w:tcPr>
          <w:p>
            <w:pPr>
              <w:spacing w:beforeLines="50"/>
              <w:jc w:val="center"/>
              <w:rPr>
                <w:rFonts w:ascii="宋体" w:hAnsi="宋体" w:cs="宋体"/>
                <w:sz w:val="24"/>
              </w:rPr>
            </w:pPr>
          </w:p>
        </w:tc>
        <w:tc>
          <w:tcPr>
            <w:tcW w:w="1077" w:type="dxa"/>
            <w:tcBorders>
              <w:top w:val="single" w:color="auto" w:sz="4" w:space="0"/>
              <w:left w:val="single" w:color="auto" w:sz="6" w:space="0"/>
              <w:bottom w:val="single" w:color="auto" w:sz="6" w:space="0"/>
              <w:right w:val="single" w:color="auto" w:sz="6" w:space="0"/>
            </w:tcBorders>
            <w:vAlign w:val="center"/>
          </w:tcPr>
          <w:p>
            <w:pPr>
              <w:spacing w:beforeLines="50"/>
              <w:jc w:val="center"/>
              <w:rPr>
                <w:rFonts w:ascii="宋体" w:hAnsi="宋体" w:cs="宋体"/>
                <w:sz w:val="24"/>
              </w:rPr>
            </w:pPr>
          </w:p>
        </w:tc>
        <w:tc>
          <w:tcPr>
            <w:tcW w:w="1318" w:type="dxa"/>
            <w:tcBorders>
              <w:top w:val="single" w:color="auto" w:sz="4" w:space="0"/>
              <w:left w:val="single" w:color="auto" w:sz="6" w:space="0"/>
              <w:bottom w:val="single" w:color="auto" w:sz="6" w:space="0"/>
              <w:right w:val="single" w:color="auto" w:sz="6" w:space="0"/>
            </w:tcBorders>
            <w:vAlign w:val="center"/>
          </w:tcPr>
          <w:p>
            <w:pPr>
              <w:spacing w:beforeLines="50"/>
              <w:jc w:val="center"/>
              <w:rPr>
                <w:rFonts w:ascii="宋体" w:hAnsi="宋体" w:cs="宋体"/>
                <w:sz w:val="24"/>
              </w:rPr>
            </w:pPr>
          </w:p>
        </w:tc>
        <w:tc>
          <w:tcPr>
            <w:tcW w:w="1321" w:type="dxa"/>
            <w:tcBorders>
              <w:top w:val="single" w:color="auto" w:sz="4" w:space="0"/>
              <w:left w:val="single" w:color="auto" w:sz="6" w:space="0"/>
              <w:bottom w:val="single" w:color="auto" w:sz="6" w:space="0"/>
              <w:right w:val="single" w:color="auto" w:sz="6" w:space="0"/>
            </w:tcBorders>
            <w:vAlign w:val="center"/>
          </w:tcPr>
          <w:p>
            <w:pPr>
              <w:spacing w:beforeLines="50"/>
              <w:jc w:val="center"/>
              <w:rPr>
                <w:rFonts w:ascii="宋体" w:hAnsi="宋体" w:cs="宋体"/>
                <w:sz w:val="24"/>
              </w:rPr>
            </w:pPr>
          </w:p>
        </w:tc>
      </w:tr>
      <w:tr>
        <w:tblPrEx>
          <w:tblCellMar>
            <w:top w:w="0" w:type="dxa"/>
            <w:left w:w="28" w:type="dxa"/>
            <w:bottom w:w="0" w:type="dxa"/>
            <w:right w:w="28" w:type="dxa"/>
          </w:tblCellMar>
        </w:tblPrEx>
        <w:trPr>
          <w:trHeight w:val="709" w:hRule="atLeast"/>
          <w:jc w:val="center"/>
        </w:trPr>
        <w:tc>
          <w:tcPr>
            <w:tcW w:w="981" w:type="dxa"/>
            <w:vMerge w:val="continue"/>
            <w:tcBorders>
              <w:left w:val="single" w:color="auto" w:sz="6" w:space="0"/>
              <w:right w:val="single" w:color="auto" w:sz="4" w:space="0"/>
            </w:tcBorders>
            <w:vAlign w:val="center"/>
          </w:tcPr>
          <w:p>
            <w:pPr>
              <w:spacing w:beforeLines="100"/>
              <w:jc w:val="center"/>
              <w:rPr>
                <w:rFonts w:ascii="宋体" w:hAnsi="宋体" w:cs="宋体"/>
                <w:sz w:val="24"/>
              </w:rPr>
            </w:pPr>
          </w:p>
        </w:tc>
        <w:tc>
          <w:tcPr>
            <w:tcW w:w="602" w:type="dxa"/>
            <w:tcBorders>
              <w:top w:val="single" w:color="auto" w:sz="4" w:space="0"/>
              <w:left w:val="single" w:color="auto" w:sz="4" w:space="0"/>
              <w:bottom w:val="single" w:color="auto" w:sz="6" w:space="0"/>
            </w:tcBorders>
            <w:vAlign w:val="center"/>
          </w:tcPr>
          <w:p>
            <w:pPr>
              <w:spacing w:beforeLines="100"/>
              <w:jc w:val="center"/>
              <w:rPr>
                <w:rFonts w:ascii="宋体" w:hAnsi="宋体" w:cs="宋体"/>
                <w:sz w:val="24"/>
              </w:rPr>
            </w:pPr>
            <w:r>
              <w:rPr>
                <w:rFonts w:hint="eastAsia" w:ascii="宋体" w:hAnsi="宋体" w:cs="宋体"/>
                <w:sz w:val="24"/>
              </w:rPr>
              <w:t>3</w:t>
            </w:r>
          </w:p>
        </w:tc>
        <w:tc>
          <w:tcPr>
            <w:tcW w:w="893" w:type="dxa"/>
            <w:tcBorders>
              <w:top w:val="single" w:color="auto" w:sz="4" w:space="0"/>
              <w:left w:val="single" w:color="auto" w:sz="6" w:space="0"/>
              <w:bottom w:val="single" w:color="auto" w:sz="6" w:space="0"/>
              <w:right w:val="single" w:color="auto" w:sz="6" w:space="0"/>
            </w:tcBorders>
            <w:vAlign w:val="center"/>
          </w:tcPr>
          <w:p>
            <w:pPr>
              <w:jc w:val="center"/>
              <w:rPr>
                <w:rFonts w:ascii="宋体" w:hAnsi="宋体" w:cs="宋体"/>
                <w:sz w:val="24"/>
              </w:rPr>
            </w:pPr>
            <w:r>
              <w:rPr>
                <w:rFonts w:hint="eastAsia" w:ascii="宋体" w:hAnsi="宋体" w:cs="宋体"/>
                <w:sz w:val="24"/>
              </w:rPr>
              <w:t>...</w:t>
            </w:r>
          </w:p>
        </w:tc>
        <w:tc>
          <w:tcPr>
            <w:tcW w:w="812" w:type="dxa"/>
            <w:tcBorders>
              <w:top w:val="single" w:color="auto" w:sz="4" w:space="0"/>
              <w:left w:val="single" w:color="auto" w:sz="6" w:space="0"/>
              <w:bottom w:val="single" w:color="auto" w:sz="6" w:space="0"/>
              <w:right w:val="single" w:color="auto" w:sz="4" w:space="0"/>
            </w:tcBorders>
            <w:vAlign w:val="center"/>
          </w:tcPr>
          <w:p>
            <w:pPr>
              <w:spacing w:beforeLines="50"/>
              <w:jc w:val="center"/>
              <w:rPr>
                <w:rFonts w:ascii="宋体" w:hAnsi="宋体" w:cs="宋体"/>
                <w:sz w:val="24"/>
              </w:rPr>
            </w:pPr>
          </w:p>
        </w:tc>
        <w:tc>
          <w:tcPr>
            <w:tcW w:w="952" w:type="dxa"/>
            <w:tcBorders>
              <w:top w:val="single" w:color="auto" w:sz="4" w:space="0"/>
              <w:left w:val="single" w:color="auto" w:sz="4" w:space="0"/>
              <w:bottom w:val="single" w:color="auto" w:sz="6" w:space="0"/>
              <w:right w:val="single" w:color="auto" w:sz="6" w:space="0"/>
            </w:tcBorders>
            <w:vAlign w:val="center"/>
          </w:tcPr>
          <w:p>
            <w:pPr>
              <w:spacing w:beforeLines="50"/>
              <w:jc w:val="center"/>
              <w:rPr>
                <w:rFonts w:ascii="宋体" w:hAnsi="宋体" w:cs="宋体"/>
                <w:sz w:val="24"/>
              </w:rPr>
            </w:pPr>
          </w:p>
        </w:tc>
        <w:tc>
          <w:tcPr>
            <w:tcW w:w="2024" w:type="dxa"/>
            <w:tcBorders>
              <w:top w:val="single" w:color="auto" w:sz="4" w:space="0"/>
              <w:left w:val="single" w:color="auto" w:sz="6" w:space="0"/>
              <w:bottom w:val="single" w:color="auto" w:sz="6" w:space="0"/>
              <w:right w:val="single" w:color="auto" w:sz="6" w:space="0"/>
            </w:tcBorders>
            <w:vAlign w:val="center"/>
          </w:tcPr>
          <w:p>
            <w:pPr>
              <w:spacing w:beforeLines="50"/>
              <w:jc w:val="center"/>
              <w:rPr>
                <w:rFonts w:ascii="宋体" w:hAnsi="宋体" w:cs="宋体"/>
                <w:sz w:val="24"/>
              </w:rPr>
            </w:pPr>
          </w:p>
        </w:tc>
        <w:tc>
          <w:tcPr>
            <w:tcW w:w="1077" w:type="dxa"/>
            <w:tcBorders>
              <w:top w:val="single" w:color="auto" w:sz="4" w:space="0"/>
              <w:left w:val="single" w:color="auto" w:sz="6" w:space="0"/>
              <w:bottom w:val="single" w:color="auto" w:sz="6" w:space="0"/>
              <w:right w:val="single" w:color="auto" w:sz="6" w:space="0"/>
            </w:tcBorders>
            <w:vAlign w:val="center"/>
          </w:tcPr>
          <w:p>
            <w:pPr>
              <w:spacing w:beforeLines="50"/>
              <w:jc w:val="center"/>
              <w:rPr>
                <w:rFonts w:ascii="宋体" w:hAnsi="宋体" w:cs="宋体"/>
                <w:sz w:val="24"/>
              </w:rPr>
            </w:pPr>
          </w:p>
        </w:tc>
        <w:tc>
          <w:tcPr>
            <w:tcW w:w="1318" w:type="dxa"/>
            <w:tcBorders>
              <w:top w:val="single" w:color="auto" w:sz="4" w:space="0"/>
              <w:left w:val="single" w:color="auto" w:sz="6" w:space="0"/>
              <w:bottom w:val="single" w:color="auto" w:sz="6" w:space="0"/>
              <w:right w:val="single" w:color="auto" w:sz="6" w:space="0"/>
            </w:tcBorders>
            <w:vAlign w:val="center"/>
          </w:tcPr>
          <w:p>
            <w:pPr>
              <w:spacing w:beforeLines="50"/>
              <w:jc w:val="center"/>
              <w:rPr>
                <w:rFonts w:ascii="宋体" w:hAnsi="宋体" w:cs="宋体"/>
                <w:sz w:val="24"/>
              </w:rPr>
            </w:pPr>
          </w:p>
        </w:tc>
        <w:tc>
          <w:tcPr>
            <w:tcW w:w="1321" w:type="dxa"/>
            <w:tcBorders>
              <w:top w:val="single" w:color="auto" w:sz="4" w:space="0"/>
              <w:left w:val="single" w:color="auto" w:sz="6" w:space="0"/>
              <w:bottom w:val="single" w:color="auto" w:sz="6" w:space="0"/>
              <w:right w:val="single" w:color="auto" w:sz="6" w:space="0"/>
            </w:tcBorders>
            <w:vAlign w:val="center"/>
          </w:tcPr>
          <w:p>
            <w:pPr>
              <w:spacing w:beforeLines="50"/>
              <w:jc w:val="center"/>
              <w:rPr>
                <w:rFonts w:ascii="宋体" w:hAnsi="宋体" w:cs="宋体"/>
                <w:sz w:val="24"/>
              </w:rPr>
            </w:pPr>
          </w:p>
        </w:tc>
      </w:tr>
      <w:tr>
        <w:tblPrEx>
          <w:tblCellMar>
            <w:top w:w="0" w:type="dxa"/>
            <w:left w:w="28" w:type="dxa"/>
            <w:bottom w:w="0" w:type="dxa"/>
            <w:right w:w="28" w:type="dxa"/>
          </w:tblCellMar>
        </w:tblPrEx>
        <w:trPr>
          <w:trHeight w:val="649" w:hRule="atLeast"/>
          <w:jc w:val="center"/>
        </w:trPr>
        <w:tc>
          <w:tcPr>
            <w:tcW w:w="2476" w:type="dxa"/>
            <w:gridSpan w:val="3"/>
            <w:tcBorders>
              <w:top w:val="single" w:color="auto" w:sz="4" w:space="0"/>
              <w:left w:val="single" w:color="auto" w:sz="6" w:space="0"/>
              <w:bottom w:val="single" w:color="auto" w:sz="6" w:space="0"/>
              <w:right w:val="single" w:color="auto" w:sz="6" w:space="0"/>
            </w:tcBorders>
            <w:vAlign w:val="center"/>
          </w:tcPr>
          <w:p>
            <w:pPr>
              <w:jc w:val="center"/>
              <w:rPr>
                <w:rFonts w:ascii="宋体" w:hAnsi="宋体" w:cs="宋体"/>
                <w:sz w:val="24"/>
              </w:rPr>
            </w:pPr>
            <w:r>
              <w:rPr>
                <w:rFonts w:hint="eastAsia" w:ascii="宋体" w:hAnsi="宋体" w:cs="宋体"/>
                <w:sz w:val="24"/>
              </w:rPr>
              <w:t>运杂费</w:t>
            </w:r>
          </w:p>
        </w:tc>
        <w:tc>
          <w:tcPr>
            <w:tcW w:w="7504" w:type="dxa"/>
            <w:gridSpan w:val="6"/>
            <w:tcBorders>
              <w:top w:val="single" w:color="auto" w:sz="4" w:space="0"/>
              <w:left w:val="single" w:color="auto" w:sz="6" w:space="0"/>
              <w:bottom w:val="single" w:color="auto" w:sz="6" w:space="0"/>
              <w:right w:val="single" w:color="auto" w:sz="6" w:space="0"/>
            </w:tcBorders>
            <w:vAlign w:val="center"/>
          </w:tcPr>
          <w:p>
            <w:pPr>
              <w:spacing w:beforeLines="50"/>
              <w:jc w:val="center"/>
              <w:rPr>
                <w:rFonts w:ascii="宋体" w:hAnsi="宋体" w:cs="宋体"/>
                <w:sz w:val="24"/>
              </w:rPr>
            </w:pPr>
          </w:p>
        </w:tc>
      </w:tr>
      <w:tr>
        <w:tblPrEx>
          <w:tblCellMar>
            <w:top w:w="0" w:type="dxa"/>
            <w:left w:w="28" w:type="dxa"/>
            <w:bottom w:w="0" w:type="dxa"/>
            <w:right w:w="28" w:type="dxa"/>
          </w:tblCellMar>
        </w:tblPrEx>
        <w:trPr>
          <w:trHeight w:val="610" w:hRule="atLeast"/>
          <w:jc w:val="center"/>
        </w:trPr>
        <w:tc>
          <w:tcPr>
            <w:tcW w:w="2476" w:type="dxa"/>
            <w:gridSpan w:val="3"/>
            <w:tcBorders>
              <w:top w:val="single" w:color="auto" w:sz="4" w:space="0"/>
              <w:left w:val="single" w:color="auto" w:sz="6" w:space="0"/>
              <w:bottom w:val="single" w:color="auto" w:sz="6" w:space="0"/>
              <w:right w:val="single" w:color="auto" w:sz="6" w:space="0"/>
            </w:tcBorders>
            <w:vAlign w:val="center"/>
          </w:tcPr>
          <w:p>
            <w:pPr>
              <w:jc w:val="center"/>
              <w:rPr>
                <w:rFonts w:ascii="宋体" w:hAnsi="宋体" w:cs="宋体"/>
                <w:sz w:val="24"/>
              </w:rPr>
            </w:pPr>
            <w:r>
              <w:rPr>
                <w:rFonts w:hint="eastAsia" w:ascii="宋体" w:hAnsi="宋体" w:cs="宋体"/>
                <w:sz w:val="24"/>
              </w:rPr>
              <w:t>其他费用</w:t>
            </w:r>
          </w:p>
        </w:tc>
        <w:tc>
          <w:tcPr>
            <w:tcW w:w="7504" w:type="dxa"/>
            <w:gridSpan w:val="6"/>
            <w:tcBorders>
              <w:top w:val="single" w:color="auto" w:sz="4" w:space="0"/>
              <w:left w:val="single" w:color="auto" w:sz="6" w:space="0"/>
              <w:bottom w:val="single" w:color="auto" w:sz="6" w:space="0"/>
              <w:right w:val="single" w:color="auto" w:sz="6" w:space="0"/>
            </w:tcBorders>
            <w:vAlign w:val="center"/>
          </w:tcPr>
          <w:p>
            <w:pPr>
              <w:spacing w:beforeLines="50"/>
              <w:jc w:val="center"/>
              <w:rPr>
                <w:rFonts w:ascii="宋体" w:hAnsi="宋体" w:cs="宋体"/>
                <w:sz w:val="24"/>
              </w:rPr>
            </w:pPr>
          </w:p>
        </w:tc>
      </w:tr>
      <w:tr>
        <w:tblPrEx>
          <w:tblCellMar>
            <w:top w:w="0" w:type="dxa"/>
            <w:left w:w="28" w:type="dxa"/>
            <w:bottom w:w="0" w:type="dxa"/>
            <w:right w:w="28" w:type="dxa"/>
          </w:tblCellMar>
        </w:tblPrEx>
        <w:trPr>
          <w:trHeight w:val="709" w:hRule="atLeast"/>
          <w:jc w:val="center"/>
        </w:trPr>
        <w:tc>
          <w:tcPr>
            <w:tcW w:w="2476" w:type="dxa"/>
            <w:gridSpan w:val="3"/>
            <w:tcBorders>
              <w:top w:val="single" w:color="auto" w:sz="4" w:space="0"/>
              <w:left w:val="single" w:color="auto" w:sz="6" w:space="0"/>
              <w:bottom w:val="single" w:color="auto" w:sz="6" w:space="0"/>
              <w:right w:val="single" w:color="auto" w:sz="6" w:space="0"/>
            </w:tcBorders>
            <w:vAlign w:val="center"/>
          </w:tcPr>
          <w:p>
            <w:pPr>
              <w:spacing w:beforeLines="100"/>
              <w:jc w:val="center"/>
              <w:rPr>
                <w:rFonts w:ascii="宋体" w:hAnsi="宋体" w:cs="宋体"/>
                <w:sz w:val="24"/>
              </w:rPr>
            </w:pPr>
            <w:r>
              <w:rPr>
                <w:rFonts w:hint="eastAsia" w:ascii="宋体" w:hAnsi="宋体" w:cs="宋体"/>
                <w:sz w:val="24"/>
              </w:rPr>
              <w:t>……</w:t>
            </w:r>
          </w:p>
        </w:tc>
        <w:tc>
          <w:tcPr>
            <w:tcW w:w="7504" w:type="dxa"/>
            <w:gridSpan w:val="6"/>
            <w:tcBorders>
              <w:top w:val="single" w:color="auto" w:sz="4" w:space="0"/>
              <w:left w:val="single" w:color="auto" w:sz="6" w:space="0"/>
              <w:bottom w:val="single" w:color="auto" w:sz="6" w:space="0"/>
              <w:right w:val="single" w:color="auto" w:sz="6" w:space="0"/>
            </w:tcBorders>
            <w:vAlign w:val="center"/>
          </w:tcPr>
          <w:p>
            <w:pPr>
              <w:spacing w:beforeLines="50"/>
              <w:jc w:val="center"/>
              <w:rPr>
                <w:rFonts w:ascii="宋体" w:hAnsi="宋体" w:cs="宋体"/>
                <w:sz w:val="24"/>
              </w:rPr>
            </w:pPr>
          </w:p>
        </w:tc>
      </w:tr>
      <w:tr>
        <w:tblPrEx>
          <w:tblCellMar>
            <w:top w:w="0" w:type="dxa"/>
            <w:left w:w="28" w:type="dxa"/>
            <w:bottom w:w="0" w:type="dxa"/>
            <w:right w:w="28" w:type="dxa"/>
          </w:tblCellMar>
        </w:tblPrEx>
        <w:trPr>
          <w:trHeight w:val="658" w:hRule="atLeast"/>
          <w:jc w:val="center"/>
        </w:trPr>
        <w:tc>
          <w:tcPr>
            <w:tcW w:w="2476" w:type="dxa"/>
            <w:gridSpan w:val="3"/>
            <w:tcBorders>
              <w:top w:val="single" w:color="auto" w:sz="4" w:space="0"/>
              <w:left w:val="single" w:color="auto" w:sz="6" w:space="0"/>
              <w:bottom w:val="single" w:color="auto" w:sz="6" w:space="0"/>
            </w:tcBorders>
            <w:vAlign w:val="center"/>
          </w:tcPr>
          <w:p>
            <w:pPr>
              <w:jc w:val="center"/>
              <w:rPr>
                <w:rFonts w:ascii="宋体" w:hAnsi="宋体" w:cs="宋体"/>
                <w:sz w:val="24"/>
              </w:rPr>
            </w:pPr>
            <w:r>
              <w:rPr>
                <w:rFonts w:hint="eastAsia" w:ascii="宋体" w:hAnsi="宋体" w:cs="宋体"/>
                <w:sz w:val="24"/>
              </w:rPr>
              <w:t>磋商报价</w:t>
            </w:r>
          </w:p>
        </w:tc>
        <w:tc>
          <w:tcPr>
            <w:tcW w:w="7504" w:type="dxa"/>
            <w:gridSpan w:val="6"/>
            <w:tcBorders>
              <w:top w:val="single" w:color="auto" w:sz="4" w:space="0"/>
              <w:left w:val="single" w:color="auto" w:sz="6" w:space="0"/>
              <w:bottom w:val="single" w:color="auto" w:sz="6" w:space="0"/>
              <w:right w:val="single" w:color="auto" w:sz="6" w:space="0"/>
            </w:tcBorders>
            <w:vAlign w:val="center"/>
          </w:tcPr>
          <w:p>
            <w:pPr>
              <w:spacing w:beforeLines="50"/>
              <w:jc w:val="center"/>
              <w:rPr>
                <w:rFonts w:ascii="宋体" w:hAnsi="宋体" w:cs="宋体"/>
                <w:sz w:val="24"/>
              </w:rPr>
            </w:pPr>
            <w:r>
              <w:rPr>
                <w:rFonts w:hint="eastAsia" w:ascii="宋体" w:hAnsi="宋体" w:cs="宋体"/>
                <w:sz w:val="24"/>
              </w:rPr>
              <w:t>大写：                           小写：</w:t>
            </w:r>
          </w:p>
        </w:tc>
      </w:tr>
    </w:tbl>
    <w:p>
      <w:pPr>
        <w:spacing w:line="560" w:lineRule="exact"/>
        <w:rPr>
          <w:rFonts w:ascii="宋体" w:hAnsi="宋体" w:cs="宋体"/>
          <w:sz w:val="24"/>
        </w:rPr>
      </w:pPr>
      <w:r>
        <w:rPr>
          <w:rFonts w:hint="eastAsia" w:ascii="宋体" w:hAnsi="宋体" w:cs="宋体"/>
          <w:sz w:val="24"/>
        </w:rPr>
        <w:t>注：1.如果按单价计算的结果与总价不一致，以单价为准修正总价。</w:t>
      </w:r>
    </w:p>
    <w:p>
      <w:pPr>
        <w:spacing w:line="560" w:lineRule="exact"/>
        <w:ind w:firstLine="480" w:firstLineChars="200"/>
        <w:rPr>
          <w:rFonts w:ascii="宋体" w:hAnsi="宋体" w:cs="宋体"/>
          <w:sz w:val="24"/>
        </w:rPr>
      </w:pPr>
      <w:r>
        <w:rPr>
          <w:rFonts w:hint="eastAsia" w:ascii="宋体" w:hAnsi="宋体" w:cs="宋体"/>
          <w:sz w:val="24"/>
        </w:rPr>
        <w:t>2.如果不提供详细分项报价将视为没有实质性响应磋商文件。</w:t>
      </w:r>
    </w:p>
    <w:p>
      <w:pPr>
        <w:spacing w:line="560" w:lineRule="exact"/>
        <w:ind w:right="540" w:rightChars="257" w:firstLine="480" w:firstLineChars="200"/>
        <w:jc w:val="left"/>
        <w:rPr>
          <w:rFonts w:ascii="宋体" w:hAnsi="宋体" w:cs="宋体"/>
          <w:sz w:val="24"/>
        </w:rPr>
      </w:pPr>
      <w:r>
        <w:rPr>
          <w:rFonts w:hint="eastAsia" w:ascii="宋体" w:hAnsi="宋体" w:cs="宋体"/>
          <w:bCs/>
          <w:sz w:val="24"/>
        </w:rPr>
        <w:t>3.供应商可适当调整该表格式，但不得减少信息内容。</w:t>
      </w:r>
    </w:p>
    <w:p>
      <w:pPr>
        <w:spacing w:line="560" w:lineRule="exact"/>
        <w:ind w:right="540" w:rightChars="257"/>
        <w:jc w:val="center"/>
        <w:rPr>
          <w:rFonts w:ascii="宋体" w:hAnsi="宋体" w:cs="宋体"/>
          <w:sz w:val="24"/>
        </w:rPr>
      </w:pPr>
      <w:r>
        <w:rPr>
          <w:rFonts w:hint="eastAsia" w:ascii="宋体" w:hAnsi="宋体" w:cs="宋体"/>
          <w:sz w:val="24"/>
        </w:rPr>
        <w:t xml:space="preserve">                     </w:t>
      </w:r>
    </w:p>
    <w:p>
      <w:pPr>
        <w:spacing w:line="480" w:lineRule="auto"/>
        <w:ind w:firstLine="240" w:firstLineChars="100"/>
        <w:jc w:val="center"/>
        <w:rPr>
          <w:rFonts w:ascii="宋体" w:hAnsi="宋体" w:cs="宋体"/>
          <w:sz w:val="24"/>
        </w:rPr>
      </w:pPr>
      <w:r>
        <w:rPr>
          <w:rFonts w:hint="eastAsia" w:ascii="宋体" w:hAnsi="宋体" w:cs="宋体"/>
          <w:sz w:val="24"/>
        </w:rPr>
        <w:t xml:space="preserve">             供应商名称：（盖章）</w:t>
      </w:r>
    </w:p>
    <w:p>
      <w:pPr>
        <w:spacing w:line="480" w:lineRule="auto"/>
        <w:ind w:firstLine="240" w:firstLineChars="100"/>
        <w:jc w:val="center"/>
        <w:rPr>
          <w:rFonts w:ascii="宋体" w:hAnsi="宋体" w:cs="宋体"/>
          <w:sz w:val="24"/>
        </w:rPr>
      </w:pPr>
      <w:r>
        <w:rPr>
          <w:rFonts w:hint="eastAsia" w:ascii="宋体" w:hAnsi="宋体" w:cs="宋体"/>
          <w:sz w:val="24"/>
        </w:rPr>
        <w:t xml:space="preserve">                             法定代表人或委托代理人：(签字或盖章)</w:t>
      </w:r>
    </w:p>
    <w:p>
      <w:pPr>
        <w:spacing w:line="480" w:lineRule="auto"/>
        <w:ind w:firstLine="240" w:firstLineChars="100"/>
        <w:jc w:val="center"/>
        <w:rPr>
          <w:rFonts w:ascii="宋体" w:hAnsi="宋体" w:cs="宋体"/>
          <w:sz w:val="24"/>
        </w:rPr>
      </w:pPr>
      <w:r>
        <w:rPr>
          <w:rFonts w:hint="eastAsia" w:ascii="宋体" w:hAnsi="宋体" w:cs="宋体"/>
          <w:sz w:val="24"/>
        </w:rPr>
        <w:t xml:space="preserve">                      日      期：  年   月     日</w:t>
      </w:r>
    </w:p>
    <w:p>
      <w:pPr>
        <w:rPr>
          <w:rFonts w:ascii="宋体" w:hAnsi="宋体" w:cs="宋体"/>
          <w:sz w:val="24"/>
        </w:rPr>
      </w:pPr>
      <w:r>
        <w:rPr>
          <w:rFonts w:hint="eastAsia" w:ascii="宋体" w:hAnsi="宋体" w:cs="宋体"/>
          <w:sz w:val="24"/>
        </w:rPr>
        <w:br w:type="page"/>
      </w:r>
    </w:p>
    <w:p>
      <w:pPr>
        <w:tabs>
          <w:tab w:val="center" w:pos="4535"/>
          <w:tab w:val="left" w:pos="6521"/>
        </w:tabs>
        <w:autoSpaceDE w:val="0"/>
        <w:autoSpaceDN w:val="0"/>
        <w:adjustRightInd w:val="0"/>
        <w:snapToGrid w:val="0"/>
        <w:spacing w:line="360" w:lineRule="auto"/>
        <w:jc w:val="center"/>
        <w:outlineLvl w:val="1"/>
        <w:rPr>
          <w:rFonts w:ascii="宋体" w:hAnsi="宋体" w:cs="宋体"/>
          <w:b/>
          <w:sz w:val="28"/>
          <w:szCs w:val="28"/>
        </w:rPr>
      </w:pPr>
      <w:r>
        <w:rPr>
          <w:rFonts w:hint="eastAsia" w:ascii="宋体" w:hAnsi="宋体" w:cs="宋体"/>
          <w:b/>
          <w:sz w:val="28"/>
          <w:szCs w:val="28"/>
        </w:rPr>
        <w:t>3.</w:t>
      </w:r>
      <w:r>
        <w:rPr>
          <w:rFonts w:hint="eastAsia" w:ascii="宋体" w:hAnsi="宋体" w:cs="宋体"/>
          <w:b/>
          <w:sz w:val="28"/>
          <w:szCs w:val="28"/>
          <w:lang w:val="zh-CN"/>
        </w:rPr>
        <w:t>节能环保、环境标志产品明细表</w:t>
      </w:r>
    </w:p>
    <w:tbl>
      <w:tblPr>
        <w:tblStyle w:val="19"/>
        <w:tblW w:w="0" w:type="auto"/>
        <w:jc w:val="center"/>
        <w:tblLayout w:type="fixed"/>
        <w:tblCellMar>
          <w:top w:w="0" w:type="dxa"/>
          <w:left w:w="108" w:type="dxa"/>
          <w:bottom w:w="0" w:type="dxa"/>
          <w:right w:w="108" w:type="dxa"/>
        </w:tblCellMar>
      </w:tblPr>
      <w:tblGrid>
        <w:gridCol w:w="716"/>
        <w:gridCol w:w="1554"/>
        <w:gridCol w:w="1036"/>
        <w:gridCol w:w="1036"/>
        <w:gridCol w:w="716"/>
        <w:gridCol w:w="1676"/>
        <w:gridCol w:w="716"/>
        <w:gridCol w:w="716"/>
        <w:gridCol w:w="716"/>
      </w:tblGrid>
      <w:tr>
        <w:tblPrEx>
          <w:tblCellMar>
            <w:top w:w="0" w:type="dxa"/>
            <w:left w:w="108" w:type="dxa"/>
            <w:bottom w:w="0" w:type="dxa"/>
            <w:right w:w="108" w:type="dxa"/>
          </w:tblCellMar>
        </w:tblPrEx>
        <w:trPr>
          <w:jc w:val="center"/>
        </w:trPr>
        <w:tc>
          <w:tcPr>
            <w:tcW w:w="716" w:type="dxa"/>
            <w:tcBorders>
              <w:top w:val="single" w:color="auto" w:sz="6" w:space="0"/>
              <w:left w:val="single" w:color="auto" w:sz="6" w:space="0"/>
              <w:bottom w:val="single" w:color="auto" w:sz="6" w:space="0"/>
              <w:right w:val="single" w:color="auto" w:sz="6" w:space="0"/>
            </w:tcBorders>
            <w:vAlign w:val="center"/>
          </w:tcPr>
          <w:p>
            <w:pPr>
              <w:widowControl/>
              <w:jc w:val="center"/>
              <w:rPr>
                <w:rFonts w:asciiTheme="minorEastAsia" w:hAnsiTheme="minorEastAsia" w:eastAsiaTheme="minorEastAsia" w:cstheme="minorEastAsia"/>
                <w:bCs/>
                <w:kern w:val="0"/>
                <w:sz w:val="24"/>
                <w:lang w:val="zh-CN"/>
              </w:rPr>
            </w:pPr>
            <w:r>
              <w:rPr>
                <w:rFonts w:hint="eastAsia" w:asciiTheme="minorEastAsia" w:hAnsiTheme="minorEastAsia" w:eastAsiaTheme="minorEastAsia" w:cstheme="minorEastAsia"/>
                <w:bCs/>
                <w:kern w:val="0"/>
                <w:sz w:val="24"/>
                <w:lang w:val="zh-CN"/>
              </w:rPr>
              <w:t>序</w:t>
            </w:r>
          </w:p>
          <w:p>
            <w:pPr>
              <w:widowControl/>
              <w:jc w:val="center"/>
              <w:rPr>
                <w:rFonts w:asciiTheme="minorEastAsia" w:hAnsiTheme="minorEastAsia" w:eastAsiaTheme="minorEastAsia" w:cstheme="minorEastAsia"/>
                <w:bCs/>
                <w:kern w:val="0"/>
                <w:sz w:val="24"/>
              </w:rPr>
            </w:pPr>
            <w:r>
              <w:rPr>
                <w:rFonts w:hint="eastAsia" w:asciiTheme="minorEastAsia" w:hAnsiTheme="minorEastAsia" w:eastAsiaTheme="minorEastAsia" w:cstheme="minorEastAsia"/>
                <w:bCs/>
                <w:kern w:val="0"/>
                <w:sz w:val="24"/>
                <w:lang w:val="zh-CN"/>
              </w:rPr>
              <w:t>号</w:t>
            </w:r>
          </w:p>
        </w:tc>
        <w:tc>
          <w:tcPr>
            <w:tcW w:w="1554" w:type="dxa"/>
            <w:tcBorders>
              <w:top w:val="single" w:color="auto" w:sz="6" w:space="0"/>
              <w:left w:val="single" w:color="auto" w:sz="6" w:space="0"/>
              <w:bottom w:val="single" w:color="auto" w:sz="6" w:space="0"/>
              <w:right w:val="single" w:color="auto" w:sz="6" w:space="0"/>
            </w:tcBorders>
            <w:vAlign w:val="center"/>
          </w:tcPr>
          <w:p>
            <w:pPr>
              <w:widowControl/>
              <w:jc w:val="center"/>
              <w:rPr>
                <w:rFonts w:asciiTheme="minorEastAsia" w:hAnsiTheme="minorEastAsia" w:eastAsiaTheme="minorEastAsia" w:cstheme="minorEastAsia"/>
                <w:bCs/>
                <w:kern w:val="0"/>
                <w:sz w:val="24"/>
              </w:rPr>
            </w:pPr>
            <w:r>
              <w:rPr>
                <w:rFonts w:hint="eastAsia" w:asciiTheme="minorEastAsia" w:hAnsiTheme="minorEastAsia" w:eastAsiaTheme="minorEastAsia" w:cstheme="minorEastAsia"/>
                <w:bCs/>
                <w:kern w:val="0"/>
                <w:sz w:val="24"/>
                <w:lang w:val="zh-CN"/>
              </w:rPr>
              <w:t>产品名称</w:t>
            </w:r>
          </w:p>
        </w:tc>
        <w:tc>
          <w:tcPr>
            <w:tcW w:w="1036" w:type="dxa"/>
            <w:tcBorders>
              <w:top w:val="single" w:color="auto" w:sz="6" w:space="0"/>
              <w:left w:val="single" w:color="auto" w:sz="6" w:space="0"/>
              <w:bottom w:val="single" w:color="auto" w:sz="6" w:space="0"/>
              <w:right w:val="single" w:color="auto" w:sz="4" w:space="0"/>
            </w:tcBorders>
            <w:vAlign w:val="center"/>
          </w:tcPr>
          <w:p>
            <w:pPr>
              <w:widowControl/>
              <w:jc w:val="center"/>
              <w:rPr>
                <w:rFonts w:asciiTheme="minorEastAsia" w:hAnsiTheme="minorEastAsia" w:eastAsiaTheme="minorEastAsia" w:cstheme="minorEastAsia"/>
                <w:bCs/>
                <w:kern w:val="0"/>
                <w:sz w:val="24"/>
              </w:rPr>
            </w:pPr>
            <w:r>
              <w:rPr>
                <w:rFonts w:hint="eastAsia" w:asciiTheme="minorEastAsia" w:hAnsiTheme="minorEastAsia" w:eastAsiaTheme="minorEastAsia" w:cstheme="minorEastAsia"/>
                <w:bCs/>
                <w:kern w:val="0"/>
                <w:sz w:val="24"/>
              </w:rPr>
              <w:t>制造</w:t>
            </w:r>
          </w:p>
          <w:p>
            <w:pPr>
              <w:widowControl/>
              <w:jc w:val="center"/>
              <w:rPr>
                <w:rFonts w:asciiTheme="minorEastAsia" w:hAnsiTheme="minorEastAsia" w:eastAsiaTheme="minorEastAsia" w:cstheme="minorEastAsia"/>
                <w:bCs/>
                <w:kern w:val="0"/>
                <w:sz w:val="24"/>
              </w:rPr>
            </w:pPr>
            <w:r>
              <w:rPr>
                <w:rFonts w:hint="eastAsia" w:asciiTheme="minorEastAsia" w:hAnsiTheme="minorEastAsia" w:eastAsiaTheme="minorEastAsia" w:cstheme="minorEastAsia"/>
                <w:bCs/>
                <w:kern w:val="0"/>
                <w:sz w:val="24"/>
              </w:rPr>
              <w:t>厂家</w:t>
            </w:r>
          </w:p>
        </w:tc>
        <w:tc>
          <w:tcPr>
            <w:tcW w:w="1036" w:type="dxa"/>
            <w:tcBorders>
              <w:top w:val="single" w:color="auto" w:sz="6" w:space="0"/>
              <w:left w:val="single" w:color="auto" w:sz="4" w:space="0"/>
              <w:bottom w:val="single" w:color="auto" w:sz="6" w:space="0"/>
              <w:right w:val="single" w:color="auto" w:sz="6" w:space="0"/>
            </w:tcBorders>
            <w:vAlign w:val="center"/>
          </w:tcPr>
          <w:p>
            <w:pPr>
              <w:widowControl/>
              <w:jc w:val="center"/>
              <w:rPr>
                <w:rFonts w:asciiTheme="minorEastAsia" w:hAnsiTheme="minorEastAsia" w:eastAsiaTheme="minorEastAsia" w:cstheme="minorEastAsia"/>
                <w:bCs/>
                <w:kern w:val="0"/>
                <w:sz w:val="24"/>
                <w:lang w:val="zh-CN"/>
              </w:rPr>
            </w:pPr>
            <w:r>
              <w:rPr>
                <w:rFonts w:hint="eastAsia" w:asciiTheme="minorEastAsia" w:hAnsiTheme="minorEastAsia" w:eastAsiaTheme="minorEastAsia" w:cstheme="minorEastAsia"/>
                <w:bCs/>
                <w:kern w:val="0"/>
                <w:sz w:val="24"/>
                <w:lang w:val="zh-CN"/>
              </w:rPr>
              <w:t>规格</w:t>
            </w:r>
          </w:p>
          <w:p>
            <w:pPr>
              <w:widowControl/>
              <w:jc w:val="center"/>
              <w:rPr>
                <w:rFonts w:asciiTheme="minorEastAsia" w:hAnsiTheme="minorEastAsia" w:eastAsiaTheme="minorEastAsia" w:cstheme="minorEastAsia"/>
                <w:bCs/>
                <w:kern w:val="0"/>
                <w:sz w:val="24"/>
              </w:rPr>
            </w:pPr>
            <w:r>
              <w:rPr>
                <w:rFonts w:hint="eastAsia" w:asciiTheme="minorEastAsia" w:hAnsiTheme="minorEastAsia" w:eastAsiaTheme="minorEastAsia" w:cstheme="minorEastAsia"/>
                <w:bCs/>
                <w:kern w:val="0"/>
                <w:sz w:val="24"/>
                <w:lang w:val="zh-CN"/>
              </w:rPr>
              <w:t>型号</w:t>
            </w:r>
          </w:p>
        </w:tc>
        <w:tc>
          <w:tcPr>
            <w:tcW w:w="716" w:type="dxa"/>
            <w:tcBorders>
              <w:top w:val="single" w:color="auto" w:sz="6" w:space="0"/>
              <w:left w:val="single" w:color="auto" w:sz="6" w:space="0"/>
              <w:bottom w:val="single" w:color="auto" w:sz="6" w:space="0"/>
              <w:right w:val="single" w:color="auto" w:sz="6" w:space="0"/>
            </w:tcBorders>
          </w:tcPr>
          <w:p>
            <w:pPr>
              <w:widowControl/>
              <w:jc w:val="center"/>
              <w:rPr>
                <w:rFonts w:asciiTheme="minorEastAsia" w:hAnsiTheme="minorEastAsia" w:eastAsiaTheme="minorEastAsia" w:cstheme="minorEastAsia"/>
                <w:bCs/>
                <w:kern w:val="0"/>
                <w:sz w:val="24"/>
                <w:lang w:val="zh-CN"/>
              </w:rPr>
            </w:pPr>
            <w:r>
              <w:rPr>
                <w:rFonts w:hint="eastAsia" w:asciiTheme="minorEastAsia" w:hAnsiTheme="minorEastAsia" w:eastAsiaTheme="minorEastAsia" w:cstheme="minorEastAsia"/>
                <w:bCs/>
                <w:kern w:val="0"/>
                <w:sz w:val="24"/>
                <w:lang w:val="zh-CN"/>
              </w:rPr>
              <w:t>类别</w:t>
            </w:r>
          </w:p>
        </w:tc>
        <w:tc>
          <w:tcPr>
            <w:tcW w:w="1676" w:type="dxa"/>
            <w:tcBorders>
              <w:top w:val="single" w:color="auto" w:sz="6" w:space="0"/>
              <w:left w:val="single" w:color="auto" w:sz="6" w:space="0"/>
              <w:bottom w:val="single" w:color="auto" w:sz="6" w:space="0"/>
              <w:right w:val="single" w:color="auto" w:sz="6" w:space="0"/>
            </w:tcBorders>
            <w:vAlign w:val="center"/>
          </w:tcPr>
          <w:p>
            <w:pPr>
              <w:widowControl/>
              <w:jc w:val="center"/>
              <w:rPr>
                <w:rFonts w:asciiTheme="minorEastAsia" w:hAnsiTheme="minorEastAsia" w:eastAsiaTheme="minorEastAsia" w:cstheme="minorEastAsia"/>
                <w:bCs/>
                <w:kern w:val="0"/>
                <w:sz w:val="24"/>
              </w:rPr>
            </w:pPr>
            <w:r>
              <w:rPr>
                <w:rFonts w:hint="eastAsia" w:asciiTheme="minorEastAsia" w:hAnsiTheme="minorEastAsia" w:eastAsiaTheme="minorEastAsia" w:cstheme="minorEastAsia"/>
                <w:bCs/>
                <w:kern w:val="0"/>
                <w:sz w:val="24"/>
                <w:lang w:val="zh-CN"/>
              </w:rPr>
              <w:t>认证证书编号</w:t>
            </w:r>
          </w:p>
        </w:tc>
        <w:tc>
          <w:tcPr>
            <w:tcW w:w="716" w:type="dxa"/>
            <w:tcBorders>
              <w:top w:val="single" w:color="auto" w:sz="6" w:space="0"/>
              <w:left w:val="single" w:color="auto" w:sz="6" w:space="0"/>
              <w:bottom w:val="single" w:color="auto" w:sz="6" w:space="0"/>
              <w:right w:val="single" w:color="auto" w:sz="6" w:space="0"/>
            </w:tcBorders>
            <w:vAlign w:val="center"/>
          </w:tcPr>
          <w:p>
            <w:pPr>
              <w:widowControl/>
              <w:jc w:val="center"/>
              <w:rPr>
                <w:rFonts w:asciiTheme="minorEastAsia" w:hAnsiTheme="minorEastAsia" w:eastAsiaTheme="minorEastAsia" w:cstheme="minorEastAsia"/>
                <w:bCs/>
                <w:kern w:val="0"/>
                <w:sz w:val="24"/>
              </w:rPr>
            </w:pPr>
            <w:r>
              <w:rPr>
                <w:rFonts w:hint="eastAsia" w:asciiTheme="minorEastAsia" w:hAnsiTheme="minorEastAsia" w:eastAsiaTheme="minorEastAsia" w:cstheme="minorEastAsia"/>
                <w:bCs/>
                <w:kern w:val="0"/>
                <w:sz w:val="24"/>
                <w:lang w:val="zh-CN"/>
              </w:rPr>
              <w:t>数量</w:t>
            </w:r>
          </w:p>
        </w:tc>
        <w:tc>
          <w:tcPr>
            <w:tcW w:w="716" w:type="dxa"/>
            <w:tcBorders>
              <w:top w:val="single" w:color="auto" w:sz="6" w:space="0"/>
              <w:left w:val="single" w:color="auto" w:sz="6" w:space="0"/>
              <w:bottom w:val="single" w:color="auto" w:sz="6" w:space="0"/>
              <w:right w:val="single" w:color="auto" w:sz="6" w:space="0"/>
            </w:tcBorders>
            <w:vAlign w:val="center"/>
          </w:tcPr>
          <w:p>
            <w:pPr>
              <w:widowControl/>
              <w:jc w:val="center"/>
              <w:rPr>
                <w:rFonts w:asciiTheme="minorEastAsia" w:hAnsiTheme="minorEastAsia" w:eastAsiaTheme="minorEastAsia" w:cstheme="minorEastAsia"/>
                <w:bCs/>
                <w:kern w:val="0"/>
                <w:sz w:val="24"/>
              </w:rPr>
            </w:pPr>
            <w:r>
              <w:rPr>
                <w:rFonts w:hint="eastAsia" w:asciiTheme="minorEastAsia" w:hAnsiTheme="minorEastAsia" w:eastAsiaTheme="minorEastAsia" w:cstheme="minorEastAsia"/>
                <w:bCs/>
                <w:kern w:val="0"/>
                <w:sz w:val="24"/>
                <w:lang w:val="zh-CN"/>
              </w:rPr>
              <w:t>单价</w:t>
            </w:r>
          </w:p>
        </w:tc>
        <w:tc>
          <w:tcPr>
            <w:tcW w:w="716" w:type="dxa"/>
            <w:tcBorders>
              <w:top w:val="single" w:color="auto" w:sz="6" w:space="0"/>
              <w:left w:val="single" w:color="auto" w:sz="6" w:space="0"/>
              <w:bottom w:val="single" w:color="auto" w:sz="6" w:space="0"/>
              <w:right w:val="single" w:color="auto" w:sz="6" w:space="0"/>
            </w:tcBorders>
            <w:vAlign w:val="center"/>
          </w:tcPr>
          <w:p>
            <w:pPr>
              <w:widowControl/>
              <w:jc w:val="center"/>
              <w:rPr>
                <w:rFonts w:asciiTheme="minorEastAsia" w:hAnsiTheme="minorEastAsia" w:eastAsiaTheme="minorEastAsia" w:cstheme="minorEastAsia"/>
                <w:bCs/>
                <w:kern w:val="0"/>
                <w:sz w:val="24"/>
              </w:rPr>
            </w:pPr>
            <w:r>
              <w:rPr>
                <w:rFonts w:hint="eastAsia" w:asciiTheme="minorEastAsia" w:hAnsiTheme="minorEastAsia" w:eastAsiaTheme="minorEastAsia" w:cstheme="minorEastAsia"/>
                <w:bCs/>
                <w:kern w:val="0"/>
                <w:sz w:val="24"/>
                <w:lang w:val="zh-CN"/>
              </w:rPr>
              <w:t>总价</w:t>
            </w:r>
          </w:p>
        </w:tc>
      </w:tr>
      <w:tr>
        <w:tblPrEx>
          <w:tblCellMar>
            <w:top w:w="0" w:type="dxa"/>
            <w:left w:w="108" w:type="dxa"/>
            <w:bottom w:w="0" w:type="dxa"/>
            <w:right w:w="108" w:type="dxa"/>
          </w:tblCellMar>
        </w:tblPrEx>
        <w:trPr>
          <w:trHeight w:val="379" w:hRule="atLeast"/>
          <w:jc w:val="center"/>
        </w:trPr>
        <w:tc>
          <w:tcPr>
            <w:tcW w:w="716" w:type="dxa"/>
            <w:tcBorders>
              <w:top w:val="single" w:color="auto" w:sz="6" w:space="0"/>
              <w:left w:val="single" w:color="auto" w:sz="6" w:space="0"/>
              <w:bottom w:val="single" w:color="auto" w:sz="6" w:space="0"/>
              <w:right w:val="single" w:color="auto" w:sz="6" w:space="0"/>
            </w:tcBorders>
          </w:tcPr>
          <w:p>
            <w:pPr>
              <w:widowControl/>
              <w:ind w:firstLine="360" w:firstLineChars="150"/>
              <w:rPr>
                <w:rFonts w:asciiTheme="minorEastAsia" w:hAnsiTheme="minorEastAsia" w:eastAsiaTheme="minorEastAsia" w:cstheme="minorEastAsia"/>
                <w:bCs/>
                <w:kern w:val="0"/>
                <w:sz w:val="24"/>
              </w:rPr>
            </w:pPr>
          </w:p>
        </w:tc>
        <w:tc>
          <w:tcPr>
            <w:tcW w:w="1554" w:type="dxa"/>
            <w:tcBorders>
              <w:top w:val="single" w:color="auto" w:sz="6" w:space="0"/>
              <w:left w:val="single" w:color="auto" w:sz="6" w:space="0"/>
              <w:bottom w:val="single" w:color="auto" w:sz="6" w:space="0"/>
              <w:right w:val="single" w:color="auto" w:sz="6" w:space="0"/>
            </w:tcBorders>
          </w:tcPr>
          <w:p>
            <w:pPr>
              <w:widowControl/>
              <w:ind w:firstLine="360" w:firstLineChars="150"/>
              <w:rPr>
                <w:rFonts w:asciiTheme="minorEastAsia" w:hAnsiTheme="minorEastAsia" w:eastAsiaTheme="minorEastAsia" w:cstheme="minorEastAsia"/>
                <w:bCs/>
                <w:kern w:val="0"/>
                <w:sz w:val="24"/>
              </w:rPr>
            </w:pPr>
          </w:p>
        </w:tc>
        <w:tc>
          <w:tcPr>
            <w:tcW w:w="1036" w:type="dxa"/>
            <w:tcBorders>
              <w:top w:val="single" w:color="auto" w:sz="6" w:space="0"/>
              <w:left w:val="single" w:color="auto" w:sz="6" w:space="0"/>
              <w:bottom w:val="single" w:color="auto" w:sz="6" w:space="0"/>
              <w:right w:val="single" w:color="auto" w:sz="4" w:space="0"/>
            </w:tcBorders>
          </w:tcPr>
          <w:p>
            <w:pPr>
              <w:widowControl/>
              <w:ind w:firstLine="360" w:firstLineChars="150"/>
              <w:rPr>
                <w:rFonts w:asciiTheme="minorEastAsia" w:hAnsiTheme="minorEastAsia" w:eastAsiaTheme="minorEastAsia" w:cstheme="minorEastAsia"/>
                <w:bCs/>
                <w:kern w:val="0"/>
                <w:sz w:val="24"/>
              </w:rPr>
            </w:pPr>
          </w:p>
        </w:tc>
        <w:tc>
          <w:tcPr>
            <w:tcW w:w="1036" w:type="dxa"/>
            <w:tcBorders>
              <w:top w:val="single" w:color="auto" w:sz="6" w:space="0"/>
              <w:left w:val="single" w:color="auto" w:sz="4" w:space="0"/>
              <w:bottom w:val="single" w:color="auto" w:sz="6" w:space="0"/>
              <w:right w:val="single" w:color="auto" w:sz="6" w:space="0"/>
            </w:tcBorders>
          </w:tcPr>
          <w:p>
            <w:pPr>
              <w:widowControl/>
              <w:ind w:firstLine="360" w:firstLineChars="150"/>
              <w:rPr>
                <w:rFonts w:asciiTheme="minorEastAsia" w:hAnsiTheme="minorEastAsia" w:eastAsiaTheme="minorEastAsia" w:cstheme="minorEastAsia"/>
                <w:bCs/>
                <w:kern w:val="0"/>
                <w:sz w:val="24"/>
              </w:rPr>
            </w:pPr>
          </w:p>
        </w:tc>
        <w:tc>
          <w:tcPr>
            <w:tcW w:w="716" w:type="dxa"/>
            <w:tcBorders>
              <w:top w:val="single" w:color="auto" w:sz="6" w:space="0"/>
              <w:left w:val="single" w:color="auto" w:sz="6" w:space="0"/>
              <w:bottom w:val="single" w:color="auto" w:sz="6" w:space="0"/>
              <w:right w:val="single" w:color="auto" w:sz="6" w:space="0"/>
            </w:tcBorders>
          </w:tcPr>
          <w:p>
            <w:pPr>
              <w:widowControl/>
              <w:ind w:firstLine="360" w:firstLineChars="150"/>
              <w:rPr>
                <w:rFonts w:asciiTheme="minorEastAsia" w:hAnsiTheme="minorEastAsia" w:eastAsiaTheme="minorEastAsia" w:cstheme="minorEastAsia"/>
                <w:bCs/>
                <w:kern w:val="0"/>
                <w:sz w:val="24"/>
              </w:rPr>
            </w:pPr>
          </w:p>
        </w:tc>
        <w:tc>
          <w:tcPr>
            <w:tcW w:w="1676" w:type="dxa"/>
            <w:tcBorders>
              <w:top w:val="single" w:color="auto" w:sz="6" w:space="0"/>
              <w:left w:val="single" w:color="auto" w:sz="6" w:space="0"/>
              <w:bottom w:val="single" w:color="auto" w:sz="6" w:space="0"/>
              <w:right w:val="single" w:color="auto" w:sz="6" w:space="0"/>
            </w:tcBorders>
          </w:tcPr>
          <w:p>
            <w:pPr>
              <w:widowControl/>
              <w:ind w:firstLine="360" w:firstLineChars="150"/>
              <w:rPr>
                <w:rFonts w:asciiTheme="minorEastAsia" w:hAnsiTheme="minorEastAsia" w:eastAsiaTheme="minorEastAsia" w:cstheme="minorEastAsia"/>
                <w:bCs/>
                <w:kern w:val="0"/>
                <w:sz w:val="24"/>
              </w:rPr>
            </w:pPr>
          </w:p>
        </w:tc>
        <w:tc>
          <w:tcPr>
            <w:tcW w:w="716" w:type="dxa"/>
            <w:tcBorders>
              <w:top w:val="single" w:color="auto" w:sz="6" w:space="0"/>
              <w:left w:val="single" w:color="auto" w:sz="6" w:space="0"/>
              <w:bottom w:val="single" w:color="auto" w:sz="6" w:space="0"/>
              <w:right w:val="single" w:color="auto" w:sz="6" w:space="0"/>
            </w:tcBorders>
          </w:tcPr>
          <w:p>
            <w:pPr>
              <w:widowControl/>
              <w:ind w:firstLine="360" w:firstLineChars="150"/>
              <w:rPr>
                <w:rFonts w:asciiTheme="minorEastAsia" w:hAnsiTheme="minorEastAsia" w:eastAsiaTheme="minorEastAsia" w:cstheme="minorEastAsia"/>
                <w:bCs/>
                <w:kern w:val="0"/>
                <w:sz w:val="24"/>
              </w:rPr>
            </w:pPr>
          </w:p>
        </w:tc>
        <w:tc>
          <w:tcPr>
            <w:tcW w:w="716" w:type="dxa"/>
            <w:tcBorders>
              <w:top w:val="single" w:color="auto" w:sz="6" w:space="0"/>
              <w:left w:val="single" w:color="auto" w:sz="6" w:space="0"/>
              <w:bottom w:val="single" w:color="auto" w:sz="6" w:space="0"/>
              <w:right w:val="single" w:color="auto" w:sz="6" w:space="0"/>
            </w:tcBorders>
          </w:tcPr>
          <w:p>
            <w:pPr>
              <w:widowControl/>
              <w:ind w:firstLine="360" w:firstLineChars="150"/>
              <w:rPr>
                <w:rFonts w:asciiTheme="minorEastAsia" w:hAnsiTheme="minorEastAsia" w:eastAsiaTheme="minorEastAsia" w:cstheme="minorEastAsia"/>
                <w:bCs/>
                <w:kern w:val="0"/>
                <w:sz w:val="24"/>
              </w:rPr>
            </w:pPr>
          </w:p>
        </w:tc>
        <w:tc>
          <w:tcPr>
            <w:tcW w:w="716" w:type="dxa"/>
            <w:tcBorders>
              <w:top w:val="single" w:color="auto" w:sz="6" w:space="0"/>
              <w:left w:val="single" w:color="auto" w:sz="6" w:space="0"/>
              <w:bottom w:val="single" w:color="auto" w:sz="6" w:space="0"/>
              <w:right w:val="single" w:color="auto" w:sz="6" w:space="0"/>
            </w:tcBorders>
          </w:tcPr>
          <w:p>
            <w:pPr>
              <w:widowControl/>
              <w:ind w:firstLine="360" w:firstLineChars="150"/>
              <w:rPr>
                <w:rFonts w:asciiTheme="minorEastAsia" w:hAnsiTheme="minorEastAsia" w:eastAsiaTheme="minorEastAsia" w:cstheme="minorEastAsia"/>
                <w:bCs/>
                <w:kern w:val="0"/>
                <w:sz w:val="24"/>
              </w:rPr>
            </w:pPr>
          </w:p>
        </w:tc>
      </w:tr>
      <w:tr>
        <w:tblPrEx>
          <w:tblCellMar>
            <w:top w:w="0" w:type="dxa"/>
            <w:left w:w="108" w:type="dxa"/>
            <w:bottom w:w="0" w:type="dxa"/>
            <w:right w:w="108" w:type="dxa"/>
          </w:tblCellMar>
        </w:tblPrEx>
        <w:trPr>
          <w:trHeight w:val="379" w:hRule="atLeast"/>
          <w:jc w:val="center"/>
        </w:trPr>
        <w:tc>
          <w:tcPr>
            <w:tcW w:w="716" w:type="dxa"/>
            <w:tcBorders>
              <w:top w:val="single" w:color="auto" w:sz="6" w:space="0"/>
              <w:left w:val="single" w:color="auto" w:sz="6" w:space="0"/>
              <w:bottom w:val="single" w:color="auto" w:sz="6" w:space="0"/>
              <w:right w:val="single" w:color="auto" w:sz="6" w:space="0"/>
            </w:tcBorders>
          </w:tcPr>
          <w:p>
            <w:pPr>
              <w:pStyle w:val="14"/>
            </w:pPr>
          </w:p>
          <w:p>
            <w:pPr>
              <w:pStyle w:val="14"/>
            </w:pPr>
          </w:p>
        </w:tc>
        <w:tc>
          <w:tcPr>
            <w:tcW w:w="1554" w:type="dxa"/>
            <w:tcBorders>
              <w:top w:val="single" w:color="auto" w:sz="6" w:space="0"/>
              <w:left w:val="single" w:color="auto" w:sz="6" w:space="0"/>
              <w:bottom w:val="single" w:color="auto" w:sz="6" w:space="0"/>
              <w:right w:val="single" w:color="auto" w:sz="6" w:space="0"/>
            </w:tcBorders>
          </w:tcPr>
          <w:p>
            <w:pPr>
              <w:widowControl/>
              <w:ind w:firstLine="360" w:firstLineChars="150"/>
              <w:rPr>
                <w:rFonts w:asciiTheme="minorEastAsia" w:hAnsiTheme="minorEastAsia" w:eastAsiaTheme="minorEastAsia" w:cstheme="minorEastAsia"/>
                <w:bCs/>
                <w:kern w:val="0"/>
                <w:sz w:val="24"/>
              </w:rPr>
            </w:pPr>
          </w:p>
        </w:tc>
        <w:tc>
          <w:tcPr>
            <w:tcW w:w="1036" w:type="dxa"/>
            <w:tcBorders>
              <w:top w:val="single" w:color="auto" w:sz="6" w:space="0"/>
              <w:left w:val="single" w:color="auto" w:sz="6" w:space="0"/>
              <w:bottom w:val="single" w:color="auto" w:sz="6" w:space="0"/>
              <w:right w:val="single" w:color="auto" w:sz="4" w:space="0"/>
            </w:tcBorders>
          </w:tcPr>
          <w:p>
            <w:pPr>
              <w:widowControl/>
              <w:ind w:firstLine="360" w:firstLineChars="150"/>
              <w:rPr>
                <w:rFonts w:asciiTheme="minorEastAsia" w:hAnsiTheme="minorEastAsia" w:eastAsiaTheme="minorEastAsia" w:cstheme="minorEastAsia"/>
                <w:bCs/>
                <w:kern w:val="0"/>
                <w:sz w:val="24"/>
              </w:rPr>
            </w:pPr>
          </w:p>
        </w:tc>
        <w:tc>
          <w:tcPr>
            <w:tcW w:w="1036" w:type="dxa"/>
            <w:tcBorders>
              <w:top w:val="single" w:color="auto" w:sz="6" w:space="0"/>
              <w:left w:val="single" w:color="auto" w:sz="4" w:space="0"/>
              <w:bottom w:val="single" w:color="auto" w:sz="6" w:space="0"/>
              <w:right w:val="single" w:color="auto" w:sz="6" w:space="0"/>
            </w:tcBorders>
          </w:tcPr>
          <w:p>
            <w:pPr>
              <w:widowControl/>
              <w:ind w:firstLine="360" w:firstLineChars="150"/>
              <w:rPr>
                <w:rFonts w:asciiTheme="minorEastAsia" w:hAnsiTheme="minorEastAsia" w:eastAsiaTheme="minorEastAsia" w:cstheme="minorEastAsia"/>
                <w:bCs/>
                <w:kern w:val="0"/>
                <w:sz w:val="24"/>
              </w:rPr>
            </w:pPr>
          </w:p>
        </w:tc>
        <w:tc>
          <w:tcPr>
            <w:tcW w:w="716" w:type="dxa"/>
            <w:tcBorders>
              <w:top w:val="single" w:color="auto" w:sz="6" w:space="0"/>
              <w:left w:val="single" w:color="auto" w:sz="6" w:space="0"/>
              <w:bottom w:val="single" w:color="auto" w:sz="6" w:space="0"/>
              <w:right w:val="single" w:color="auto" w:sz="6" w:space="0"/>
            </w:tcBorders>
          </w:tcPr>
          <w:p>
            <w:pPr>
              <w:widowControl/>
              <w:ind w:firstLine="360" w:firstLineChars="150"/>
              <w:rPr>
                <w:rFonts w:asciiTheme="minorEastAsia" w:hAnsiTheme="minorEastAsia" w:eastAsiaTheme="minorEastAsia" w:cstheme="minorEastAsia"/>
                <w:bCs/>
                <w:kern w:val="0"/>
                <w:sz w:val="24"/>
              </w:rPr>
            </w:pPr>
          </w:p>
        </w:tc>
        <w:tc>
          <w:tcPr>
            <w:tcW w:w="1676" w:type="dxa"/>
            <w:tcBorders>
              <w:top w:val="single" w:color="auto" w:sz="6" w:space="0"/>
              <w:left w:val="single" w:color="auto" w:sz="6" w:space="0"/>
              <w:bottom w:val="single" w:color="auto" w:sz="6" w:space="0"/>
              <w:right w:val="single" w:color="auto" w:sz="6" w:space="0"/>
            </w:tcBorders>
          </w:tcPr>
          <w:p>
            <w:pPr>
              <w:widowControl/>
              <w:ind w:firstLine="360" w:firstLineChars="150"/>
              <w:rPr>
                <w:rFonts w:asciiTheme="minorEastAsia" w:hAnsiTheme="minorEastAsia" w:eastAsiaTheme="minorEastAsia" w:cstheme="minorEastAsia"/>
                <w:bCs/>
                <w:kern w:val="0"/>
                <w:sz w:val="24"/>
              </w:rPr>
            </w:pPr>
          </w:p>
        </w:tc>
        <w:tc>
          <w:tcPr>
            <w:tcW w:w="716" w:type="dxa"/>
            <w:tcBorders>
              <w:top w:val="single" w:color="auto" w:sz="6" w:space="0"/>
              <w:left w:val="single" w:color="auto" w:sz="6" w:space="0"/>
              <w:bottom w:val="single" w:color="auto" w:sz="6" w:space="0"/>
              <w:right w:val="single" w:color="auto" w:sz="6" w:space="0"/>
            </w:tcBorders>
          </w:tcPr>
          <w:p>
            <w:pPr>
              <w:widowControl/>
              <w:ind w:firstLine="360" w:firstLineChars="150"/>
              <w:rPr>
                <w:rFonts w:asciiTheme="minorEastAsia" w:hAnsiTheme="minorEastAsia" w:eastAsiaTheme="minorEastAsia" w:cstheme="minorEastAsia"/>
                <w:bCs/>
                <w:kern w:val="0"/>
                <w:sz w:val="24"/>
              </w:rPr>
            </w:pPr>
          </w:p>
        </w:tc>
        <w:tc>
          <w:tcPr>
            <w:tcW w:w="716" w:type="dxa"/>
            <w:tcBorders>
              <w:top w:val="single" w:color="auto" w:sz="6" w:space="0"/>
              <w:left w:val="single" w:color="auto" w:sz="6" w:space="0"/>
              <w:bottom w:val="single" w:color="auto" w:sz="6" w:space="0"/>
              <w:right w:val="single" w:color="auto" w:sz="6" w:space="0"/>
            </w:tcBorders>
          </w:tcPr>
          <w:p>
            <w:pPr>
              <w:widowControl/>
              <w:ind w:firstLine="360" w:firstLineChars="150"/>
              <w:rPr>
                <w:rFonts w:asciiTheme="minorEastAsia" w:hAnsiTheme="minorEastAsia" w:eastAsiaTheme="minorEastAsia" w:cstheme="minorEastAsia"/>
                <w:bCs/>
                <w:kern w:val="0"/>
                <w:sz w:val="24"/>
              </w:rPr>
            </w:pPr>
          </w:p>
        </w:tc>
        <w:tc>
          <w:tcPr>
            <w:tcW w:w="716" w:type="dxa"/>
            <w:tcBorders>
              <w:top w:val="single" w:color="auto" w:sz="6" w:space="0"/>
              <w:left w:val="single" w:color="auto" w:sz="6" w:space="0"/>
              <w:bottom w:val="single" w:color="auto" w:sz="6" w:space="0"/>
              <w:right w:val="single" w:color="auto" w:sz="6" w:space="0"/>
            </w:tcBorders>
          </w:tcPr>
          <w:p>
            <w:pPr>
              <w:widowControl/>
              <w:ind w:firstLine="360" w:firstLineChars="150"/>
              <w:rPr>
                <w:rFonts w:asciiTheme="minorEastAsia" w:hAnsiTheme="minorEastAsia" w:eastAsiaTheme="minorEastAsia" w:cstheme="minorEastAsia"/>
                <w:bCs/>
                <w:kern w:val="0"/>
                <w:sz w:val="24"/>
              </w:rPr>
            </w:pPr>
          </w:p>
        </w:tc>
      </w:tr>
      <w:tr>
        <w:tblPrEx>
          <w:tblCellMar>
            <w:top w:w="0" w:type="dxa"/>
            <w:left w:w="108" w:type="dxa"/>
            <w:bottom w:w="0" w:type="dxa"/>
            <w:right w:w="108" w:type="dxa"/>
          </w:tblCellMar>
        </w:tblPrEx>
        <w:trPr>
          <w:trHeight w:val="379" w:hRule="atLeast"/>
          <w:jc w:val="center"/>
        </w:trPr>
        <w:tc>
          <w:tcPr>
            <w:tcW w:w="716" w:type="dxa"/>
            <w:tcBorders>
              <w:top w:val="single" w:color="auto" w:sz="6" w:space="0"/>
              <w:left w:val="single" w:color="auto" w:sz="6" w:space="0"/>
              <w:bottom w:val="single" w:color="auto" w:sz="6" w:space="0"/>
              <w:right w:val="single" w:color="auto" w:sz="6" w:space="0"/>
            </w:tcBorders>
          </w:tcPr>
          <w:p>
            <w:pPr>
              <w:pStyle w:val="14"/>
            </w:pPr>
          </w:p>
        </w:tc>
        <w:tc>
          <w:tcPr>
            <w:tcW w:w="1554" w:type="dxa"/>
            <w:tcBorders>
              <w:top w:val="single" w:color="auto" w:sz="6" w:space="0"/>
              <w:left w:val="single" w:color="auto" w:sz="6" w:space="0"/>
              <w:bottom w:val="single" w:color="auto" w:sz="6" w:space="0"/>
              <w:right w:val="single" w:color="auto" w:sz="6" w:space="0"/>
            </w:tcBorders>
          </w:tcPr>
          <w:p>
            <w:pPr>
              <w:widowControl/>
              <w:ind w:firstLine="360" w:firstLineChars="150"/>
              <w:rPr>
                <w:rFonts w:asciiTheme="minorEastAsia" w:hAnsiTheme="minorEastAsia" w:eastAsiaTheme="minorEastAsia" w:cstheme="minorEastAsia"/>
                <w:bCs/>
                <w:kern w:val="0"/>
                <w:sz w:val="24"/>
              </w:rPr>
            </w:pPr>
          </w:p>
        </w:tc>
        <w:tc>
          <w:tcPr>
            <w:tcW w:w="1036" w:type="dxa"/>
            <w:tcBorders>
              <w:top w:val="single" w:color="auto" w:sz="6" w:space="0"/>
              <w:left w:val="single" w:color="auto" w:sz="6" w:space="0"/>
              <w:bottom w:val="single" w:color="auto" w:sz="6" w:space="0"/>
              <w:right w:val="single" w:color="auto" w:sz="4" w:space="0"/>
            </w:tcBorders>
          </w:tcPr>
          <w:p>
            <w:pPr>
              <w:widowControl/>
              <w:ind w:firstLine="360" w:firstLineChars="150"/>
              <w:rPr>
                <w:rFonts w:asciiTheme="minorEastAsia" w:hAnsiTheme="minorEastAsia" w:eastAsiaTheme="minorEastAsia" w:cstheme="minorEastAsia"/>
                <w:bCs/>
                <w:kern w:val="0"/>
                <w:sz w:val="24"/>
              </w:rPr>
            </w:pPr>
          </w:p>
        </w:tc>
        <w:tc>
          <w:tcPr>
            <w:tcW w:w="1036" w:type="dxa"/>
            <w:tcBorders>
              <w:top w:val="single" w:color="auto" w:sz="6" w:space="0"/>
              <w:left w:val="single" w:color="auto" w:sz="4" w:space="0"/>
              <w:bottom w:val="single" w:color="auto" w:sz="6" w:space="0"/>
              <w:right w:val="single" w:color="auto" w:sz="6" w:space="0"/>
            </w:tcBorders>
          </w:tcPr>
          <w:p>
            <w:pPr>
              <w:widowControl/>
              <w:ind w:firstLine="360" w:firstLineChars="150"/>
              <w:rPr>
                <w:rFonts w:asciiTheme="minorEastAsia" w:hAnsiTheme="minorEastAsia" w:eastAsiaTheme="minorEastAsia" w:cstheme="minorEastAsia"/>
                <w:bCs/>
                <w:kern w:val="0"/>
                <w:sz w:val="24"/>
              </w:rPr>
            </w:pPr>
          </w:p>
        </w:tc>
        <w:tc>
          <w:tcPr>
            <w:tcW w:w="716" w:type="dxa"/>
            <w:tcBorders>
              <w:top w:val="single" w:color="auto" w:sz="6" w:space="0"/>
              <w:left w:val="single" w:color="auto" w:sz="6" w:space="0"/>
              <w:bottom w:val="single" w:color="auto" w:sz="6" w:space="0"/>
              <w:right w:val="single" w:color="auto" w:sz="6" w:space="0"/>
            </w:tcBorders>
          </w:tcPr>
          <w:p>
            <w:pPr>
              <w:widowControl/>
              <w:ind w:firstLine="360" w:firstLineChars="150"/>
              <w:rPr>
                <w:rFonts w:asciiTheme="minorEastAsia" w:hAnsiTheme="minorEastAsia" w:eastAsiaTheme="minorEastAsia" w:cstheme="minorEastAsia"/>
                <w:bCs/>
                <w:kern w:val="0"/>
                <w:sz w:val="24"/>
              </w:rPr>
            </w:pPr>
          </w:p>
        </w:tc>
        <w:tc>
          <w:tcPr>
            <w:tcW w:w="1676" w:type="dxa"/>
            <w:tcBorders>
              <w:top w:val="single" w:color="auto" w:sz="6" w:space="0"/>
              <w:left w:val="single" w:color="auto" w:sz="6" w:space="0"/>
              <w:bottom w:val="single" w:color="auto" w:sz="6" w:space="0"/>
              <w:right w:val="single" w:color="auto" w:sz="6" w:space="0"/>
            </w:tcBorders>
          </w:tcPr>
          <w:p>
            <w:pPr>
              <w:widowControl/>
              <w:ind w:firstLine="360" w:firstLineChars="150"/>
              <w:rPr>
                <w:rFonts w:asciiTheme="minorEastAsia" w:hAnsiTheme="minorEastAsia" w:eastAsiaTheme="minorEastAsia" w:cstheme="minorEastAsia"/>
                <w:bCs/>
                <w:kern w:val="0"/>
                <w:sz w:val="24"/>
              </w:rPr>
            </w:pPr>
          </w:p>
        </w:tc>
        <w:tc>
          <w:tcPr>
            <w:tcW w:w="716" w:type="dxa"/>
            <w:tcBorders>
              <w:top w:val="single" w:color="auto" w:sz="6" w:space="0"/>
              <w:left w:val="single" w:color="auto" w:sz="6" w:space="0"/>
              <w:bottom w:val="single" w:color="auto" w:sz="6" w:space="0"/>
              <w:right w:val="single" w:color="auto" w:sz="6" w:space="0"/>
            </w:tcBorders>
          </w:tcPr>
          <w:p>
            <w:pPr>
              <w:widowControl/>
              <w:ind w:firstLine="360" w:firstLineChars="150"/>
              <w:rPr>
                <w:rFonts w:asciiTheme="minorEastAsia" w:hAnsiTheme="minorEastAsia" w:eastAsiaTheme="minorEastAsia" w:cstheme="minorEastAsia"/>
                <w:bCs/>
                <w:kern w:val="0"/>
                <w:sz w:val="24"/>
              </w:rPr>
            </w:pPr>
          </w:p>
        </w:tc>
        <w:tc>
          <w:tcPr>
            <w:tcW w:w="716" w:type="dxa"/>
            <w:tcBorders>
              <w:top w:val="single" w:color="auto" w:sz="6" w:space="0"/>
              <w:left w:val="single" w:color="auto" w:sz="6" w:space="0"/>
              <w:bottom w:val="single" w:color="auto" w:sz="6" w:space="0"/>
              <w:right w:val="single" w:color="auto" w:sz="6" w:space="0"/>
            </w:tcBorders>
          </w:tcPr>
          <w:p>
            <w:pPr>
              <w:widowControl/>
              <w:ind w:firstLine="360" w:firstLineChars="150"/>
              <w:rPr>
                <w:rFonts w:asciiTheme="minorEastAsia" w:hAnsiTheme="minorEastAsia" w:eastAsiaTheme="minorEastAsia" w:cstheme="minorEastAsia"/>
                <w:bCs/>
                <w:kern w:val="0"/>
                <w:sz w:val="24"/>
              </w:rPr>
            </w:pPr>
          </w:p>
        </w:tc>
        <w:tc>
          <w:tcPr>
            <w:tcW w:w="716" w:type="dxa"/>
            <w:tcBorders>
              <w:top w:val="single" w:color="auto" w:sz="6" w:space="0"/>
              <w:left w:val="single" w:color="auto" w:sz="6" w:space="0"/>
              <w:bottom w:val="single" w:color="auto" w:sz="6" w:space="0"/>
              <w:right w:val="single" w:color="auto" w:sz="6" w:space="0"/>
            </w:tcBorders>
          </w:tcPr>
          <w:p>
            <w:pPr>
              <w:widowControl/>
              <w:ind w:firstLine="360" w:firstLineChars="150"/>
              <w:rPr>
                <w:rFonts w:asciiTheme="minorEastAsia" w:hAnsiTheme="minorEastAsia" w:eastAsiaTheme="minorEastAsia" w:cstheme="minorEastAsia"/>
                <w:bCs/>
                <w:kern w:val="0"/>
                <w:sz w:val="24"/>
              </w:rPr>
            </w:pPr>
          </w:p>
        </w:tc>
      </w:tr>
      <w:tr>
        <w:tblPrEx>
          <w:tblCellMar>
            <w:top w:w="0" w:type="dxa"/>
            <w:left w:w="108" w:type="dxa"/>
            <w:bottom w:w="0" w:type="dxa"/>
            <w:right w:w="108" w:type="dxa"/>
          </w:tblCellMar>
        </w:tblPrEx>
        <w:trPr>
          <w:trHeight w:val="379" w:hRule="atLeast"/>
          <w:jc w:val="center"/>
        </w:trPr>
        <w:tc>
          <w:tcPr>
            <w:tcW w:w="716" w:type="dxa"/>
            <w:tcBorders>
              <w:top w:val="single" w:color="auto" w:sz="6" w:space="0"/>
              <w:left w:val="single" w:color="auto" w:sz="6" w:space="0"/>
              <w:bottom w:val="single" w:color="auto" w:sz="6" w:space="0"/>
              <w:right w:val="single" w:color="auto" w:sz="6" w:space="0"/>
            </w:tcBorders>
          </w:tcPr>
          <w:p>
            <w:pPr>
              <w:pStyle w:val="14"/>
            </w:pPr>
          </w:p>
        </w:tc>
        <w:tc>
          <w:tcPr>
            <w:tcW w:w="1554" w:type="dxa"/>
            <w:tcBorders>
              <w:top w:val="single" w:color="auto" w:sz="6" w:space="0"/>
              <w:left w:val="single" w:color="auto" w:sz="6" w:space="0"/>
              <w:bottom w:val="single" w:color="auto" w:sz="6" w:space="0"/>
              <w:right w:val="single" w:color="auto" w:sz="6" w:space="0"/>
            </w:tcBorders>
          </w:tcPr>
          <w:p>
            <w:pPr>
              <w:widowControl/>
              <w:ind w:firstLine="360" w:firstLineChars="150"/>
              <w:rPr>
                <w:rFonts w:asciiTheme="minorEastAsia" w:hAnsiTheme="minorEastAsia" w:eastAsiaTheme="minorEastAsia" w:cstheme="minorEastAsia"/>
                <w:bCs/>
                <w:kern w:val="0"/>
                <w:sz w:val="24"/>
              </w:rPr>
            </w:pPr>
          </w:p>
        </w:tc>
        <w:tc>
          <w:tcPr>
            <w:tcW w:w="1036" w:type="dxa"/>
            <w:tcBorders>
              <w:top w:val="single" w:color="auto" w:sz="6" w:space="0"/>
              <w:left w:val="single" w:color="auto" w:sz="6" w:space="0"/>
              <w:bottom w:val="single" w:color="auto" w:sz="6" w:space="0"/>
              <w:right w:val="single" w:color="auto" w:sz="4" w:space="0"/>
            </w:tcBorders>
          </w:tcPr>
          <w:p>
            <w:pPr>
              <w:widowControl/>
              <w:ind w:firstLine="360" w:firstLineChars="150"/>
              <w:rPr>
                <w:rFonts w:asciiTheme="minorEastAsia" w:hAnsiTheme="minorEastAsia" w:eastAsiaTheme="minorEastAsia" w:cstheme="minorEastAsia"/>
                <w:bCs/>
                <w:kern w:val="0"/>
                <w:sz w:val="24"/>
              </w:rPr>
            </w:pPr>
          </w:p>
        </w:tc>
        <w:tc>
          <w:tcPr>
            <w:tcW w:w="1036" w:type="dxa"/>
            <w:tcBorders>
              <w:top w:val="single" w:color="auto" w:sz="6" w:space="0"/>
              <w:left w:val="single" w:color="auto" w:sz="4" w:space="0"/>
              <w:bottom w:val="single" w:color="auto" w:sz="6" w:space="0"/>
              <w:right w:val="single" w:color="auto" w:sz="6" w:space="0"/>
            </w:tcBorders>
          </w:tcPr>
          <w:p>
            <w:pPr>
              <w:widowControl/>
              <w:ind w:firstLine="360" w:firstLineChars="150"/>
              <w:rPr>
                <w:rFonts w:asciiTheme="minorEastAsia" w:hAnsiTheme="minorEastAsia" w:eastAsiaTheme="minorEastAsia" w:cstheme="minorEastAsia"/>
                <w:bCs/>
                <w:kern w:val="0"/>
                <w:sz w:val="24"/>
              </w:rPr>
            </w:pPr>
          </w:p>
        </w:tc>
        <w:tc>
          <w:tcPr>
            <w:tcW w:w="716" w:type="dxa"/>
            <w:tcBorders>
              <w:top w:val="single" w:color="auto" w:sz="6" w:space="0"/>
              <w:left w:val="single" w:color="auto" w:sz="6" w:space="0"/>
              <w:bottom w:val="single" w:color="auto" w:sz="6" w:space="0"/>
              <w:right w:val="single" w:color="auto" w:sz="6" w:space="0"/>
            </w:tcBorders>
          </w:tcPr>
          <w:p>
            <w:pPr>
              <w:widowControl/>
              <w:ind w:firstLine="360" w:firstLineChars="150"/>
              <w:rPr>
                <w:rFonts w:asciiTheme="minorEastAsia" w:hAnsiTheme="minorEastAsia" w:eastAsiaTheme="minorEastAsia" w:cstheme="minorEastAsia"/>
                <w:bCs/>
                <w:kern w:val="0"/>
                <w:sz w:val="24"/>
              </w:rPr>
            </w:pPr>
          </w:p>
        </w:tc>
        <w:tc>
          <w:tcPr>
            <w:tcW w:w="1676" w:type="dxa"/>
            <w:tcBorders>
              <w:top w:val="single" w:color="auto" w:sz="6" w:space="0"/>
              <w:left w:val="single" w:color="auto" w:sz="6" w:space="0"/>
              <w:bottom w:val="single" w:color="auto" w:sz="6" w:space="0"/>
              <w:right w:val="single" w:color="auto" w:sz="6" w:space="0"/>
            </w:tcBorders>
          </w:tcPr>
          <w:p>
            <w:pPr>
              <w:widowControl/>
              <w:ind w:firstLine="360" w:firstLineChars="150"/>
              <w:rPr>
                <w:rFonts w:asciiTheme="minorEastAsia" w:hAnsiTheme="minorEastAsia" w:eastAsiaTheme="minorEastAsia" w:cstheme="minorEastAsia"/>
                <w:bCs/>
                <w:kern w:val="0"/>
                <w:sz w:val="24"/>
              </w:rPr>
            </w:pPr>
          </w:p>
        </w:tc>
        <w:tc>
          <w:tcPr>
            <w:tcW w:w="716" w:type="dxa"/>
            <w:tcBorders>
              <w:top w:val="single" w:color="auto" w:sz="6" w:space="0"/>
              <w:left w:val="single" w:color="auto" w:sz="6" w:space="0"/>
              <w:bottom w:val="single" w:color="auto" w:sz="6" w:space="0"/>
              <w:right w:val="single" w:color="auto" w:sz="6" w:space="0"/>
            </w:tcBorders>
          </w:tcPr>
          <w:p>
            <w:pPr>
              <w:widowControl/>
              <w:ind w:firstLine="360" w:firstLineChars="150"/>
              <w:rPr>
                <w:rFonts w:asciiTheme="minorEastAsia" w:hAnsiTheme="minorEastAsia" w:eastAsiaTheme="minorEastAsia" w:cstheme="minorEastAsia"/>
                <w:bCs/>
                <w:kern w:val="0"/>
                <w:sz w:val="24"/>
              </w:rPr>
            </w:pPr>
          </w:p>
        </w:tc>
        <w:tc>
          <w:tcPr>
            <w:tcW w:w="716" w:type="dxa"/>
            <w:tcBorders>
              <w:top w:val="single" w:color="auto" w:sz="6" w:space="0"/>
              <w:left w:val="single" w:color="auto" w:sz="6" w:space="0"/>
              <w:bottom w:val="single" w:color="auto" w:sz="6" w:space="0"/>
              <w:right w:val="single" w:color="auto" w:sz="6" w:space="0"/>
            </w:tcBorders>
          </w:tcPr>
          <w:p>
            <w:pPr>
              <w:widowControl/>
              <w:ind w:firstLine="360" w:firstLineChars="150"/>
              <w:rPr>
                <w:rFonts w:asciiTheme="minorEastAsia" w:hAnsiTheme="minorEastAsia" w:eastAsiaTheme="minorEastAsia" w:cstheme="minorEastAsia"/>
                <w:bCs/>
                <w:kern w:val="0"/>
                <w:sz w:val="24"/>
              </w:rPr>
            </w:pPr>
          </w:p>
        </w:tc>
        <w:tc>
          <w:tcPr>
            <w:tcW w:w="716" w:type="dxa"/>
            <w:tcBorders>
              <w:top w:val="single" w:color="auto" w:sz="6" w:space="0"/>
              <w:left w:val="single" w:color="auto" w:sz="6" w:space="0"/>
              <w:bottom w:val="single" w:color="auto" w:sz="6" w:space="0"/>
              <w:right w:val="single" w:color="auto" w:sz="6" w:space="0"/>
            </w:tcBorders>
          </w:tcPr>
          <w:p>
            <w:pPr>
              <w:widowControl/>
              <w:ind w:firstLine="360" w:firstLineChars="150"/>
              <w:rPr>
                <w:rFonts w:asciiTheme="minorEastAsia" w:hAnsiTheme="minorEastAsia" w:eastAsiaTheme="minorEastAsia" w:cstheme="minorEastAsia"/>
                <w:bCs/>
                <w:kern w:val="0"/>
                <w:sz w:val="24"/>
              </w:rPr>
            </w:pPr>
          </w:p>
        </w:tc>
      </w:tr>
      <w:tr>
        <w:tblPrEx>
          <w:tblCellMar>
            <w:top w:w="0" w:type="dxa"/>
            <w:left w:w="108" w:type="dxa"/>
            <w:bottom w:w="0" w:type="dxa"/>
            <w:right w:w="108" w:type="dxa"/>
          </w:tblCellMar>
        </w:tblPrEx>
        <w:trPr>
          <w:trHeight w:val="379" w:hRule="atLeast"/>
          <w:jc w:val="center"/>
        </w:trPr>
        <w:tc>
          <w:tcPr>
            <w:tcW w:w="716" w:type="dxa"/>
            <w:tcBorders>
              <w:top w:val="single" w:color="auto" w:sz="6" w:space="0"/>
              <w:left w:val="single" w:color="auto" w:sz="6" w:space="0"/>
              <w:bottom w:val="single" w:color="auto" w:sz="6" w:space="0"/>
              <w:right w:val="single" w:color="auto" w:sz="6" w:space="0"/>
            </w:tcBorders>
          </w:tcPr>
          <w:p>
            <w:pPr>
              <w:pStyle w:val="14"/>
            </w:pPr>
          </w:p>
        </w:tc>
        <w:tc>
          <w:tcPr>
            <w:tcW w:w="1554" w:type="dxa"/>
            <w:tcBorders>
              <w:top w:val="single" w:color="auto" w:sz="6" w:space="0"/>
              <w:left w:val="single" w:color="auto" w:sz="6" w:space="0"/>
              <w:bottom w:val="single" w:color="auto" w:sz="6" w:space="0"/>
              <w:right w:val="single" w:color="auto" w:sz="6" w:space="0"/>
            </w:tcBorders>
          </w:tcPr>
          <w:p>
            <w:pPr>
              <w:widowControl/>
              <w:ind w:firstLine="360" w:firstLineChars="150"/>
              <w:rPr>
                <w:rFonts w:asciiTheme="minorEastAsia" w:hAnsiTheme="minorEastAsia" w:eastAsiaTheme="minorEastAsia" w:cstheme="minorEastAsia"/>
                <w:bCs/>
                <w:kern w:val="0"/>
                <w:sz w:val="24"/>
              </w:rPr>
            </w:pPr>
          </w:p>
        </w:tc>
        <w:tc>
          <w:tcPr>
            <w:tcW w:w="1036" w:type="dxa"/>
            <w:tcBorders>
              <w:top w:val="single" w:color="auto" w:sz="6" w:space="0"/>
              <w:left w:val="single" w:color="auto" w:sz="6" w:space="0"/>
              <w:bottom w:val="single" w:color="auto" w:sz="6" w:space="0"/>
              <w:right w:val="single" w:color="auto" w:sz="4" w:space="0"/>
            </w:tcBorders>
          </w:tcPr>
          <w:p>
            <w:pPr>
              <w:widowControl/>
              <w:ind w:firstLine="360" w:firstLineChars="150"/>
              <w:rPr>
                <w:rFonts w:asciiTheme="minorEastAsia" w:hAnsiTheme="minorEastAsia" w:eastAsiaTheme="minorEastAsia" w:cstheme="minorEastAsia"/>
                <w:bCs/>
                <w:kern w:val="0"/>
                <w:sz w:val="24"/>
              </w:rPr>
            </w:pPr>
          </w:p>
        </w:tc>
        <w:tc>
          <w:tcPr>
            <w:tcW w:w="1036" w:type="dxa"/>
            <w:tcBorders>
              <w:top w:val="single" w:color="auto" w:sz="6" w:space="0"/>
              <w:left w:val="single" w:color="auto" w:sz="4" w:space="0"/>
              <w:bottom w:val="single" w:color="auto" w:sz="6" w:space="0"/>
              <w:right w:val="single" w:color="auto" w:sz="6" w:space="0"/>
            </w:tcBorders>
          </w:tcPr>
          <w:p>
            <w:pPr>
              <w:widowControl/>
              <w:ind w:firstLine="360" w:firstLineChars="150"/>
              <w:rPr>
                <w:rFonts w:asciiTheme="minorEastAsia" w:hAnsiTheme="minorEastAsia" w:eastAsiaTheme="minorEastAsia" w:cstheme="minorEastAsia"/>
                <w:bCs/>
                <w:kern w:val="0"/>
                <w:sz w:val="24"/>
              </w:rPr>
            </w:pPr>
          </w:p>
        </w:tc>
        <w:tc>
          <w:tcPr>
            <w:tcW w:w="716" w:type="dxa"/>
            <w:tcBorders>
              <w:top w:val="single" w:color="auto" w:sz="6" w:space="0"/>
              <w:left w:val="single" w:color="auto" w:sz="6" w:space="0"/>
              <w:bottom w:val="single" w:color="auto" w:sz="6" w:space="0"/>
              <w:right w:val="single" w:color="auto" w:sz="6" w:space="0"/>
            </w:tcBorders>
          </w:tcPr>
          <w:p>
            <w:pPr>
              <w:widowControl/>
              <w:ind w:firstLine="360" w:firstLineChars="150"/>
              <w:rPr>
                <w:rFonts w:asciiTheme="minorEastAsia" w:hAnsiTheme="minorEastAsia" w:eastAsiaTheme="minorEastAsia" w:cstheme="minorEastAsia"/>
                <w:bCs/>
                <w:kern w:val="0"/>
                <w:sz w:val="24"/>
              </w:rPr>
            </w:pPr>
          </w:p>
        </w:tc>
        <w:tc>
          <w:tcPr>
            <w:tcW w:w="1676" w:type="dxa"/>
            <w:tcBorders>
              <w:top w:val="single" w:color="auto" w:sz="6" w:space="0"/>
              <w:left w:val="single" w:color="auto" w:sz="6" w:space="0"/>
              <w:bottom w:val="single" w:color="auto" w:sz="6" w:space="0"/>
              <w:right w:val="single" w:color="auto" w:sz="6" w:space="0"/>
            </w:tcBorders>
          </w:tcPr>
          <w:p>
            <w:pPr>
              <w:widowControl/>
              <w:ind w:firstLine="360" w:firstLineChars="150"/>
              <w:rPr>
                <w:rFonts w:asciiTheme="minorEastAsia" w:hAnsiTheme="minorEastAsia" w:eastAsiaTheme="minorEastAsia" w:cstheme="minorEastAsia"/>
                <w:bCs/>
                <w:kern w:val="0"/>
                <w:sz w:val="24"/>
              </w:rPr>
            </w:pPr>
          </w:p>
        </w:tc>
        <w:tc>
          <w:tcPr>
            <w:tcW w:w="716" w:type="dxa"/>
            <w:tcBorders>
              <w:top w:val="single" w:color="auto" w:sz="6" w:space="0"/>
              <w:left w:val="single" w:color="auto" w:sz="6" w:space="0"/>
              <w:bottom w:val="single" w:color="auto" w:sz="6" w:space="0"/>
              <w:right w:val="single" w:color="auto" w:sz="6" w:space="0"/>
            </w:tcBorders>
          </w:tcPr>
          <w:p>
            <w:pPr>
              <w:widowControl/>
              <w:ind w:firstLine="360" w:firstLineChars="150"/>
              <w:rPr>
                <w:rFonts w:asciiTheme="minorEastAsia" w:hAnsiTheme="minorEastAsia" w:eastAsiaTheme="minorEastAsia" w:cstheme="minorEastAsia"/>
                <w:bCs/>
                <w:kern w:val="0"/>
                <w:sz w:val="24"/>
              </w:rPr>
            </w:pPr>
          </w:p>
        </w:tc>
        <w:tc>
          <w:tcPr>
            <w:tcW w:w="716" w:type="dxa"/>
            <w:tcBorders>
              <w:top w:val="single" w:color="auto" w:sz="6" w:space="0"/>
              <w:left w:val="single" w:color="auto" w:sz="6" w:space="0"/>
              <w:bottom w:val="single" w:color="auto" w:sz="6" w:space="0"/>
              <w:right w:val="single" w:color="auto" w:sz="6" w:space="0"/>
            </w:tcBorders>
          </w:tcPr>
          <w:p>
            <w:pPr>
              <w:widowControl/>
              <w:ind w:firstLine="360" w:firstLineChars="150"/>
              <w:rPr>
                <w:rFonts w:asciiTheme="minorEastAsia" w:hAnsiTheme="minorEastAsia" w:eastAsiaTheme="minorEastAsia" w:cstheme="minorEastAsia"/>
                <w:bCs/>
                <w:kern w:val="0"/>
                <w:sz w:val="24"/>
              </w:rPr>
            </w:pPr>
          </w:p>
        </w:tc>
        <w:tc>
          <w:tcPr>
            <w:tcW w:w="716" w:type="dxa"/>
            <w:tcBorders>
              <w:top w:val="single" w:color="auto" w:sz="6" w:space="0"/>
              <w:left w:val="single" w:color="auto" w:sz="6" w:space="0"/>
              <w:bottom w:val="single" w:color="auto" w:sz="6" w:space="0"/>
              <w:right w:val="single" w:color="auto" w:sz="6" w:space="0"/>
            </w:tcBorders>
          </w:tcPr>
          <w:p>
            <w:pPr>
              <w:widowControl/>
              <w:ind w:firstLine="360" w:firstLineChars="150"/>
              <w:rPr>
                <w:rFonts w:asciiTheme="minorEastAsia" w:hAnsiTheme="minorEastAsia" w:eastAsiaTheme="minorEastAsia" w:cstheme="minorEastAsia"/>
                <w:bCs/>
                <w:kern w:val="0"/>
                <w:sz w:val="24"/>
              </w:rPr>
            </w:pPr>
          </w:p>
        </w:tc>
      </w:tr>
      <w:tr>
        <w:tblPrEx>
          <w:tblCellMar>
            <w:top w:w="0" w:type="dxa"/>
            <w:left w:w="108" w:type="dxa"/>
            <w:bottom w:w="0" w:type="dxa"/>
            <w:right w:w="108" w:type="dxa"/>
          </w:tblCellMar>
        </w:tblPrEx>
        <w:trPr>
          <w:trHeight w:val="379" w:hRule="atLeast"/>
          <w:jc w:val="center"/>
        </w:trPr>
        <w:tc>
          <w:tcPr>
            <w:tcW w:w="716" w:type="dxa"/>
            <w:tcBorders>
              <w:top w:val="single" w:color="auto" w:sz="6" w:space="0"/>
              <w:left w:val="single" w:color="auto" w:sz="6" w:space="0"/>
              <w:bottom w:val="single" w:color="auto" w:sz="6" w:space="0"/>
              <w:right w:val="single" w:color="auto" w:sz="6" w:space="0"/>
            </w:tcBorders>
          </w:tcPr>
          <w:p>
            <w:pPr>
              <w:pStyle w:val="14"/>
            </w:pPr>
          </w:p>
        </w:tc>
        <w:tc>
          <w:tcPr>
            <w:tcW w:w="1554" w:type="dxa"/>
            <w:tcBorders>
              <w:top w:val="single" w:color="auto" w:sz="6" w:space="0"/>
              <w:left w:val="single" w:color="auto" w:sz="6" w:space="0"/>
              <w:bottom w:val="single" w:color="auto" w:sz="6" w:space="0"/>
              <w:right w:val="single" w:color="auto" w:sz="6" w:space="0"/>
            </w:tcBorders>
          </w:tcPr>
          <w:p>
            <w:pPr>
              <w:widowControl/>
              <w:ind w:firstLine="360" w:firstLineChars="150"/>
              <w:rPr>
                <w:rFonts w:asciiTheme="minorEastAsia" w:hAnsiTheme="minorEastAsia" w:eastAsiaTheme="minorEastAsia" w:cstheme="minorEastAsia"/>
                <w:bCs/>
                <w:kern w:val="0"/>
                <w:sz w:val="24"/>
              </w:rPr>
            </w:pPr>
          </w:p>
        </w:tc>
        <w:tc>
          <w:tcPr>
            <w:tcW w:w="1036" w:type="dxa"/>
            <w:tcBorders>
              <w:top w:val="single" w:color="auto" w:sz="6" w:space="0"/>
              <w:left w:val="single" w:color="auto" w:sz="6" w:space="0"/>
              <w:bottom w:val="single" w:color="auto" w:sz="6" w:space="0"/>
              <w:right w:val="single" w:color="auto" w:sz="4" w:space="0"/>
            </w:tcBorders>
          </w:tcPr>
          <w:p>
            <w:pPr>
              <w:widowControl/>
              <w:ind w:firstLine="360" w:firstLineChars="150"/>
              <w:rPr>
                <w:rFonts w:asciiTheme="minorEastAsia" w:hAnsiTheme="minorEastAsia" w:eastAsiaTheme="minorEastAsia" w:cstheme="minorEastAsia"/>
                <w:bCs/>
                <w:kern w:val="0"/>
                <w:sz w:val="24"/>
              </w:rPr>
            </w:pPr>
          </w:p>
        </w:tc>
        <w:tc>
          <w:tcPr>
            <w:tcW w:w="1036" w:type="dxa"/>
            <w:tcBorders>
              <w:top w:val="single" w:color="auto" w:sz="6" w:space="0"/>
              <w:left w:val="single" w:color="auto" w:sz="4" w:space="0"/>
              <w:bottom w:val="single" w:color="auto" w:sz="6" w:space="0"/>
              <w:right w:val="single" w:color="auto" w:sz="6" w:space="0"/>
            </w:tcBorders>
          </w:tcPr>
          <w:p>
            <w:pPr>
              <w:widowControl/>
              <w:ind w:firstLine="360" w:firstLineChars="150"/>
              <w:rPr>
                <w:rFonts w:asciiTheme="minorEastAsia" w:hAnsiTheme="minorEastAsia" w:eastAsiaTheme="minorEastAsia" w:cstheme="minorEastAsia"/>
                <w:bCs/>
                <w:kern w:val="0"/>
                <w:sz w:val="24"/>
              </w:rPr>
            </w:pPr>
          </w:p>
        </w:tc>
        <w:tc>
          <w:tcPr>
            <w:tcW w:w="716" w:type="dxa"/>
            <w:tcBorders>
              <w:top w:val="single" w:color="auto" w:sz="6" w:space="0"/>
              <w:left w:val="single" w:color="auto" w:sz="6" w:space="0"/>
              <w:bottom w:val="single" w:color="auto" w:sz="6" w:space="0"/>
              <w:right w:val="single" w:color="auto" w:sz="6" w:space="0"/>
            </w:tcBorders>
          </w:tcPr>
          <w:p>
            <w:pPr>
              <w:widowControl/>
              <w:ind w:firstLine="360" w:firstLineChars="150"/>
              <w:rPr>
                <w:rFonts w:asciiTheme="minorEastAsia" w:hAnsiTheme="minorEastAsia" w:eastAsiaTheme="minorEastAsia" w:cstheme="minorEastAsia"/>
                <w:bCs/>
                <w:kern w:val="0"/>
                <w:sz w:val="24"/>
              </w:rPr>
            </w:pPr>
          </w:p>
        </w:tc>
        <w:tc>
          <w:tcPr>
            <w:tcW w:w="1676" w:type="dxa"/>
            <w:tcBorders>
              <w:top w:val="single" w:color="auto" w:sz="6" w:space="0"/>
              <w:left w:val="single" w:color="auto" w:sz="6" w:space="0"/>
              <w:bottom w:val="single" w:color="auto" w:sz="6" w:space="0"/>
              <w:right w:val="single" w:color="auto" w:sz="6" w:space="0"/>
            </w:tcBorders>
          </w:tcPr>
          <w:p>
            <w:pPr>
              <w:widowControl/>
              <w:ind w:firstLine="360" w:firstLineChars="150"/>
              <w:rPr>
                <w:rFonts w:asciiTheme="minorEastAsia" w:hAnsiTheme="minorEastAsia" w:eastAsiaTheme="minorEastAsia" w:cstheme="minorEastAsia"/>
                <w:bCs/>
                <w:kern w:val="0"/>
                <w:sz w:val="24"/>
              </w:rPr>
            </w:pPr>
          </w:p>
        </w:tc>
        <w:tc>
          <w:tcPr>
            <w:tcW w:w="716" w:type="dxa"/>
            <w:tcBorders>
              <w:top w:val="single" w:color="auto" w:sz="6" w:space="0"/>
              <w:left w:val="single" w:color="auto" w:sz="6" w:space="0"/>
              <w:bottom w:val="single" w:color="auto" w:sz="6" w:space="0"/>
              <w:right w:val="single" w:color="auto" w:sz="6" w:space="0"/>
            </w:tcBorders>
          </w:tcPr>
          <w:p>
            <w:pPr>
              <w:widowControl/>
              <w:ind w:firstLine="360" w:firstLineChars="150"/>
              <w:rPr>
                <w:rFonts w:asciiTheme="minorEastAsia" w:hAnsiTheme="minorEastAsia" w:eastAsiaTheme="minorEastAsia" w:cstheme="minorEastAsia"/>
                <w:bCs/>
                <w:kern w:val="0"/>
                <w:sz w:val="24"/>
              </w:rPr>
            </w:pPr>
          </w:p>
        </w:tc>
        <w:tc>
          <w:tcPr>
            <w:tcW w:w="716" w:type="dxa"/>
            <w:tcBorders>
              <w:top w:val="single" w:color="auto" w:sz="6" w:space="0"/>
              <w:left w:val="single" w:color="auto" w:sz="6" w:space="0"/>
              <w:bottom w:val="single" w:color="auto" w:sz="6" w:space="0"/>
              <w:right w:val="single" w:color="auto" w:sz="6" w:space="0"/>
            </w:tcBorders>
          </w:tcPr>
          <w:p>
            <w:pPr>
              <w:widowControl/>
              <w:ind w:firstLine="360" w:firstLineChars="150"/>
              <w:rPr>
                <w:rFonts w:asciiTheme="minorEastAsia" w:hAnsiTheme="minorEastAsia" w:eastAsiaTheme="minorEastAsia" w:cstheme="minorEastAsia"/>
                <w:bCs/>
                <w:kern w:val="0"/>
                <w:sz w:val="24"/>
              </w:rPr>
            </w:pPr>
          </w:p>
        </w:tc>
        <w:tc>
          <w:tcPr>
            <w:tcW w:w="716" w:type="dxa"/>
            <w:tcBorders>
              <w:top w:val="single" w:color="auto" w:sz="6" w:space="0"/>
              <w:left w:val="single" w:color="auto" w:sz="6" w:space="0"/>
              <w:bottom w:val="single" w:color="auto" w:sz="6" w:space="0"/>
              <w:right w:val="single" w:color="auto" w:sz="6" w:space="0"/>
            </w:tcBorders>
          </w:tcPr>
          <w:p>
            <w:pPr>
              <w:widowControl/>
              <w:ind w:firstLine="360" w:firstLineChars="150"/>
              <w:rPr>
                <w:rFonts w:asciiTheme="minorEastAsia" w:hAnsiTheme="minorEastAsia" w:eastAsiaTheme="minorEastAsia" w:cstheme="minorEastAsia"/>
                <w:bCs/>
                <w:kern w:val="0"/>
                <w:sz w:val="24"/>
              </w:rPr>
            </w:pPr>
          </w:p>
        </w:tc>
      </w:tr>
      <w:tr>
        <w:tblPrEx>
          <w:tblCellMar>
            <w:top w:w="0" w:type="dxa"/>
            <w:left w:w="108" w:type="dxa"/>
            <w:bottom w:w="0" w:type="dxa"/>
            <w:right w:w="108" w:type="dxa"/>
          </w:tblCellMar>
        </w:tblPrEx>
        <w:trPr>
          <w:trHeight w:val="379" w:hRule="atLeast"/>
          <w:jc w:val="center"/>
        </w:trPr>
        <w:tc>
          <w:tcPr>
            <w:tcW w:w="716" w:type="dxa"/>
            <w:tcBorders>
              <w:top w:val="single" w:color="auto" w:sz="6" w:space="0"/>
              <w:left w:val="single" w:color="auto" w:sz="6" w:space="0"/>
              <w:bottom w:val="single" w:color="auto" w:sz="6" w:space="0"/>
              <w:right w:val="single" w:color="auto" w:sz="6" w:space="0"/>
            </w:tcBorders>
          </w:tcPr>
          <w:p>
            <w:pPr>
              <w:widowControl/>
              <w:ind w:firstLine="360" w:firstLineChars="150"/>
              <w:rPr>
                <w:rFonts w:asciiTheme="minorEastAsia" w:hAnsiTheme="minorEastAsia" w:eastAsiaTheme="minorEastAsia" w:cstheme="minorEastAsia"/>
                <w:bCs/>
                <w:kern w:val="0"/>
                <w:sz w:val="24"/>
              </w:rPr>
            </w:pPr>
          </w:p>
        </w:tc>
        <w:tc>
          <w:tcPr>
            <w:tcW w:w="1554" w:type="dxa"/>
            <w:tcBorders>
              <w:top w:val="single" w:color="auto" w:sz="6" w:space="0"/>
              <w:left w:val="single" w:color="auto" w:sz="6" w:space="0"/>
              <w:bottom w:val="single" w:color="auto" w:sz="6" w:space="0"/>
              <w:right w:val="single" w:color="auto" w:sz="6" w:space="0"/>
            </w:tcBorders>
          </w:tcPr>
          <w:p>
            <w:pPr>
              <w:widowControl/>
              <w:ind w:firstLine="360" w:firstLineChars="150"/>
              <w:rPr>
                <w:rFonts w:asciiTheme="minorEastAsia" w:hAnsiTheme="minorEastAsia" w:eastAsiaTheme="minorEastAsia" w:cstheme="minorEastAsia"/>
                <w:bCs/>
                <w:kern w:val="0"/>
                <w:sz w:val="24"/>
              </w:rPr>
            </w:pPr>
          </w:p>
        </w:tc>
        <w:tc>
          <w:tcPr>
            <w:tcW w:w="1036" w:type="dxa"/>
            <w:tcBorders>
              <w:top w:val="single" w:color="auto" w:sz="6" w:space="0"/>
              <w:left w:val="single" w:color="auto" w:sz="6" w:space="0"/>
              <w:bottom w:val="single" w:color="auto" w:sz="6" w:space="0"/>
              <w:right w:val="single" w:color="auto" w:sz="4" w:space="0"/>
            </w:tcBorders>
          </w:tcPr>
          <w:p>
            <w:pPr>
              <w:widowControl/>
              <w:ind w:firstLine="360" w:firstLineChars="150"/>
              <w:rPr>
                <w:rFonts w:asciiTheme="minorEastAsia" w:hAnsiTheme="minorEastAsia" w:eastAsiaTheme="minorEastAsia" w:cstheme="minorEastAsia"/>
                <w:bCs/>
                <w:kern w:val="0"/>
                <w:sz w:val="24"/>
              </w:rPr>
            </w:pPr>
          </w:p>
        </w:tc>
        <w:tc>
          <w:tcPr>
            <w:tcW w:w="1036" w:type="dxa"/>
            <w:tcBorders>
              <w:top w:val="single" w:color="auto" w:sz="6" w:space="0"/>
              <w:left w:val="single" w:color="auto" w:sz="4" w:space="0"/>
              <w:bottom w:val="single" w:color="auto" w:sz="6" w:space="0"/>
              <w:right w:val="single" w:color="auto" w:sz="6" w:space="0"/>
            </w:tcBorders>
          </w:tcPr>
          <w:p>
            <w:pPr>
              <w:widowControl/>
              <w:ind w:firstLine="360" w:firstLineChars="150"/>
              <w:rPr>
                <w:rFonts w:asciiTheme="minorEastAsia" w:hAnsiTheme="minorEastAsia" w:eastAsiaTheme="minorEastAsia" w:cstheme="minorEastAsia"/>
                <w:bCs/>
                <w:kern w:val="0"/>
                <w:sz w:val="24"/>
              </w:rPr>
            </w:pPr>
          </w:p>
        </w:tc>
        <w:tc>
          <w:tcPr>
            <w:tcW w:w="716" w:type="dxa"/>
            <w:tcBorders>
              <w:top w:val="single" w:color="auto" w:sz="6" w:space="0"/>
              <w:left w:val="single" w:color="auto" w:sz="6" w:space="0"/>
              <w:bottom w:val="single" w:color="auto" w:sz="6" w:space="0"/>
              <w:right w:val="single" w:color="auto" w:sz="6" w:space="0"/>
            </w:tcBorders>
          </w:tcPr>
          <w:p>
            <w:pPr>
              <w:widowControl/>
              <w:ind w:firstLine="360" w:firstLineChars="150"/>
              <w:rPr>
                <w:rFonts w:asciiTheme="minorEastAsia" w:hAnsiTheme="minorEastAsia" w:eastAsiaTheme="minorEastAsia" w:cstheme="minorEastAsia"/>
                <w:bCs/>
                <w:kern w:val="0"/>
                <w:sz w:val="24"/>
              </w:rPr>
            </w:pPr>
          </w:p>
        </w:tc>
        <w:tc>
          <w:tcPr>
            <w:tcW w:w="1676" w:type="dxa"/>
            <w:tcBorders>
              <w:top w:val="single" w:color="auto" w:sz="6" w:space="0"/>
              <w:left w:val="single" w:color="auto" w:sz="6" w:space="0"/>
              <w:bottom w:val="single" w:color="auto" w:sz="6" w:space="0"/>
              <w:right w:val="single" w:color="auto" w:sz="6" w:space="0"/>
            </w:tcBorders>
          </w:tcPr>
          <w:p>
            <w:pPr>
              <w:widowControl/>
              <w:ind w:firstLine="360" w:firstLineChars="150"/>
              <w:rPr>
                <w:rFonts w:asciiTheme="minorEastAsia" w:hAnsiTheme="minorEastAsia" w:eastAsiaTheme="minorEastAsia" w:cstheme="minorEastAsia"/>
                <w:bCs/>
                <w:kern w:val="0"/>
                <w:sz w:val="24"/>
              </w:rPr>
            </w:pPr>
          </w:p>
        </w:tc>
        <w:tc>
          <w:tcPr>
            <w:tcW w:w="716" w:type="dxa"/>
            <w:tcBorders>
              <w:top w:val="single" w:color="auto" w:sz="6" w:space="0"/>
              <w:left w:val="single" w:color="auto" w:sz="6" w:space="0"/>
              <w:bottom w:val="single" w:color="auto" w:sz="6" w:space="0"/>
              <w:right w:val="single" w:color="auto" w:sz="6" w:space="0"/>
            </w:tcBorders>
          </w:tcPr>
          <w:p>
            <w:pPr>
              <w:widowControl/>
              <w:ind w:firstLine="360" w:firstLineChars="150"/>
              <w:rPr>
                <w:rFonts w:asciiTheme="minorEastAsia" w:hAnsiTheme="minorEastAsia" w:eastAsiaTheme="minorEastAsia" w:cstheme="minorEastAsia"/>
                <w:bCs/>
                <w:kern w:val="0"/>
                <w:sz w:val="24"/>
              </w:rPr>
            </w:pPr>
          </w:p>
        </w:tc>
        <w:tc>
          <w:tcPr>
            <w:tcW w:w="716" w:type="dxa"/>
            <w:tcBorders>
              <w:top w:val="single" w:color="auto" w:sz="6" w:space="0"/>
              <w:left w:val="single" w:color="auto" w:sz="6" w:space="0"/>
              <w:bottom w:val="single" w:color="auto" w:sz="6" w:space="0"/>
              <w:right w:val="single" w:color="auto" w:sz="6" w:space="0"/>
            </w:tcBorders>
          </w:tcPr>
          <w:p>
            <w:pPr>
              <w:widowControl/>
              <w:ind w:firstLine="360" w:firstLineChars="150"/>
              <w:rPr>
                <w:rFonts w:asciiTheme="minorEastAsia" w:hAnsiTheme="minorEastAsia" w:eastAsiaTheme="minorEastAsia" w:cstheme="minorEastAsia"/>
                <w:bCs/>
                <w:kern w:val="0"/>
                <w:sz w:val="24"/>
              </w:rPr>
            </w:pPr>
          </w:p>
        </w:tc>
        <w:tc>
          <w:tcPr>
            <w:tcW w:w="716" w:type="dxa"/>
            <w:tcBorders>
              <w:top w:val="single" w:color="auto" w:sz="6" w:space="0"/>
              <w:left w:val="single" w:color="auto" w:sz="6" w:space="0"/>
              <w:bottom w:val="single" w:color="auto" w:sz="6" w:space="0"/>
              <w:right w:val="single" w:color="auto" w:sz="6" w:space="0"/>
            </w:tcBorders>
          </w:tcPr>
          <w:p>
            <w:pPr>
              <w:widowControl/>
              <w:ind w:firstLine="360" w:firstLineChars="150"/>
              <w:rPr>
                <w:rFonts w:asciiTheme="minorEastAsia" w:hAnsiTheme="minorEastAsia" w:eastAsiaTheme="minorEastAsia" w:cstheme="minorEastAsia"/>
                <w:bCs/>
                <w:kern w:val="0"/>
                <w:sz w:val="24"/>
              </w:rPr>
            </w:pPr>
          </w:p>
        </w:tc>
      </w:tr>
      <w:tr>
        <w:tblPrEx>
          <w:tblCellMar>
            <w:top w:w="0" w:type="dxa"/>
            <w:left w:w="108" w:type="dxa"/>
            <w:bottom w:w="0" w:type="dxa"/>
            <w:right w:w="108" w:type="dxa"/>
          </w:tblCellMar>
        </w:tblPrEx>
        <w:trPr>
          <w:trHeight w:val="379" w:hRule="atLeast"/>
          <w:jc w:val="center"/>
        </w:trPr>
        <w:tc>
          <w:tcPr>
            <w:tcW w:w="716" w:type="dxa"/>
            <w:tcBorders>
              <w:top w:val="single" w:color="auto" w:sz="6" w:space="0"/>
              <w:left w:val="single" w:color="auto" w:sz="6" w:space="0"/>
              <w:bottom w:val="single" w:color="auto" w:sz="6" w:space="0"/>
              <w:right w:val="single" w:color="auto" w:sz="6" w:space="0"/>
            </w:tcBorders>
          </w:tcPr>
          <w:p>
            <w:pPr>
              <w:widowControl/>
              <w:ind w:firstLine="360" w:firstLineChars="150"/>
              <w:rPr>
                <w:rFonts w:asciiTheme="minorEastAsia" w:hAnsiTheme="minorEastAsia" w:eastAsiaTheme="minorEastAsia" w:cstheme="minorEastAsia"/>
                <w:bCs/>
                <w:kern w:val="0"/>
                <w:sz w:val="24"/>
              </w:rPr>
            </w:pPr>
          </w:p>
        </w:tc>
        <w:tc>
          <w:tcPr>
            <w:tcW w:w="1554" w:type="dxa"/>
            <w:tcBorders>
              <w:top w:val="single" w:color="auto" w:sz="6" w:space="0"/>
              <w:left w:val="single" w:color="auto" w:sz="6" w:space="0"/>
              <w:bottom w:val="single" w:color="auto" w:sz="6" w:space="0"/>
              <w:right w:val="single" w:color="auto" w:sz="6" w:space="0"/>
            </w:tcBorders>
          </w:tcPr>
          <w:p>
            <w:pPr>
              <w:widowControl/>
              <w:ind w:firstLine="360" w:firstLineChars="150"/>
              <w:rPr>
                <w:rFonts w:asciiTheme="minorEastAsia" w:hAnsiTheme="minorEastAsia" w:eastAsiaTheme="minorEastAsia" w:cstheme="minorEastAsia"/>
                <w:bCs/>
                <w:kern w:val="0"/>
                <w:sz w:val="24"/>
              </w:rPr>
            </w:pPr>
          </w:p>
        </w:tc>
        <w:tc>
          <w:tcPr>
            <w:tcW w:w="1036" w:type="dxa"/>
            <w:tcBorders>
              <w:top w:val="single" w:color="auto" w:sz="6" w:space="0"/>
              <w:left w:val="single" w:color="auto" w:sz="6" w:space="0"/>
              <w:bottom w:val="single" w:color="auto" w:sz="6" w:space="0"/>
              <w:right w:val="single" w:color="auto" w:sz="4" w:space="0"/>
            </w:tcBorders>
          </w:tcPr>
          <w:p>
            <w:pPr>
              <w:widowControl/>
              <w:ind w:firstLine="360" w:firstLineChars="150"/>
              <w:rPr>
                <w:rFonts w:asciiTheme="minorEastAsia" w:hAnsiTheme="minorEastAsia" w:eastAsiaTheme="minorEastAsia" w:cstheme="minorEastAsia"/>
                <w:bCs/>
                <w:kern w:val="0"/>
                <w:sz w:val="24"/>
              </w:rPr>
            </w:pPr>
          </w:p>
        </w:tc>
        <w:tc>
          <w:tcPr>
            <w:tcW w:w="1036" w:type="dxa"/>
            <w:tcBorders>
              <w:top w:val="single" w:color="auto" w:sz="6" w:space="0"/>
              <w:left w:val="single" w:color="auto" w:sz="4" w:space="0"/>
              <w:bottom w:val="single" w:color="auto" w:sz="6" w:space="0"/>
              <w:right w:val="single" w:color="auto" w:sz="6" w:space="0"/>
            </w:tcBorders>
          </w:tcPr>
          <w:p>
            <w:pPr>
              <w:widowControl/>
              <w:ind w:firstLine="360" w:firstLineChars="150"/>
              <w:rPr>
                <w:rFonts w:asciiTheme="minorEastAsia" w:hAnsiTheme="minorEastAsia" w:eastAsiaTheme="minorEastAsia" w:cstheme="minorEastAsia"/>
                <w:bCs/>
                <w:kern w:val="0"/>
                <w:sz w:val="24"/>
              </w:rPr>
            </w:pPr>
          </w:p>
        </w:tc>
        <w:tc>
          <w:tcPr>
            <w:tcW w:w="716" w:type="dxa"/>
            <w:tcBorders>
              <w:top w:val="single" w:color="auto" w:sz="6" w:space="0"/>
              <w:left w:val="single" w:color="auto" w:sz="6" w:space="0"/>
              <w:bottom w:val="single" w:color="auto" w:sz="6" w:space="0"/>
              <w:right w:val="single" w:color="auto" w:sz="6" w:space="0"/>
            </w:tcBorders>
          </w:tcPr>
          <w:p>
            <w:pPr>
              <w:widowControl/>
              <w:ind w:firstLine="360" w:firstLineChars="150"/>
              <w:rPr>
                <w:rFonts w:asciiTheme="minorEastAsia" w:hAnsiTheme="minorEastAsia" w:eastAsiaTheme="minorEastAsia" w:cstheme="minorEastAsia"/>
                <w:bCs/>
                <w:kern w:val="0"/>
                <w:sz w:val="24"/>
              </w:rPr>
            </w:pPr>
          </w:p>
        </w:tc>
        <w:tc>
          <w:tcPr>
            <w:tcW w:w="1676" w:type="dxa"/>
            <w:tcBorders>
              <w:top w:val="single" w:color="auto" w:sz="6" w:space="0"/>
              <w:left w:val="single" w:color="auto" w:sz="6" w:space="0"/>
              <w:bottom w:val="single" w:color="auto" w:sz="6" w:space="0"/>
              <w:right w:val="single" w:color="auto" w:sz="6" w:space="0"/>
            </w:tcBorders>
          </w:tcPr>
          <w:p>
            <w:pPr>
              <w:widowControl/>
              <w:ind w:firstLine="360" w:firstLineChars="150"/>
              <w:rPr>
                <w:rFonts w:asciiTheme="minorEastAsia" w:hAnsiTheme="minorEastAsia" w:eastAsiaTheme="minorEastAsia" w:cstheme="minorEastAsia"/>
                <w:bCs/>
                <w:kern w:val="0"/>
                <w:sz w:val="24"/>
              </w:rPr>
            </w:pPr>
          </w:p>
        </w:tc>
        <w:tc>
          <w:tcPr>
            <w:tcW w:w="716" w:type="dxa"/>
            <w:tcBorders>
              <w:top w:val="single" w:color="auto" w:sz="6" w:space="0"/>
              <w:left w:val="single" w:color="auto" w:sz="6" w:space="0"/>
              <w:bottom w:val="single" w:color="auto" w:sz="6" w:space="0"/>
              <w:right w:val="single" w:color="auto" w:sz="6" w:space="0"/>
            </w:tcBorders>
          </w:tcPr>
          <w:p>
            <w:pPr>
              <w:widowControl/>
              <w:ind w:firstLine="360" w:firstLineChars="150"/>
              <w:rPr>
                <w:rFonts w:asciiTheme="minorEastAsia" w:hAnsiTheme="minorEastAsia" w:eastAsiaTheme="minorEastAsia" w:cstheme="minorEastAsia"/>
                <w:bCs/>
                <w:kern w:val="0"/>
                <w:sz w:val="24"/>
              </w:rPr>
            </w:pPr>
          </w:p>
        </w:tc>
        <w:tc>
          <w:tcPr>
            <w:tcW w:w="716" w:type="dxa"/>
            <w:tcBorders>
              <w:top w:val="single" w:color="auto" w:sz="6" w:space="0"/>
              <w:left w:val="single" w:color="auto" w:sz="6" w:space="0"/>
              <w:bottom w:val="single" w:color="auto" w:sz="6" w:space="0"/>
              <w:right w:val="single" w:color="auto" w:sz="6" w:space="0"/>
            </w:tcBorders>
          </w:tcPr>
          <w:p>
            <w:pPr>
              <w:widowControl/>
              <w:ind w:firstLine="360" w:firstLineChars="150"/>
              <w:rPr>
                <w:rFonts w:asciiTheme="minorEastAsia" w:hAnsiTheme="minorEastAsia" w:eastAsiaTheme="minorEastAsia" w:cstheme="minorEastAsia"/>
                <w:bCs/>
                <w:kern w:val="0"/>
                <w:sz w:val="24"/>
              </w:rPr>
            </w:pPr>
          </w:p>
        </w:tc>
        <w:tc>
          <w:tcPr>
            <w:tcW w:w="716" w:type="dxa"/>
            <w:tcBorders>
              <w:top w:val="single" w:color="auto" w:sz="6" w:space="0"/>
              <w:left w:val="single" w:color="auto" w:sz="6" w:space="0"/>
              <w:bottom w:val="single" w:color="auto" w:sz="6" w:space="0"/>
              <w:right w:val="single" w:color="auto" w:sz="6" w:space="0"/>
            </w:tcBorders>
          </w:tcPr>
          <w:p>
            <w:pPr>
              <w:widowControl/>
              <w:ind w:firstLine="360" w:firstLineChars="150"/>
              <w:rPr>
                <w:rFonts w:asciiTheme="minorEastAsia" w:hAnsiTheme="minorEastAsia" w:eastAsiaTheme="minorEastAsia" w:cstheme="minorEastAsia"/>
                <w:bCs/>
                <w:kern w:val="0"/>
                <w:sz w:val="24"/>
              </w:rPr>
            </w:pPr>
          </w:p>
        </w:tc>
      </w:tr>
      <w:tr>
        <w:tblPrEx>
          <w:tblCellMar>
            <w:top w:w="0" w:type="dxa"/>
            <w:left w:w="108" w:type="dxa"/>
            <w:bottom w:w="0" w:type="dxa"/>
            <w:right w:w="108" w:type="dxa"/>
          </w:tblCellMar>
        </w:tblPrEx>
        <w:trPr>
          <w:trHeight w:val="379" w:hRule="atLeast"/>
          <w:jc w:val="center"/>
        </w:trPr>
        <w:tc>
          <w:tcPr>
            <w:tcW w:w="716" w:type="dxa"/>
            <w:tcBorders>
              <w:top w:val="single" w:color="auto" w:sz="6" w:space="0"/>
              <w:left w:val="single" w:color="auto" w:sz="6" w:space="0"/>
              <w:bottom w:val="single" w:color="auto" w:sz="6" w:space="0"/>
              <w:right w:val="single" w:color="auto" w:sz="6" w:space="0"/>
            </w:tcBorders>
          </w:tcPr>
          <w:p>
            <w:pPr>
              <w:widowControl/>
              <w:ind w:firstLine="360" w:firstLineChars="150"/>
              <w:rPr>
                <w:rFonts w:asciiTheme="minorEastAsia" w:hAnsiTheme="minorEastAsia" w:eastAsiaTheme="minorEastAsia" w:cstheme="minorEastAsia"/>
                <w:bCs/>
                <w:kern w:val="0"/>
                <w:sz w:val="24"/>
              </w:rPr>
            </w:pPr>
          </w:p>
        </w:tc>
        <w:tc>
          <w:tcPr>
            <w:tcW w:w="1554" w:type="dxa"/>
            <w:tcBorders>
              <w:top w:val="single" w:color="auto" w:sz="6" w:space="0"/>
              <w:left w:val="single" w:color="auto" w:sz="6" w:space="0"/>
              <w:bottom w:val="single" w:color="auto" w:sz="6" w:space="0"/>
              <w:right w:val="single" w:color="auto" w:sz="6" w:space="0"/>
            </w:tcBorders>
          </w:tcPr>
          <w:p>
            <w:pPr>
              <w:widowControl/>
              <w:ind w:firstLine="360" w:firstLineChars="150"/>
              <w:rPr>
                <w:rFonts w:asciiTheme="minorEastAsia" w:hAnsiTheme="minorEastAsia" w:eastAsiaTheme="minorEastAsia" w:cstheme="minorEastAsia"/>
                <w:bCs/>
                <w:kern w:val="0"/>
                <w:sz w:val="24"/>
              </w:rPr>
            </w:pPr>
          </w:p>
        </w:tc>
        <w:tc>
          <w:tcPr>
            <w:tcW w:w="1036" w:type="dxa"/>
            <w:tcBorders>
              <w:top w:val="single" w:color="auto" w:sz="6" w:space="0"/>
              <w:left w:val="single" w:color="auto" w:sz="6" w:space="0"/>
              <w:bottom w:val="single" w:color="auto" w:sz="6" w:space="0"/>
              <w:right w:val="single" w:color="auto" w:sz="4" w:space="0"/>
            </w:tcBorders>
          </w:tcPr>
          <w:p>
            <w:pPr>
              <w:widowControl/>
              <w:ind w:firstLine="360" w:firstLineChars="150"/>
              <w:rPr>
                <w:rFonts w:asciiTheme="minorEastAsia" w:hAnsiTheme="minorEastAsia" w:eastAsiaTheme="minorEastAsia" w:cstheme="minorEastAsia"/>
                <w:bCs/>
                <w:kern w:val="0"/>
                <w:sz w:val="24"/>
              </w:rPr>
            </w:pPr>
          </w:p>
        </w:tc>
        <w:tc>
          <w:tcPr>
            <w:tcW w:w="1036" w:type="dxa"/>
            <w:tcBorders>
              <w:top w:val="single" w:color="auto" w:sz="6" w:space="0"/>
              <w:left w:val="single" w:color="auto" w:sz="4" w:space="0"/>
              <w:bottom w:val="single" w:color="auto" w:sz="6" w:space="0"/>
              <w:right w:val="single" w:color="auto" w:sz="6" w:space="0"/>
            </w:tcBorders>
          </w:tcPr>
          <w:p>
            <w:pPr>
              <w:widowControl/>
              <w:ind w:firstLine="360" w:firstLineChars="150"/>
              <w:rPr>
                <w:rFonts w:asciiTheme="minorEastAsia" w:hAnsiTheme="minorEastAsia" w:eastAsiaTheme="minorEastAsia" w:cstheme="minorEastAsia"/>
                <w:bCs/>
                <w:kern w:val="0"/>
                <w:sz w:val="24"/>
              </w:rPr>
            </w:pPr>
          </w:p>
        </w:tc>
        <w:tc>
          <w:tcPr>
            <w:tcW w:w="716" w:type="dxa"/>
            <w:tcBorders>
              <w:top w:val="single" w:color="auto" w:sz="6" w:space="0"/>
              <w:left w:val="single" w:color="auto" w:sz="6" w:space="0"/>
              <w:bottom w:val="single" w:color="auto" w:sz="6" w:space="0"/>
              <w:right w:val="single" w:color="auto" w:sz="6" w:space="0"/>
            </w:tcBorders>
          </w:tcPr>
          <w:p>
            <w:pPr>
              <w:widowControl/>
              <w:ind w:firstLine="360" w:firstLineChars="150"/>
              <w:rPr>
                <w:rFonts w:asciiTheme="minorEastAsia" w:hAnsiTheme="minorEastAsia" w:eastAsiaTheme="minorEastAsia" w:cstheme="minorEastAsia"/>
                <w:bCs/>
                <w:kern w:val="0"/>
                <w:sz w:val="24"/>
              </w:rPr>
            </w:pPr>
          </w:p>
        </w:tc>
        <w:tc>
          <w:tcPr>
            <w:tcW w:w="1676" w:type="dxa"/>
            <w:tcBorders>
              <w:top w:val="single" w:color="auto" w:sz="6" w:space="0"/>
              <w:left w:val="single" w:color="auto" w:sz="6" w:space="0"/>
              <w:bottom w:val="single" w:color="auto" w:sz="6" w:space="0"/>
              <w:right w:val="single" w:color="auto" w:sz="6" w:space="0"/>
            </w:tcBorders>
          </w:tcPr>
          <w:p>
            <w:pPr>
              <w:widowControl/>
              <w:ind w:firstLine="360" w:firstLineChars="150"/>
              <w:rPr>
                <w:rFonts w:asciiTheme="minorEastAsia" w:hAnsiTheme="minorEastAsia" w:eastAsiaTheme="minorEastAsia" w:cstheme="minorEastAsia"/>
                <w:bCs/>
                <w:kern w:val="0"/>
                <w:sz w:val="24"/>
              </w:rPr>
            </w:pPr>
          </w:p>
        </w:tc>
        <w:tc>
          <w:tcPr>
            <w:tcW w:w="716" w:type="dxa"/>
            <w:tcBorders>
              <w:top w:val="single" w:color="auto" w:sz="6" w:space="0"/>
              <w:left w:val="single" w:color="auto" w:sz="6" w:space="0"/>
              <w:bottom w:val="single" w:color="auto" w:sz="6" w:space="0"/>
              <w:right w:val="single" w:color="auto" w:sz="6" w:space="0"/>
            </w:tcBorders>
          </w:tcPr>
          <w:p>
            <w:pPr>
              <w:widowControl/>
              <w:ind w:firstLine="360" w:firstLineChars="150"/>
              <w:rPr>
                <w:rFonts w:asciiTheme="minorEastAsia" w:hAnsiTheme="minorEastAsia" w:eastAsiaTheme="minorEastAsia" w:cstheme="minorEastAsia"/>
                <w:bCs/>
                <w:kern w:val="0"/>
                <w:sz w:val="24"/>
              </w:rPr>
            </w:pPr>
          </w:p>
        </w:tc>
        <w:tc>
          <w:tcPr>
            <w:tcW w:w="716" w:type="dxa"/>
            <w:tcBorders>
              <w:top w:val="single" w:color="auto" w:sz="6" w:space="0"/>
              <w:left w:val="single" w:color="auto" w:sz="6" w:space="0"/>
              <w:bottom w:val="single" w:color="auto" w:sz="6" w:space="0"/>
              <w:right w:val="single" w:color="auto" w:sz="6" w:space="0"/>
            </w:tcBorders>
          </w:tcPr>
          <w:p>
            <w:pPr>
              <w:widowControl/>
              <w:ind w:firstLine="360" w:firstLineChars="150"/>
              <w:rPr>
                <w:rFonts w:asciiTheme="minorEastAsia" w:hAnsiTheme="minorEastAsia" w:eastAsiaTheme="minorEastAsia" w:cstheme="minorEastAsia"/>
                <w:bCs/>
                <w:kern w:val="0"/>
                <w:sz w:val="24"/>
              </w:rPr>
            </w:pPr>
          </w:p>
        </w:tc>
        <w:tc>
          <w:tcPr>
            <w:tcW w:w="716" w:type="dxa"/>
            <w:tcBorders>
              <w:top w:val="single" w:color="auto" w:sz="6" w:space="0"/>
              <w:left w:val="single" w:color="auto" w:sz="6" w:space="0"/>
              <w:bottom w:val="single" w:color="auto" w:sz="6" w:space="0"/>
              <w:right w:val="single" w:color="auto" w:sz="6" w:space="0"/>
            </w:tcBorders>
          </w:tcPr>
          <w:p>
            <w:pPr>
              <w:widowControl/>
              <w:ind w:firstLine="360" w:firstLineChars="150"/>
              <w:rPr>
                <w:rFonts w:asciiTheme="minorEastAsia" w:hAnsiTheme="minorEastAsia" w:eastAsiaTheme="minorEastAsia" w:cstheme="minorEastAsia"/>
                <w:bCs/>
                <w:kern w:val="0"/>
                <w:sz w:val="24"/>
              </w:rPr>
            </w:pPr>
          </w:p>
        </w:tc>
      </w:tr>
      <w:tr>
        <w:tblPrEx>
          <w:tblCellMar>
            <w:top w:w="0" w:type="dxa"/>
            <w:left w:w="108" w:type="dxa"/>
            <w:bottom w:w="0" w:type="dxa"/>
            <w:right w:w="108" w:type="dxa"/>
          </w:tblCellMar>
        </w:tblPrEx>
        <w:trPr>
          <w:trHeight w:val="379" w:hRule="atLeast"/>
          <w:jc w:val="center"/>
        </w:trPr>
        <w:tc>
          <w:tcPr>
            <w:tcW w:w="716" w:type="dxa"/>
            <w:tcBorders>
              <w:top w:val="single" w:color="auto" w:sz="6" w:space="0"/>
              <w:left w:val="single" w:color="auto" w:sz="6" w:space="0"/>
              <w:bottom w:val="single" w:color="auto" w:sz="6" w:space="0"/>
              <w:right w:val="single" w:color="auto" w:sz="6" w:space="0"/>
            </w:tcBorders>
          </w:tcPr>
          <w:p>
            <w:pPr>
              <w:widowControl/>
              <w:ind w:firstLine="360" w:firstLineChars="150"/>
              <w:rPr>
                <w:rFonts w:asciiTheme="minorEastAsia" w:hAnsiTheme="minorEastAsia" w:eastAsiaTheme="minorEastAsia" w:cstheme="minorEastAsia"/>
                <w:bCs/>
                <w:kern w:val="0"/>
                <w:sz w:val="24"/>
              </w:rPr>
            </w:pPr>
          </w:p>
        </w:tc>
        <w:tc>
          <w:tcPr>
            <w:tcW w:w="1554" w:type="dxa"/>
            <w:tcBorders>
              <w:top w:val="single" w:color="auto" w:sz="6" w:space="0"/>
              <w:left w:val="single" w:color="auto" w:sz="6" w:space="0"/>
              <w:bottom w:val="single" w:color="auto" w:sz="6" w:space="0"/>
              <w:right w:val="single" w:color="auto" w:sz="6" w:space="0"/>
            </w:tcBorders>
          </w:tcPr>
          <w:p>
            <w:pPr>
              <w:widowControl/>
              <w:ind w:firstLine="360" w:firstLineChars="150"/>
              <w:rPr>
                <w:rFonts w:asciiTheme="minorEastAsia" w:hAnsiTheme="minorEastAsia" w:eastAsiaTheme="minorEastAsia" w:cstheme="minorEastAsia"/>
                <w:bCs/>
                <w:kern w:val="0"/>
                <w:sz w:val="24"/>
              </w:rPr>
            </w:pPr>
          </w:p>
        </w:tc>
        <w:tc>
          <w:tcPr>
            <w:tcW w:w="1036" w:type="dxa"/>
            <w:tcBorders>
              <w:top w:val="single" w:color="auto" w:sz="6" w:space="0"/>
              <w:left w:val="single" w:color="auto" w:sz="6" w:space="0"/>
              <w:bottom w:val="single" w:color="auto" w:sz="6" w:space="0"/>
              <w:right w:val="single" w:color="auto" w:sz="4" w:space="0"/>
            </w:tcBorders>
          </w:tcPr>
          <w:p>
            <w:pPr>
              <w:widowControl/>
              <w:ind w:firstLine="360" w:firstLineChars="150"/>
              <w:rPr>
                <w:rFonts w:asciiTheme="minorEastAsia" w:hAnsiTheme="minorEastAsia" w:eastAsiaTheme="minorEastAsia" w:cstheme="minorEastAsia"/>
                <w:bCs/>
                <w:kern w:val="0"/>
                <w:sz w:val="24"/>
              </w:rPr>
            </w:pPr>
          </w:p>
        </w:tc>
        <w:tc>
          <w:tcPr>
            <w:tcW w:w="1036" w:type="dxa"/>
            <w:tcBorders>
              <w:top w:val="single" w:color="auto" w:sz="6" w:space="0"/>
              <w:left w:val="single" w:color="auto" w:sz="4" w:space="0"/>
              <w:bottom w:val="single" w:color="auto" w:sz="6" w:space="0"/>
              <w:right w:val="single" w:color="auto" w:sz="6" w:space="0"/>
            </w:tcBorders>
          </w:tcPr>
          <w:p>
            <w:pPr>
              <w:widowControl/>
              <w:ind w:firstLine="360" w:firstLineChars="150"/>
              <w:rPr>
                <w:rFonts w:asciiTheme="minorEastAsia" w:hAnsiTheme="minorEastAsia" w:eastAsiaTheme="minorEastAsia" w:cstheme="minorEastAsia"/>
                <w:bCs/>
                <w:kern w:val="0"/>
                <w:sz w:val="24"/>
              </w:rPr>
            </w:pPr>
          </w:p>
        </w:tc>
        <w:tc>
          <w:tcPr>
            <w:tcW w:w="716" w:type="dxa"/>
            <w:tcBorders>
              <w:top w:val="single" w:color="auto" w:sz="6" w:space="0"/>
              <w:left w:val="single" w:color="auto" w:sz="6" w:space="0"/>
              <w:bottom w:val="single" w:color="auto" w:sz="6" w:space="0"/>
              <w:right w:val="single" w:color="auto" w:sz="6" w:space="0"/>
            </w:tcBorders>
          </w:tcPr>
          <w:p>
            <w:pPr>
              <w:widowControl/>
              <w:ind w:firstLine="360" w:firstLineChars="150"/>
              <w:rPr>
                <w:rFonts w:asciiTheme="minorEastAsia" w:hAnsiTheme="minorEastAsia" w:eastAsiaTheme="minorEastAsia" w:cstheme="minorEastAsia"/>
                <w:bCs/>
                <w:kern w:val="0"/>
                <w:sz w:val="24"/>
              </w:rPr>
            </w:pPr>
          </w:p>
        </w:tc>
        <w:tc>
          <w:tcPr>
            <w:tcW w:w="1676" w:type="dxa"/>
            <w:tcBorders>
              <w:top w:val="single" w:color="auto" w:sz="6" w:space="0"/>
              <w:left w:val="single" w:color="auto" w:sz="6" w:space="0"/>
              <w:bottom w:val="single" w:color="auto" w:sz="6" w:space="0"/>
              <w:right w:val="single" w:color="auto" w:sz="6" w:space="0"/>
            </w:tcBorders>
          </w:tcPr>
          <w:p>
            <w:pPr>
              <w:widowControl/>
              <w:ind w:firstLine="360" w:firstLineChars="150"/>
              <w:rPr>
                <w:rFonts w:asciiTheme="minorEastAsia" w:hAnsiTheme="minorEastAsia" w:eastAsiaTheme="minorEastAsia" w:cstheme="minorEastAsia"/>
                <w:bCs/>
                <w:kern w:val="0"/>
                <w:sz w:val="24"/>
              </w:rPr>
            </w:pPr>
          </w:p>
        </w:tc>
        <w:tc>
          <w:tcPr>
            <w:tcW w:w="716" w:type="dxa"/>
            <w:tcBorders>
              <w:top w:val="single" w:color="auto" w:sz="6" w:space="0"/>
              <w:left w:val="single" w:color="auto" w:sz="6" w:space="0"/>
              <w:bottom w:val="single" w:color="auto" w:sz="6" w:space="0"/>
              <w:right w:val="single" w:color="auto" w:sz="6" w:space="0"/>
            </w:tcBorders>
          </w:tcPr>
          <w:p>
            <w:pPr>
              <w:widowControl/>
              <w:ind w:firstLine="360" w:firstLineChars="150"/>
              <w:rPr>
                <w:rFonts w:asciiTheme="minorEastAsia" w:hAnsiTheme="minorEastAsia" w:eastAsiaTheme="minorEastAsia" w:cstheme="minorEastAsia"/>
                <w:bCs/>
                <w:kern w:val="0"/>
                <w:sz w:val="24"/>
              </w:rPr>
            </w:pPr>
          </w:p>
        </w:tc>
        <w:tc>
          <w:tcPr>
            <w:tcW w:w="716" w:type="dxa"/>
            <w:tcBorders>
              <w:top w:val="single" w:color="auto" w:sz="6" w:space="0"/>
              <w:left w:val="single" w:color="auto" w:sz="6" w:space="0"/>
              <w:bottom w:val="single" w:color="auto" w:sz="6" w:space="0"/>
              <w:right w:val="single" w:color="auto" w:sz="6" w:space="0"/>
            </w:tcBorders>
          </w:tcPr>
          <w:p>
            <w:pPr>
              <w:widowControl/>
              <w:ind w:firstLine="360" w:firstLineChars="150"/>
              <w:rPr>
                <w:rFonts w:asciiTheme="minorEastAsia" w:hAnsiTheme="minorEastAsia" w:eastAsiaTheme="minorEastAsia" w:cstheme="minorEastAsia"/>
                <w:bCs/>
                <w:kern w:val="0"/>
                <w:sz w:val="24"/>
              </w:rPr>
            </w:pPr>
          </w:p>
        </w:tc>
        <w:tc>
          <w:tcPr>
            <w:tcW w:w="716" w:type="dxa"/>
            <w:tcBorders>
              <w:top w:val="single" w:color="auto" w:sz="6" w:space="0"/>
              <w:left w:val="single" w:color="auto" w:sz="6" w:space="0"/>
              <w:bottom w:val="single" w:color="auto" w:sz="6" w:space="0"/>
              <w:right w:val="single" w:color="auto" w:sz="6" w:space="0"/>
            </w:tcBorders>
          </w:tcPr>
          <w:p>
            <w:pPr>
              <w:widowControl/>
              <w:ind w:firstLine="360" w:firstLineChars="150"/>
              <w:rPr>
                <w:rFonts w:asciiTheme="minorEastAsia" w:hAnsiTheme="minorEastAsia" w:eastAsiaTheme="minorEastAsia" w:cstheme="minorEastAsia"/>
                <w:bCs/>
                <w:kern w:val="0"/>
                <w:sz w:val="24"/>
              </w:rPr>
            </w:pPr>
          </w:p>
        </w:tc>
      </w:tr>
      <w:tr>
        <w:tblPrEx>
          <w:tblCellMar>
            <w:top w:w="0" w:type="dxa"/>
            <w:left w:w="108" w:type="dxa"/>
            <w:bottom w:w="0" w:type="dxa"/>
            <w:right w:w="108" w:type="dxa"/>
          </w:tblCellMar>
        </w:tblPrEx>
        <w:trPr>
          <w:trHeight w:val="379" w:hRule="atLeast"/>
          <w:jc w:val="center"/>
        </w:trPr>
        <w:tc>
          <w:tcPr>
            <w:tcW w:w="716" w:type="dxa"/>
            <w:tcBorders>
              <w:top w:val="single" w:color="auto" w:sz="6" w:space="0"/>
              <w:left w:val="single" w:color="auto" w:sz="6" w:space="0"/>
              <w:bottom w:val="single" w:color="auto" w:sz="6" w:space="0"/>
              <w:right w:val="single" w:color="auto" w:sz="6" w:space="0"/>
            </w:tcBorders>
          </w:tcPr>
          <w:p>
            <w:pPr>
              <w:widowControl/>
              <w:ind w:firstLine="360" w:firstLineChars="150"/>
              <w:rPr>
                <w:rFonts w:asciiTheme="minorEastAsia" w:hAnsiTheme="minorEastAsia" w:eastAsiaTheme="minorEastAsia" w:cstheme="minorEastAsia"/>
                <w:bCs/>
                <w:kern w:val="0"/>
                <w:sz w:val="24"/>
              </w:rPr>
            </w:pPr>
          </w:p>
        </w:tc>
        <w:tc>
          <w:tcPr>
            <w:tcW w:w="1554" w:type="dxa"/>
            <w:tcBorders>
              <w:top w:val="single" w:color="auto" w:sz="6" w:space="0"/>
              <w:left w:val="single" w:color="auto" w:sz="6" w:space="0"/>
              <w:bottom w:val="single" w:color="auto" w:sz="6" w:space="0"/>
              <w:right w:val="single" w:color="auto" w:sz="6" w:space="0"/>
            </w:tcBorders>
          </w:tcPr>
          <w:p>
            <w:pPr>
              <w:widowControl/>
              <w:ind w:firstLine="360" w:firstLineChars="150"/>
              <w:rPr>
                <w:rFonts w:asciiTheme="minorEastAsia" w:hAnsiTheme="minorEastAsia" w:eastAsiaTheme="minorEastAsia" w:cstheme="minorEastAsia"/>
                <w:bCs/>
                <w:kern w:val="0"/>
                <w:sz w:val="24"/>
              </w:rPr>
            </w:pPr>
          </w:p>
        </w:tc>
        <w:tc>
          <w:tcPr>
            <w:tcW w:w="1036" w:type="dxa"/>
            <w:tcBorders>
              <w:top w:val="single" w:color="auto" w:sz="6" w:space="0"/>
              <w:left w:val="single" w:color="auto" w:sz="6" w:space="0"/>
              <w:bottom w:val="single" w:color="auto" w:sz="6" w:space="0"/>
              <w:right w:val="single" w:color="auto" w:sz="4" w:space="0"/>
            </w:tcBorders>
          </w:tcPr>
          <w:p>
            <w:pPr>
              <w:widowControl/>
              <w:ind w:firstLine="360" w:firstLineChars="150"/>
              <w:rPr>
                <w:rFonts w:asciiTheme="minorEastAsia" w:hAnsiTheme="minorEastAsia" w:eastAsiaTheme="minorEastAsia" w:cstheme="minorEastAsia"/>
                <w:bCs/>
                <w:kern w:val="0"/>
                <w:sz w:val="24"/>
              </w:rPr>
            </w:pPr>
          </w:p>
        </w:tc>
        <w:tc>
          <w:tcPr>
            <w:tcW w:w="1036" w:type="dxa"/>
            <w:tcBorders>
              <w:top w:val="single" w:color="auto" w:sz="6" w:space="0"/>
              <w:left w:val="single" w:color="auto" w:sz="4" w:space="0"/>
              <w:bottom w:val="single" w:color="auto" w:sz="6" w:space="0"/>
              <w:right w:val="single" w:color="auto" w:sz="6" w:space="0"/>
            </w:tcBorders>
          </w:tcPr>
          <w:p>
            <w:pPr>
              <w:widowControl/>
              <w:ind w:firstLine="360" w:firstLineChars="150"/>
              <w:rPr>
                <w:rFonts w:asciiTheme="minorEastAsia" w:hAnsiTheme="minorEastAsia" w:eastAsiaTheme="minorEastAsia" w:cstheme="minorEastAsia"/>
                <w:bCs/>
                <w:kern w:val="0"/>
                <w:sz w:val="24"/>
              </w:rPr>
            </w:pPr>
          </w:p>
        </w:tc>
        <w:tc>
          <w:tcPr>
            <w:tcW w:w="716" w:type="dxa"/>
            <w:tcBorders>
              <w:top w:val="single" w:color="auto" w:sz="6" w:space="0"/>
              <w:left w:val="single" w:color="auto" w:sz="6" w:space="0"/>
              <w:bottom w:val="single" w:color="auto" w:sz="6" w:space="0"/>
              <w:right w:val="single" w:color="auto" w:sz="6" w:space="0"/>
            </w:tcBorders>
          </w:tcPr>
          <w:p>
            <w:pPr>
              <w:widowControl/>
              <w:ind w:firstLine="360" w:firstLineChars="150"/>
              <w:rPr>
                <w:rFonts w:asciiTheme="minorEastAsia" w:hAnsiTheme="minorEastAsia" w:eastAsiaTheme="minorEastAsia" w:cstheme="minorEastAsia"/>
                <w:bCs/>
                <w:kern w:val="0"/>
                <w:sz w:val="24"/>
              </w:rPr>
            </w:pPr>
          </w:p>
        </w:tc>
        <w:tc>
          <w:tcPr>
            <w:tcW w:w="1676" w:type="dxa"/>
            <w:tcBorders>
              <w:top w:val="single" w:color="auto" w:sz="6" w:space="0"/>
              <w:left w:val="single" w:color="auto" w:sz="6" w:space="0"/>
              <w:bottom w:val="single" w:color="auto" w:sz="6" w:space="0"/>
              <w:right w:val="single" w:color="auto" w:sz="6" w:space="0"/>
            </w:tcBorders>
          </w:tcPr>
          <w:p>
            <w:pPr>
              <w:widowControl/>
              <w:ind w:firstLine="360" w:firstLineChars="150"/>
              <w:rPr>
                <w:rFonts w:asciiTheme="minorEastAsia" w:hAnsiTheme="minorEastAsia" w:eastAsiaTheme="minorEastAsia" w:cstheme="minorEastAsia"/>
                <w:bCs/>
                <w:kern w:val="0"/>
                <w:sz w:val="24"/>
              </w:rPr>
            </w:pPr>
          </w:p>
        </w:tc>
        <w:tc>
          <w:tcPr>
            <w:tcW w:w="716" w:type="dxa"/>
            <w:tcBorders>
              <w:top w:val="single" w:color="auto" w:sz="6" w:space="0"/>
              <w:left w:val="single" w:color="auto" w:sz="6" w:space="0"/>
              <w:bottom w:val="single" w:color="auto" w:sz="6" w:space="0"/>
              <w:right w:val="single" w:color="auto" w:sz="6" w:space="0"/>
            </w:tcBorders>
          </w:tcPr>
          <w:p>
            <w:pPr>
              <w:widowControl/>
              <w:ind w:firstLine="360" w:firstLineChars="150"/>
              <w:rPr>
                <w:rFonts w:asciiTheme="minorEastAsia" w:hAnsiTheme="minorEastAsia" w:eastAsiaTheme="minorEastAsia" w:cstheme="minorEastAsia"/>
                <w:bCs/>
                <w:kern w:val="0"/>
                <w:sz w:val="24"/>
              </w:rPr>
            </w:pPr>
          </w:p>
        </w:tc>
        <w:tc>
          <w:tcPr>
            <w:tcW w:w="716" w:type="dxa"/>
            <w:tcBorders>
              <w:top w:val="single" w:color="auto" w:sz="6" w:space="0"/>
              <w:left w:val="single" w:color="auto" w:sz="6" w:space="0"/>
              <w:bottom w:val="single" w:color="auto" w:sz="6" w:space="0"/>
              <w:right w:val="single" w:color="auto" w:sz="6" w:space="0"/>
            </w:tcBorders>
          </w:tcPr>
          <w:p>
            <w:pPr>
              <w:widowControl/>
              <w:ind w:firstLine="360" w:firstLineChars="150"/>
              <w:rPr>
                <w:rFonts w:asciiTheme="minorEastAsia" w:hAnsiTheme="minorEastAsia" w:eastAsiaTheme="minorEastAsia" w:cstheme="minorEastAsia"/>
                <w:bCs/>
                <w:kern w:val="0"/>
                <w:sz w:val="24"/>
              </w:rPr>
            </w:pPr>
          </w:p>
        </w:tc>
        <w:tc>
          <w:tcPr>
            <w:tcW w:w="716" w:type="dxa"/>
            <w:tcBorders>
              <w:top w:val="single" w:color="auto" w:sz="6" w:space="0"/>
              <w:left w:val="single" w:color="auto" w:sz="6" w:space="0"/>
              <w:bottom w:val="single" w:color="auto" w:sz="6" w:space="0"/>
              <w:right w:val="single" w:color="auto" w:sz="6" w:space="0"/>
            </w:tcBorders>
          </w:tcPr>
          <w:p>
            <w:pPr>
              <w:widowControl/>
              <w:ind w:firstLine="360" w:firstLineChars="150"/>
              <w:rPr>
                <w:rFonts w:asciiTheme="minorEastAsia" w:hAnsiTheme="minorEastAsia" w:eastAsiaTheme="minorEastAsia" w:cstheme="minorEastAsia"/>
                <w:bCs/>
                <w:kern w:val="0"/>
                <w:sz w:val="24"/>
              </w:rPr>
            </w:pPr>
          </w:p>
        </w:tc>
      </w:tr>
      <w:tr>
        <w:tblPrEx>
          <w:tblCellMar>
            <w:top w:w="0" w:type="dxa"/>
            <w:left w:w="108" w:type="dxa"/>
            <w:bottom w:w="0" w:type="dxa"/>
            <w:right w:w="108" w:type="dxa"/>
          </w:tblCellMar>
        </w:tblPrEx>
        <w:trPr>
          <w:trHeight w:val="580" w:hRule="atLeast"/>
          <w:jc w:val="center"/>
        </w:trPr>
        <w:tc>
          <w:tcPr>
            <w:tcW w:w="5058" w:type="dxa"/>
            <w:gridSpan w:val="5"/>
            <w:tcBorders>
              <w:top w:val="single" w:color="auto" w:sz="6" w:space="0"/>
              <w:left w:val="single" w:color="auto" w:sz="6" w:space="0"/>
              <w:bottom w:val="single" w:color="auto" w:sz="6" w:space="0"/>
              <w:right w:val="single" w:color="auto" w:sz="6" w:space="0"/>
            </w:tcBorders>
            <w:vAlign w:val="center"/>
          </w:tcPr>
          <w:p>
            <w:pPr>
              <w:widowControl/>
              <w:ind w:firstLine="360" w:firstLineChars="150"/>
              <w:rPr>
                <w:rFonts w:asciiTheme="minorEastAsia" w:hAnsiTheme="minorEastAsia" w:eastAsiaTheme="minorEastAsia" w:cstheme="minorEastAsia"/>
                <w:bCs/>
                <w:kern w:val="0"/>
                <w:sz w:val="24"/>
              </w:rPr>
            </w:pPr>
            <w:r>
              <w:rPr>
                <w:rFonts w:hint="eastAsia" w:asciiTheme="minorEastAsia" w:hAnsiTheme="minorEastAsia" w:eastAsiaTheme="minorEastAsia" w:cstheme="minorEastAsia"/>
                <w:bCs/>
                <w:kern w:val="0"/>
                <w:sz w:val="24"/>
              </w:rPr>
              <w:t>合计（万元人民币）</w:t>
            </w:r>
          </w:p>
        </w:tc>
        <w:tc>
          <w:tcPr>
            <w:tcW w:w="3824" w:type="dxa"/>
            <w:gridSpan w:val="4"/>
            <w:tcBorders>
              <w:top w:val="single" w:color="auto" w:sz="6" w:space="0"/>
              <w:left w:val="single" w:color="auto" w:sz="6" w:space="0"/>
              <w:bottom w:val="single" w:color="auto" w:sz="6" w:space="0"/>
              <w:right w:val="single" w:color="auto" w:sz="6" w:space="0"/>
            </w:tcBorders>
            <w:vAlign w:val="center"/>
          </w:tcPr>
          <w:p>
            <w:pPr>
              <w:widowControl/>
              <w:ind w:firstLine="360" w:firstLineChars="150"/>
              <w:rPr>
                <w:rFonts w:asciiTheme="minorEastAsia" w:hAnsiTheme="minorEastAsia" w:eastAsiaTheme="minorEastAsia" w:cstheme="minorEastAsia"/>
                <w:bCs/>
                <w:kern w:val="0"/>
                <w:sz w:val="24"/>
              </w:rPr>
            </w:pPr>
          </w:p>
        </w:tc>
      </w:tr>
      <w:tr>
        <w:tblPrEx>
          <w:tblCellMar>
            <w:top w:w="0" w:type="dxa"/>
            <w:left w:w="108" w:type="dxa"/>
            <w:bottom w:w="0" w:type="dxa"/>
            <w:right w:w="108" w:type="dxa"/>
          </w:tblCellMar>
        </w:tblPrEx>
        <w:trPr>
          <w:trHeight w:val="581" w:hRule="atLeast"/>
          <w:jc w:val="center"/>
        </w:trPr>
        <w:tc>
          <w:tcPr>
            <w:tcW w:w="5058" w:type="dxa"/>
            <w:gridSpan w:val="5"/>
            <w:tcBorders>
              <w:top w:val="single" w:color="auto" w:sz="6" w:space="0"/>
              <w:left w:val="single" w:color="auto" w:sz="6" w:space="0"/>
              <w:bottom w:val="single" w:color="auto" w:sz="6" w:space="0"/>
              <w:right w:val="single" w:color="auto" w:sz="6" w:space="0"/>
            </w:tcBorders>
            <w:vAlign w:val="center"/>
          </w:tcPr>
          <w:p>
            <w:pPr>
              <w:widowControl/>
              <w:ind w:firstLine="360" w:firstLineChars="150"/>
              <w:rPr>
                <w:rFonts w:asciiTheme="minorEastAsia" w:hAnsiTheme="minorEastAsia" w:eastAsiaTheme="minorEastAsia" w:cstheme="minorEastAsia"/>
                <w:bCs/>
                <w:kern w:val="0"/>
                <w:sz w:val="24"/>
              </w:rPr>
            </w:pPr>
            <w:r>
              <w:rPr>
                <w:rFonts w:hint="eastAsia" w:asciiTheme="minorEastAsia" w:hAnsiTheme="minorEastAsia" w:eastAsiaTheme="minorEastAsia" w:cstheme="minorEastAsia"/>
                <w:bCs/>
                <w:kern w:val="0"/>
                <w:sz w:val="24"/>
              </w:rPr>
              <w:t>占磋商总价的百分比（%）</w:t>
            </w:r>
          </w:p>
        </w:tc>
        <w:tc>
          <w:tcPr>
            <w:tcW w:w="3824" w:type="dxa"/>
            <w:gridSpan w:val="4"/>
            <w:tcBorders>
              <w:top w:val="single" w:color="auto" w:sz="6" w:space="0"/>
              <w:left w:val="single" w:color="auto" w:sz="6" w:space="0"/>
              <w:bottom w:val="single" w:color="auto" w:sz="6" w:space="0"/>
              <w:right w:val="single" w:color="auto" w:sz="6" w:space="0"/>
            </w:tcBorders>
            <w:vAlign w:val="center"/>
          </w:tcPr>
          <w:p>
            <w:pPr>
              <w:widowControl/>
              <w:ind w:firstLine="360" w:firstLineChars="150"/>
              <w:rPr>
                <w:rFonts w:asciiTheme="minorEastAsia" w:hAnsiTheme="minorEastAsia" w:eastAsiaTheme="minorEastAsia" w:cstheme="minorEastAsia"/>
                <w:bCs/>
                <w:kern w:val="0"/>
                <w:sz w:val="24"/>
              </w:rPr>
            </w:pPr>
          </w:p>
        </w:tc>
      </w:tr>
    </w:tbl>
    <w:p>
      <w:pPr>
        <w:widowControl/>
        <w:ind w:firstLine="360" w:firstLineChars="150"/>
        <w:rPr>
          <w:rFonts w:asciiTheme="minorEastAsia" w:hAnsiTheme="minorEastAsia" w:eastAsiaTheme="minorEastAsia" w:cstheme="minorEastAsia"/>
          <w:bCs/>
          <w:kern w:val="0"/>
          <w:sz w:val="24"/>
          <w:lang w:val="zh-CN"/>
        </w:rPr>
      </w:pPr>
      <w:r>
        <w:rPr>
          <w:rFonts w:hint="eastAsia" w:asciiTheme="minorEastAsia" w:hAnsiTheme="minorEastAsia" w:eastAsiaTheme="minorEastAsia" w:cstheme="minorEastAsia"/>
          <w:bCs/>
          <w:kern w:val="0"/>
          <w:sz w:val="24"/>
          <w:lang w:val="zh-CN"/>
        </w:rPr>
        <w:t>注：</w:t>
      </w:r>
      <w:r>
        <w:rPr>
          <w:rFonts w:hint="eastAsia" w:asciiTheme="minorEastAsia" w:hAnsiTheme="minorEastAsia" w:eastAsiaTheme="minorEastAsia" w:cstheme="minorEastAsia"/>
          <w:bCs/>
          <w:kern w:val="0"/>
          <w:sz w:val="24"/>
        </w:rPr>
        <w:t>1.</w:t>
      </w:r>
      <w:r>
        <w:rPr>
          <w:rFonts w:hint="eastAsia" w:asciiTheme="minorEastAsia" w:hAnsiTheme="minorEastAsia" w:eastAsiaTheme="minorEastAsia" w:cstheme="minorEastAsia"/>
          <w:bCs/>
          <w:kern w:val="0"/>
          <w:sz w:val="24"/>
          <w:lang w:val="zh-CN"/>
        </w:rPr>
        <w:t>如磋商产品为节能环保、环境标志产品，须按格式逐项填写，并附相关证明，否则评审时不予计分。</w:t>
      </w:r>
    </w:p>
    <w:p>
      <w:pPr>
        <w:widowControl/>
        <w:ind w:firstLine="360" w:firstLineChars="150"/>
        <w:rPr>
          <w:rFonts w:ascii="仿宋_GB2312" w:hAnsi="宋体" w:eastAsia="仿宋_GB2312"/>
          <w:sz w:val="32"/>
          <w:szCs w:val="32"/>
          <w:lang w:val="zh-CN"/>
        </w:rPr>
      </w:pPr>
      <w:r>
        <w:rPr>
          <w:rFonts w:hint="eastAsia" w:asciiTheme="minorEastAsia" w:hAnsiTheme="minorEastAsia" w:eastAsiaTheme="minorEastAsia" w:cstheme="minorEastAsia"/>
          <w:bCs/>
          <w:kern w:val="0"/>
          <w:sz w:val="24"/>
        </w:rPr>
        <w:t>2.</w:t>
      </w:r>
      <w:r>
        <w:rPr>
          <w:rFonts w:hint="eastAsia" w:asciiTheme="minorEastAsia" w:hAnsiTheme="minorEastAsia" w:eastAsiaTheme="minorEastAsia" w:cstheme="minorEastAsia"/>
          <w:bCs/>
          <w:kern w:val="0"/>
          <w:sz w:val="24"/>
          <w:lang w:val="zh-CN"/>
        </w:rPr>
        <w:t>类别填写：节能环保产品或环境标志产品。</w:t>
      </w:r>
    </w:p>
    <w:p>
      <w:pPr>
        <w:pStyle w:val="3"/>
      </w:pPr>
    </w:p>
    <w:p>
      <w:pPr>
        <w:spacing w:line="480" w:lineRule="auto"/>
        <w:ind w:firstLine="240" w:firstLineChars="100"/>
        <w:jc w:val="center"/>
        <w:rPr>
          <w:rFonts w:ascii="宋体" w:hAnsi="宋体" w:cs="宋体"/>
          <w:sz w:val="24"/>
        </w:rPr>
      </w:pPr>
      <w:r>
        <w:rPr>
          <w:rFonts w:hint="eastAsia" w:ascii="宋体" w:hAnsi="宋体" w:cs="宋体"/>
          <w:sz w:val="24"/>
        </w:rPr>
        <w:t xml:space="preserve">            供应商名称：（盖章）</w:t>
      </w:r>
    </w:p>
    <w:p>
      <w:pPr>
        <w:spacing w:line="480" w:lineRule="auto"/>
        <w:ind w:firstLine="240" w:firstLineChars="100"/>
        <w:jc w:val="center"/>
        <w:rPr>
          <w:rFonts w:ascii="宋体" w:hAnsi="宋体" w:cs="宋体"/>
          <w:sz w:val="24"/>
        </w:rPr>
      </w:pPr>
      <w:r>
        <w:rPr>
          <w:rFonts w:hint="eastAsia" w:ascii="宋体" w:hAnsi="宋体" w:cs="宋体"/>
          <w:sz w:val="24"/>
        </w:rPr>
        <w:t xml:space="preserve">                             法定代表人或委托代理人：(签字或盖章)</w:t>
      </w:r>
    </w:p>
    <w:p>
      <w:pPr>
        <w:pStyle w:val="6"/>
        <w:rPr>
          <w:b w:val="0"/>
          <w:bCs w:val="0"/>
        </w:rPr>
      </w:pPr>
      <w:r>
        <w:rPr>
          <w:rFonts w:hint="eastAsia"/>
        </w:rPr>
        <w:t xml:space="preserve">                                    </w:t>
      </w:r>
      <w:r>
        <w:rPr>
          <w:rFonts w:hint="eastAsia"/>
          <w:b w:val="0"/>
          <w:bCs w:val="0"/>
        </w:rPr>
        <w:t xml:space="preserve">  日      期：   年   月     日</w:t>
      </w:r>
    </w:p>
    <w:p>
      <w:pPr>
        <w:sectPr>
          <w:pgSz w:w="11906" w:h="16838"/>
          <w:pgMar w:top="1440" w:right="1080" w:bottom="1440" w:left="1080" w:header="1077" w:footer="907" w:gutter="0"/>
          <w:cols w:space="720" w:num="1"/>
          <w:titlePg/>
          <w:docGrid w:type="lines" w:linePitch="312" w:charSpace="0"/>
        </w:sectPr>
      </w:pPr>
    </w:p>
    <w:p>
      <w:pPr>
        <w:spacing w:line="360" w:lineRule="auto"/>
        <w:jc w:val="center"/>
        <w:rPr>
          <w:rFonts w:ascii="宋体" w:hAnsi="宋体" w:cs="宋体"/>
          <w:b/>
          <w:kern w:val="0"/>
          <w:sz w:val="28"/>
          <w:szCs w:val="28"/>
        </w:rPr>
      </w:pPr>
      <w:r>
        <w:rPr>
          <w:rFonts w:hint="eastAsia" w:ascii="宋体" w:hAnsi="宋体" w:cs="宋体"/>
          <w:b/>
          <w:kern w:val="0"/>
          <w:sz w:val="28"/>
          <w:szCs w:val="28"/>
        </w:rPr>
        <w:t>三、技术偏离表</w:t>
      </w:r>
    </w:p>
    <w:tbl>
      <w:tblPr>
        <w:tblStyle w:val="19"/>
        <w:tblW w:w="904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56"/>
        <w:gridCol w:w="3154"/>
        <w:gridCol w:w="2628"/>
        <w:gridCol w:w="210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8" w:hRule="atLeast"/>
          <w:jc w:val="center"/>
        </w:trPr>
        <w:tc>
          <w:tcPr>
            <w:tcW w:w="1156" w:type="dxa"/>
            <w:noWrap/>
            <w:vAlign w:val="center"/>
          </w:tcPr>
          <w:p>
            <w:pPr>
              <w:spacing w:line="360" w:lineRule="exact"/>
              <w:ind w:right="-168" w:rightChars="-80"/>
              <w:jc w:val="center"/>
              <w:rPr>
                <w:rFonts w:ascii="宋体" w:hAnsi="宋体" w:cs="宋体"/>
                <w:sz w:val="24"/>
              </w:rPr>
            </w:pPr>
            <w:r>
              <w:rPr>
                <w:rFonts w:hint="eastAsia" w:ascii="宋体" w:hAnsi="宋体" w:cs="宋体"/>
                <w:sz w:val="24"/>
              </w:rPr>
              <w:t>序号</w:t>
            </w:r>
          </w:p>
        </w:tc>
        <w:tc>
          <w:tcPr>
            <w:tcW w:w="3154" w:type="dxa"/>
            <w:noWrap/>
            <w:vAlign w:val="center"/>
          </w:tcPr>
          <w:p>
            <w:pPr>
              <w:spacing w:line="360" w:lineRule="exact"/>
              <w:ind w:right="-168" w:rightChars="-80"/>
              <w:jc w:val="center"/>
              <w:rPr>
                <w:rFonts w:ascii="宋体" w:hAnsi="宋体" w:cs="宋体"/>
                <w:sz w:val="24"/>
              </w:rPr>
            </w:pPr>
            <w:r>
              <w:rPr>
                <w:rFonts w:hint="eastAsia" w:ascii="宋体" w:hAnsi="宋体" w:cs="宋体"/>
                <w:sz w:val="24"/>
              </w:rPr>
              <w:t>磋商文件</w:t>
            </w:r>
          </w:p>
          <w:p>
            <w:pPr>
              <w:spacing w:line="360" w:lineRule="exact"/>
              <w:ind w:right="-168" w:rightChars="-80"/>
              <w:jc w:val="center"/>
              <w:rPr>
                <w:rFonts w:ascii="宋体" w:hAnsi="宋体" w:cs="宋体"/>
                <w:sz w:val="24"/>
              </w:rPr>
            </w:pPr>
            <w:r>
              <w:rPr>
                <w:rFonts w:hint="eastAsia" w:ascii="宋体" w:hAnsi="宋体" w:cs="宋体"/>
                <w:sz w:val="24"/>
              </w:rPr>
              <w:t>规格及技术需求</w:t>
            </w:r>
          </w:p>
        </w:tc>
        <w:tc>
          <w:tcPr>
            <w:tcW w:w="2628" w:type="dxa"/>
            <w:noWrap/>
            <w:vAlign w:val="center"/>
          </w:tcPr>
          <w:p>
            <w:pPr>
              <w:spacing w:line="360" w:lineRule="exact"/>
              <w:ind w:right="-168" w:rightChars="-80"/>
              <w:jc w:val="center"/>
              <w:rPr>
                <w:rFonts w:ascii="宋体" w:hAnsi="宋体" w:cs="宋体"/>
                <w:sz w:val="24"/>
              </w:rPr>
            </w:pPr>
            <w:r>
              <w:rPr>
                <w:rFonts w:hint="eastAsia" w:ascii="宋体" w:hAnsi="宋体" w:cs="宋体"/>
                <w:sz w:val="24"/>
              </w:rPr>
              <w:t>磋商响应文件</w:t>
            </w:r>
          </w:p>
          <w:p>
            <w:pPr>
              <w:spacing w:line="360" w:lineRule="exact"/>
              <w:ind w:right="-168" w:rightChars="-80"/>
              <w:jc w:val="center"/>
              <w:rPr>
                <w:rFonts w:ascii="宋体" w:hAnsi="宋体" w:cs="宋体"/>
                <w:sz w:val="24"/>
              </w:rPr>
            </w:pPr>
            <w:r>
              <w:rPr>
                <w:rFonts w:hint="eastAsia" w:ascii="宋体" w:hAnsi="宋体" w:cs="宋体"/>
                <w:sz w:val="24"/>
              </w:rPr>
              <w:t>规格及技术参数</w:t>
            </w:r>
          </w:p>
        </w:tc>
        <w:tc>
          <w:tcPr>
            <w:tcW w:w="2102" w:type="dxa"/>
            <w:noWrap/>
            <w:vAlign w:val="center"/>
          </w:tcPr>
          <w:p>
            <w:pPr>
              <w:spacing w:line="360" w:lineRule="exact"/>
              <w:ind w:right="-168" w:rightChars="-80"/>
              <w:jc w:val="center"/>
              <w:rPr>
                <w:rFonts w:ascii="宋体" w:hAnsi="宋体" w:cs="宋体"/>
                <w:sz w:val="24"/>
              </w:rPr>
            </w:pPr>
            <w:r>
              <w:rPr>
                <w:rFonts w:hint="eastAsia" w:ascii="宋体" w:hAnsi="宋体" w:cs="宋体"/>
                <w:sz w:val="24"/>
              </w:rPr>
              <w:t>偏差说明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jc w:val="center"/>
        </w:trPr>
        <w:tc>
          <w:tcPr>
            <w:tcW w:w="1156" w:type="dxa"/>
            <w:noWrap/>
            <w:vAlign w:val="center"/>
          </w:tcPr>
          <w:p>
            <w:pPr>
              <w:spacing w:line="560" w:lineRule="exact"/>
              <w:ind w:right="-168" w:rightChars="-80"/>
              <w:jc w:val="center"/>
              <w:rPr>
                <w:rFonts w:ascii="宋体" w:hAnsi="宋体" w:cs="宋体"/>
                <w:sz w:val="24"/>
              </w:rPr>
            </w:pPr>
          </w:p>
        </w:tc>
        <w:tc>
          <w:tcPr>
            <w:tcW w:w="3154" w:type="dxa"/>
            <w:noWrap/>
            <w:vAlign w:val="center"/>
          </w:tcPr>
          <w:p>
            <w:pPr>
              <w:spacing w:line="560" w:lineRule="exact"/>
              <w:ind w:right="-168" w:rightChars="-80"/>
              <w:jc w:val="center"/>
              <w:rPr>
                <w:rFonts w:ascii="宋体" w:hAnsi="宋体" w:cs="宋体"/>
                <w:sz w:val="24"/>
              </w:rPr>
            </w:pPr>
          </w:p>
        </w:tc>
        <w:tc>
          <w:tcPr>
            <w:tcW w:w="2628" w:type="dxa"/>
            <w:noWrap/>
            <w:vAlign w:val="center"/>
          </w:tcPr>
          <w:p>
            <w:pPr>
              <w:spacing w:line="560" w:lineRule="exact"/>
              <w:ind w:right="-168" w:rightChars="-80"/>
              <w:jc w:val="center"/>
              <w:rPr>
                <w:rFonts w:ascii="宋体" w:hAnsi="宋体" w:cs="宋体"/>
                <w:sz w:val="24"/>
              </w:rPr>
            </w:pPr>
          </w:p>
        </w:tc>
        <w:tc>
          <w:tcPr>
            <w:tcW w:w="2102" w:type="dxa"/>
            <w:noWrap/>
            <w:vAlign w:val="center"/>
          </w:tcPr>
          <w:p>
            <w:pPr>
              <w:spacing w:line="560" w:lineRule="exact"/>
              <w:ind w:right="-168" w:rightChars="-80"/>
              <w:jc w:val="center"/>
              <w:rPr>
                <w:rFonts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jc w:val="center"/>
        </w:trPr>
        <w:tc>
          <w:tcPr>
            <w:tcW w:w="1156" w:type="dxa"/>
            <w:noWrap/>
            <w:vAlign w:val="center"/>
          </w:tcPr>
          <w:p>
            <w:pPr>
              <w:spacing w:line="560" w:lineRule="exact"/>
              <w:ind w:right="-168" w:rightChars="-80"/>
              <w:jc w:val="center"/>
              <w:rPr>
                <w:rFonts w:ascii="宋体" w:hAnsi="宋体" w:cs="宋体"/>
                <w:sz w:val="24"/>
              </w:rPr>
            </w:pPr>
          </w:p>
        </w:tc>
        <w:tc>
          <w:tcPr>
            <w:tcW w:w="3154" w:type="dxa"/>
            <w:noWrap/>
            <w:vAlign w:val="center"/>
          </w:tcPr>
          <w:p>
            <w:pPr>
              <w:spacing w:line="560" w:lineRule="exact"/>
              <w:ind w:right="-168" w:rightChars="-80"/>
              <w:jc w:val="center"/>
              <w:rPr>
                <w:rFonts w:ascii="宋体" w:hAnsi="宋体" w:cs="宋体"/>
                <w:sz w:val="24"/>
              </w:rPr>
            </w:pPr>
          </w:p>
        </w:tc>
        <w:tc>
          <w:tcPr>
            <w:tcW w:w="2628" w:type="dxa"/>
            <w:noWrap/>
            <w:vAlign w:val="center"/>
          </w:tcPr>
          <w:p>
            <w:pPr>
              <w:spacing w:line="560" w:lineRule="exact"/>
              <w:ind w:right="-168" w:rightChars="-80"/>
              <w:jc w:val="center"/>
              <w:rPr>
                <w:rFonts w:ascii="宋体" w:hAnsi="宋体" w:cs="宋体"/>
                <w:sz w:val="24"/>
              </w:rPr>
            </w:pPr>
          </w:p>
        </w:tc>
        <w:tc>
          <w:tcPr>
            <w:tcW w:w="2102" w:type="dxa"/>
            <w:noWrap/>
            <w:vAlign w:val="center"/>
          </w:tcPr>
          <w:p>
            <w:pPr>
              <w:spacing w:line="560" w:lineRule="exact"/>
              <w:ind w:right="-168" w:rightChars="-80"/>
              <w:jc w:val="center"/>
              <w:rPr>
                <w:rFonts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jc w:val="center"/>
        </w:trPr>
        <w:tc>
          <w:tcPr>
            <w:tcW w:w="1156" w:type="dxa"/>
            <w:noWrap/>
            <w:vAlign w:val="center"/>
          </w:tcPr>
          <w:p>
            <w:pPr>
              <w:spacing w:line="560" w:lineRule="exact"/>
              <w:ind w:right="-168" w:rightChars="-80"/>
              <w:jc w:val="center"/>
              <w:rPr>
                <w:rFonts w:ascii="宋体" w:hAnsi="宋体" w:cs="宋体"/>
                <w:sz w:val="24"/>
              </w:rPr>
            </w:pPr>
          </w:p>
        </w:tc>
        <w:tc>
          <w:tcPr>
            <w:tcW w:w="3154" w:type="dxa"/>
            <w:noWrap/>
            <w:vAlign w:val="center"/>
          </w:tcPr>
          <w:p>
            <w:pPr>
              <w:spacing w:line="560" w:lineRule="exact"/>
              <w:ind w:right="-168" w:rightChars="-80"/>
              <w:jc w:val="center"/>
              <w:rPr>
                <w:rFonts w:ascii="宋体" w:hAnsi="宋体" w:cs="宋体"/>
                <w:sz w:val="24"/>
              </w:rPr>
            </w:pPr>
          </w:p>
        </w:tc>
        <w:tc>
          <w:tcPr>
            <w:tcW w:w="2628" w:type="dxa"/>
            <w:noWrap/>
            <w:vAlign w:val="center"/>
          </w:tcPr>
          <w:p>
            <w:pPr>
              <w:spacing w:line="560" w:lineRule="exact"/>
              <w:ind w:right="-168" w:rightChars="-80"/>
              <w:jc w:val="center"/>
              <w:rPr>
                <w:rFonts w:ascii="宋体" w:hAnsi="宋体" w:cs="宋体"/>
                <w:sz w:val="24"/>
              </w:rPr>
            </w:pPr>
          </w:p>
        </w:tc>
        <w:tc>
          <w:tcPr>
            <w:tcW w:w="2102" w:type="dxa"/>
            <w:noWrap/>
            <w:vAlign w:val="center"/>
          </w:tcPr>
          <w:p>
            <w:pPr>
              <w:spacing w:line="560" w:lineRule="exact"/>
              <w:ind w:right="-168" w:rightChars="-80"/>
              <w:jc w:val="center"/>
              <w:rPr>
                <w:rFonts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jc w:val="center"/>
        </w:trPr>
        <w:tc>
          <w:tcPr>
            <w:tcW w:w="1156" w:type="dxa"/>
            <w:noWrap/>
            <w:vAlign w:val="center"/>
          </w:tcPr>
          <w:p>
            <w:pPr>
              <w:spacing w:line="560" w:lineRule="exact"/>
              <w:ind w:right="-168" w:rightChars="-80"/>
              <w:jc w:val="center"/>
              <w:rPr>
                <w:rFonts w:ascii="宋体" w:hAnsi="宋体" w:cs="宋体"/>
                <w:sz w:val="24"/>
              </w:rPr>
            </w:pPr>
          </w:p>
        </w:tc>
        <w:tc>
          <w:tcPr>
            <w:tcW w:w="3154" w:type="dxa"/>
            <w:noWrap/>
            <w:vAlign w:val="center"/>
          </w:tcPr>
          <w:p>
            <w:pPr>
              <w:spacing w:line="560" w:lineRule="exact"/>
              <w:ind w:right="-168" w:rightChars="-80"/>
              <w:jc w:val="center"/>
              <w:rPr>
                <w:rFonts w:ascii="宋体" w:hAnsi="宋体" w:cs="宋体"/>
                <w:sz w:val="24"/>
              </w:rPr>
            </w:pPr>
          </w:p>
        </w:tc>
        <w:tc>
          <w:tcPr>
            <w:tcW w:w="2628" w:type="dxa"/>
            <w:noWrap/>
            <w:vAlign w:val="center"/>
          </w:tcPr>
          <w:p>
            <w:pPr>
              <w:spacing w:line="560" w:lineRule="exact"/>
              <w:ind w:right="-168" w:rightChars="-80"/>
              <w:jc w:val="center"/>
              <w:rPr>
                <w:rFonts w:ascii="宋体" w:hAnsi="宋体" w:cs="宋体"/>
                <w:sz w:val="24"/>
              </w:rPr>
            </w:pPr>
          </w:p>
        </w:tc>
        <w:tc>
          <w:tcPr>
            <w:tcW w:w="2102" w:type="dxa"/>
            <w:noWrap/>
            <w:vAlign w:val="center"/>
          </w:tcPr>
          <w:p>
            <w:pPr>
              <w:spacing w:line="560" w:lineRule="exact"/>
              <w:ind w:right="-168" w:rightChars="-80"/>
              <w:jc w:val="center"/>
              <w:rPr>
                <w:rFonts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jc w:val="center"/>
        </w:trPr>
        <w:tc>
          <w:tcPr>
            <w:tcW w:w="1156" w:type="dxa"/>
            <w:noWrap/>
            <w:vAlign w:val="center"/>
          </w:tcPr>
          <w:p>
            <w:pPr>
              <w:spacing w:line="560" w:lineRule="exact"/>
              <w:ind w:right="-168" w:rightChars="-80"/>
              <w:jc w:val="center"/>
              <w:rPr>
                <w:rFonts w:ascii="宋体" w:hAnsi="宋体" w:cs="宋体"/>
                <w:sz w:val="24"/>
              </w:rPr>
            </w:pPr>
          </w:p>
        </w:tc>
        <w:tc>
          <w:tcPr>
            <w:tcW w:w="3154" w:type="dxa"/>
            <w:noWrap/>
            <w:vAlign w:val="center"/>
          </w:tcPr>
          <w:p>
            <w:pPr>
              <w:spacing w:line="560" w:lineRule="exact"/>
              <w:ind w:right="-168" w:rightChars="-80"/>
              <w:jc w:val="center"/>
              <w:rPr>
                <w:rFonts w:ascii="宋体" w:hAnsi="宋体" w:cs="宋体"/>
                <w:sz w:val="24"/>
              </w:rPr>
            </w:pPr>
          </w:p>
        </w:tc>
        <w:tc>
          <w:tcPr>
            <w:tcW w:w="2628" w:type="dxa"/>
            <w:noWrap/>
            <w:vAlign w:val="center"/>
          </w:tcPr>
          <w:p>
            <w:pPr>
              <w:spacing w:line="560" w:lineRule="exact"/>
              <w:ind w:right="-168" w:rightChars="-80"/>
              <w:jc w:val="center"/>
              <w:rPr>
                <w:rFonts w:ascii="宋体" w:hAnsi="宋体" w:cs="宋体"/>
                <w:sz w:val="24"/>
              </w:rPr>
            </w:pPr>
          </w:p>
        </w:tc>
        <w:tc>
          <w:tcPr>
            <w:tcW w:w="2102" w:type="dxa"/>
            <w:noWrap/>
            <w:vAlign w:val="center"/>
          </w:tcPr>
          <w:p>
            <w:pPr>
              <w:spacing w:line="560" w:lineRule="exact"/>
              <w:ind w:right="-168" w:rightChars="-80"/>
              <w:jc w:val="center"/>
              <w:rPr>
                <w:rFonts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jc w:val="center"/>
        </w:trPr>
        <w:tc>
          <w:tcPr>
            <w:tcW w:w="1156" w:type="dxa"/>
            <w:noWrap/>
            <w:vAlign w:val="center"/>
          </w:tcPr>
          <w:p>
            <w:pPr>
              <w:spacing w:line="560" w:lineRule="exact"/>
              <w:ind w:right="-168" w:rightChars="-80"/>
              <w:jc w:val="center"/>
              <w:rPr>
                <w:rFonts w:ascii="宋体" w:hAnsi="宋体" w:cs="宋体"/>
                <w:sz w:val="24"/>
              </w:rPr>
            </w:pPr>
          </w:p>
        </w:tc>
        <w:tc>
          <w:tcPr>
            <w:tcW w:w="3154" w:type="dxa"/>
            <w:noWrap/>
            <w:vAlign w:val="center"/>
          </w:tcPr>
          <w:p>
            <w:pPr>
              <w:spacing w:line="560" w:lineRule="exact"/>
              <w:ind w:right="-168" w:rightChars="-80"/>
              <w:jc w:val="center"/>
              <w:rPr>
                <w:rFonts w:ascii="宋体" w:hAnsi="宋体" w:cs="宋体"/>
                <w:sz w:val="24"/>
              </w:rPr>
            </w:pPr>
          </w:p>
        </w:tc>
        <w:tc>
          <w:tcPr>
            <w:tcW w:w="2628" w:type="dxa"/>
            <w:noWrap/>
            <w:vAlign w:val="center"/>
          </w:tcPr>
          <w:p>
            <w:pPr>
              <w:spacing w:line="560" w:lineRule="exact"/>
              <w:ind w:right="-168" w:rightChars="-80"/>
              <w:jc w:val="center"/>
              <w:rPr>
                <w:rFonts w:ascii="宋体" w:hAnsi="宋体" w:cs="宋体"/>
                <w:sz w:val="24"/>
              </w:rPr>
            </w:pPr>
          </w:p>
        </w:tc>
        <w:tc>
          <w:tcPr>
            <w:tcW w:w="2102" w:type="dxa"/>
            <w:noWrap/>
            <w:vAlign w:val="center"/>
          </w:tcPr>
          <w:p>
            <w:pPr>
              <w:spacing w:line="560" w:lineRule="exact"/>
              <w:ind w:right="-168" w:rightChars="-80"/>
              <w:jc w:val="center"/>
              <w:rPr>
                <w:rFonts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jc w:val="center"/>
        </w:trPr>
        <w:tc>
          <w:tcPr>
            <w:tcW w:w="1156" w:type="dxa"/>
            <w:noWrap/>
            <w:vAlign w:val="center"/>
          </w:tcPr>
          <w:p>
            <w:pPr>
              <w:spacing w:line="560" w:lineRule="exact"/>
              <w:ind w:right="-168" w:rightChars="-80"/>
              <w:jc w:val="center"/>
              <w:rPr>
                <w:rFonts w:ascii="宋体" w:hAnsi="宋体" w:cs="宋体"/>
                <w:sz w:val="24"/>
              </w:rPr>
            </w:pPr>
          </w:p>
        </w:tc>
        <w:tc>
          <w:tcPr>
            <w:tcW w:w="3154" w:type="dxa"/>
            <w:noWrap/>
            <w:vAlign w:val="center"/>
          </w:tcPr>
          <w:p>
            <w:pPr>
              <w:spacing w:line="560" w:lineRule="exact"/>
              <w:ind w:right="-168" w:rightChars="-80"/>
              <w:jc w:val="center"/>
              <w:rPr>
                <w:rFonts w:ascii="宋体" w:hAnsi="宋体" w:cs="宋体"/>
                <w:sz w:val="24"/>
              </w:rPr>
            </w:pPr>
          </w:p>
        </w:tc>
        <w:tc>
          <w:tcPr>
            <w:tcW w:w="2628" w:type="dxa"/>
            <w:noWrap/>
            <w:vAlign w:val="center"/>
          </w:tcPr>
          <w:p>
            <w:pPr>
              <w:spacing w:line="560" w:lineRule="exact"/>
              <w:ind w:right="-168" w:rightChars="-80"/>
              <w:jc w:val="center"/>
              <w:rPr>
                <w:rFonts w:ascii="宋体" w:hAnsi="宋体" w:cs="宋体"/>
                <w:sz w:val="24"/>
              </w:rPr>
            </w:pPr>
          </w:p>
        </w:tc>
        <w:tc>
          <w:tcPr>
            <w:tcW w:w="2102" w:type="dxa"/>
            <w:noWrap/>
            <w:vAlign w:val="center"/>
          </w:tcPr>
          <w:p>
            <w:pPr>
              <w:spacing w:line="560" w:lineRule="exact"/>
              <w:ind w:right="-168" w:rightChars="-80"/>
              <w:jc w:val="center"/>
              <w:rPr>
                <w:rFonts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jc w:val="center"/>
        </w:trPr>
        <w:tc>
          <w:tcPr>
            <w:tcW w:w="1156" w:type="dxa"/>
            <w:noWrap/>
            <w:vAlign w:val="center"/>
          </w:tcPr>
          <w:p>
            <w:pPr>
              <w:spacing w:line="560" w:lineRule="exact"/>
              <w:ind w:right="-168" w:rightChars="-80"/>
              <w:jc w:val="center"/>
              <w:rPr>
                <w:rFonts w:ascii="宋体" w:hAnsi="宋体" w:cs="宋体"/>
                <w:sz w:val="24"/>
              </w:rPr>
            </w:pPr>
          </w:p>
        </w:tc>
        <w:tc>
          <w:tcPr>
            <w:tcW w:w="3154" w:type="dxa"/>
            <w:noWrap/>
            <w:vAlign w:val="center"/>
          </w:tcPr>
          <w:p>
            <w:pPr>
              <w:spacing w:line="560" w:lineRule="exact"/>
              <w:ind w:right="-168" w:rightChars="-80"/>
              <w:jc w:val="center"/>
              <w:rPr>
                <w:rFonts w:ascii="宋体" w:hAnsi="宋体" w:cs="宋体"/>
                <w:sz w:val="24"/>
              </w:rPr>
            </w:pPr>
          </w:p>
        </w:tc>
        <w:tc>
          <w:tcPr>
            <w:tcW w:w="2628" w:type="dxa"/>
            <w:noWrap/>
            <w:vAlign w:val="center"/>
          </w:tcPr>
          <w:p>
            <w:pPr>
              <w:spacing w:line="560" w:lineRule="exact"/>
              <w:ind w:right="-168" w:rightChars="-80"/>
              <w:jc w:val="center"/>
              <w:rPr>
                <w:rFonts w:ascii="宋体" w:hAnsi="宋体" w:cs="宋体"/>
                <w:sz w:val="24"/>
              </w:rPr>
            </w:pPr>
          </w:p>
        </w:tc>
        <w:tc>
          <w:tcPr>
            <w:tcW w:w="2102" w:type="dxa"/>
            <w:noWrap/>
            <w:vAlign w:val="center"/>
          </w:tcPr>
          <w:p>
            <w:pPr>
              <w:spacing w:line="560" w:lineRule="exact"/>
              <w:ind w:right="-168" w:rightChars="-80"/>
              <w:jc w:val="center"/>
              <w:rPr>
                <w:rFonts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jc w:val="center"/>
        </w:trPr>
        <w:tc>
          <w:tcPr>
            <w:tcW w:w="1156" w:type="dxa"/>
            <w:noWrap/>
            <w:vAlign w:val="center"/>
          </w:tcPr>
          <w:p>
            <w:pPr>
              <w:spacing w:line="560" w:lineRule="exact"/>
              <w:ind w:right="-168" w:rightChars="-80"/>
              <w:jc w:val="center"/>
              <w:rPr>
                <w:rFonts w:ascii="宋体" w:hAnsi="宋体" w:cs="宋体"/>
                <w:sz w:val="24"/>
              </w:rPr>
            </w:pPr>
          </w:p>
        </w:tc>
        <w:tc>
          <w:tcPr>
            <w:tcW w:w="3154" w:type="dxa"/>
            <w:noWrap/>
            <w:vAlign w:val="center"/>
          </w:tcPr>
          <w:p>
            <w:pPr>
              <w:spacing w:line="560" w:lineRule="exact"/>
              <w:ind w:right="-168" w:rightChars="-80"/>
              <w:jc w:val="center"/>
              <w:rPr>
                <w:rFonts w:ascii="宋体" w:hAnsi="宋体" w:cs="宋体"/>
                <w:sz w:val="24"/>
              </w:rPr>
            </w:pPr>
          </w:p>
        </w:tc>
        <w:tc>
          <w:tcPr>
            <w:tcW w:w="2628" w:type="dxa"/>
            <w:noWrap/>
            <w:vAlign w:val="center"/>
          </w:tcPr>
          <w:p>
            <w:pPr>
              <w:spacing w:line="560" w:lineRule="exact"/>
              <w:ind w:right="-168" w:rightChars="-80"/>
              <w:jc w:val="center"/>
              <w:rPr>
                <w:rFonts w:ascii="宋体" w:hAnsi="宋体" w:cs="宋体"/>
                <w:sz w:val="24"/>
              </w:rPr>
            </w:pPr>
          </w:p>
        </w:tc>
        <w:tc>
          <w:tcPr>
            <w:tcW w:w="2102" w:type="dxa"/>
            <w:noWrap/>
            <w:vAlign w:val="center"/>
          </w:tcPr>
          <w:p>
            <w:pPr>
              <w:spacing w:line="560" w:lineRule="exact"/>
              <w:ind w:right="-168" w:rightChars="-80"/>
              <w:jc w:val="center"/>
              <w:rPr>
                <w:rFonts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jc w:val="center"/>
        </w:trPr>
        <w:tc>
          <w:tcPr>
            <w:tcW w:w="1156" w:type="dxa"/>
            <w:noWrap/>
            <w:vAlign w:val="center"/>
          </w:tcPr>
          <w:p>
            <w:pPr>
              <w:spacing w:line="560" w:lineRule="exact"/>
              <w:ind w:right="-168" w:rightChars="-80"/>
              <w:jc w:val="center"/>
              <w:rPr>
                <w:rFonts w:ascii="宋体" w:hAnsi="宋体" w:cs="宋体"/>
                <w:sz w:val="24"/>
              </w:rPr>
            </w:pPr>
          </w:p>
        </w:tc>
        <w:tc>
          <w:tcPr>
            <w:tcW w:w="3154" w:type="dxa"/>
            <w:noWrap/>
            <w:vAlign w:val="center"/>
          </w:tcPr>
          <w:p>
            <w:pPr>
              <w:spacing w:line="560" w:lineRule="exact"/>
              <w:ind w:right="-168" w:rightChars="-80"/>
              <w:jc w:val="center"/>
              <w:rPr>
                <w:rFonts w:ascii="宋体" w:hAnsi="宋体" w:cs="宋体"/>
                <w:sz w:val="24"/>
              </w:rPr>
            </w:pPr>
          </w:p>
        </w:tc>
        <w:tc>
          <w:tcPr>
            <w:tcW w:w="2628" w:type="dxa"/>
            <w:noWrap/>
            <w:vAlign w:val="center"/>
          </w:tcPr>
          <w:p>
            <w:pPr>
              <w:spacing w:line="560" w:lineRule="exact"/>
              <w:ind w:right="-168" w:rightChars="-80"/>
              <w:jc w:val="center"/>
              <w:rPr>
                <w:rFonts w:ascii="宋体" w:hAnsi="宋体" w:cs="宋体"/>
                <w:sz w:val="24"/>
              </w:rPr>
            </w:pPr>
          </w:p>
        </w:tc>
        <w:tc>
          <w:tcPr>
            <w:tcW w:w="2102" w:type="dxa"/>
            <w:noWrap/>
            <w:vAlign w:val="center"/>
          </w:tcPr>
          <w:p>
            <w:pPr>
              <w:spacing w:line="560" w:lineRule="exact"/>
              <w:ind w:right="-168" w:rightChars="-80"/>
              <w:jc w:val="center"/>
              <w:rPr>
                <w:rFonts w:ascii="宋体" w:hAnsi="宋体" w:cs="宋体"/>
                <w:sz w:val="24"/>
              </w:rPr>
            </w:pPr>
          </w:p>
        </w:tc>
      </w:tr>
    </w:tbl>
    <w:p>
      <w:pPr>
        <w:rPr>
          <w:rFonts w:ascii="宋体" w:hAnsi="宋体" w:cs="宋体"/>
        </w:rPr>
      </w:pPr>
    </w:p>
    <w:p>
      <w:pPr>
        <w:spacing w:line="440" w:lineRule="exact"/>
        <w:rPr>
          <w:rFonts w:ascii="宋体" w:hAnsi="宋体" w:cs="宋体"/>
          <w:b/>
          <w:sz w:val="24"/>
        </w:rPr>
      </w:pPr>
      <w:r>
        <w:rPr>
          <w:rFonts w:hint="eastAsia" w:ascii="宋体" w:hAnsi="宋体" w:cs="宋体"/>
          <w:b/>
          <w:sz w:val="24"/>
        </w:rPr>
        <w:t>注：1.磋商文件需求：指在磋商文件中采购人所提出的技术要求。</w:t>
      </w:r>
    </w:p>
    <w:p>
      <w:pPr>
        <w:spacing w:line="440" w:lineRule="exact"/>
        <w:ind w:firstLine="482" w:firstLineChars="200"/>
        <w:rPr>
          <w:rFonts w:ascii="宋体" w:hAnsi="宋体" w:cs="宋体"/>
          <w:b/>
          <w:sz w:val="24"/>
        </w:rPr>
      </w:pPr>
      <w:r>
        <w:rPr>
          <w:rFonts w:hint="eastAsia" w:ascii="宋体" w:hAnsi="宋体" w:cs="宋体"/>
          <w:b/>
          <w:sz w:val="24"/>
        </w:rPr>
        <w:t>2.响应文件情况：指在响应文件中供应商对磋商文件技术务要求的响应内容。</w:t>
      </w:r>
    </w:p>
    <w:p>
      <w:pPr>
        <w:spacing w:line="440" w:lineRule="exact"/>
        <w:ind w:firstLine="482" w:firstLineChars="200"/>
        <w:rPr>
          <w:rFonts w:ascii="宋体" w:hAnsi="宋体" w:cs="宋体"/>
          <w:b/>
          <w:sz w:val="24"/>
        </w:rPr>
      </w:pPr>
      <w:r>
        <w:rPr>
          <w:rFonts w:hint="eastAsia" w:ascii="宋体" w:hAnsi="宋体" w:cs="宋体"/>
          <w:b/>
          <w:sz w:val="24"/>
        </w:rPr>
        <w:t>3.偏离情况包括：无偏离、优于、低于，优于请说明情况。</w:t>
      </w:r>
    </w:p>
    <w:p>
      <w:pPr>
        <w:pStyle w:val="3"/>
        <w:rPr>
          <w:rFonts w:ascii="宋体" w:hAnsi="宋体" w:cs="宋体"/>
          <w:b/>
          <w:sz w:val="24"/>
        </w:rPr>
      </w:pPr>
    </w:p>
    <w:p>
      <w:pPr>
        <w:spacing w:line="480" w:lineRule="auto"/>
        <w:ind w:firstLine="240" w:firstLineChars="100"/>
        <w:jc w:val="center"/>
        <w:rPr>
          <w:rFonts w:ascii="宋体" w:hAnsi="宋体" w:cs="宋体"/>
          <w:sz w:val="24"/>
        </w:rPr>
      </w:pPr>
      <w:r>
        <w:rPr>
          <w:rFonts w:hint="eastAsia" w:ascii="宋体" w:hAnsi="宋体" w:cs="宋体"/>
          <w:sz w:val="24"/>
        </w:rPr>
        <w:t xml:space="preserve">             </w:t>
      </w:r>
    </w:p>
    <w:p>
      <w:pPr>
        <w:spacing w:line="480" w:lineRule="auto"/>
        <w:ind w:firstLine="240" w:firstLineChars="100"/>
        <w:jc w:val="center"/>
        <w:rPr>
          <w:rFonts w:ascii="宋体" w:hAnsi="宋体" w:cs="宋体"/>
          <w:sz w:val="24"/>
        </w:rPr>
      </w:pPr>
      <w:r>
        <w:rPr>
          <w:rFonts w:hint="eastAsia" w:ascii="宋体" w:hAnsi="宋体" w:cs="宋体"/>
          <w:sz w:val="24"/>
        </w:rPr>
        <w:t xml:space="preserve">            供应商名称：（盖章）</w:t>
      </w:r>
    </w:p>
    <w:p>
      <w:pPr>
        <w:spacing w:line="480" w:lineRule="auto"/>
        <w:ind w:firstLine="240" w:firstLineChars="100"/>
        <w:jc w:val="center"/>
        <w:rPr>
          <w:rFonts w:ascii="宋体" w:hAnsi="宋体" w:cs="宋体"/>
          <w:sz w:val="24"/>
        </w:rPr>
      </w:pPr>
      <w:r>
        <w:rPr>
          <w:rFonts w:hint="eastAsia" w:ascii="宋体" w:hAnsi="宋体" w:cs="宋体"/>
          <w:sz w:val="24"/>
        </w:rPr>
        <w:t xml:space="preserve">                             法定代表人或委托代理人：(签字或盖章)</w:t>
      </w:r>
    </w:p>
    <w:p>
      <w:pPr>
        <w:spacing w:line="480" w:lineRule="auto"/>
        <w:ind w:firstLine="240" w:firstLineChars="100"/>
        <w:jc w:val="center"/>
        <w:rPr>
          <w:rFonts w:ascii="宋体" w:hAnsi="宋体" w:cs="宋体"/>
          <w:sz w:val="24"/>
        </w:rPr>
      </w:pPr>
      <w:r>
        <w:rPr>
          <w:rFonts w:hint="eastAsia" w:ascii="宋体" w:hAnsi="宋体" w:cs="宋体"/>
          <w:sz w:val="24"/>
        </w:rPr>
        <w:t xml:space="preserve">                      日      期：  年   月     日</w:t>
      </w:r>
    </w:p>
    <w:p>
      <w:pPr>
        <w:sectPr>
          <w:pgSz w:w="11906" w:h="16838"/>
          <w:pgMar w:top="1440" w:right="1080" w:bottom="1440" w:left="1080" w:header="1077" w:footer="907" w:gutter="0"/>
          <w:cols w:space="720" w:num="1"/>
          <w:titlePg/>
          <w:docGrid w:type="lines" w:linePitch="312" w:charSpace="0"/>
        </w:sectPr>
      </w:pPr>
    </w:p>
    <w:p>
      <w:pPr>
        <w:spacing w:line="360" w:lineRule="auto"/>
        <w:jc w:val="center"/>
        <w:rPr>
          <w:rFonts w:ascii="宋体" w:hAnsi="宋体" w:cs="宋体"/>
          <w:b/>
          <w:kern w:val="0"/>
          <w:sz w:val="28"/>
          <w:szCs w:val="28"/>
        </w:rPr>
      </w:pPr>
      <w:r>
        <w:rPr>
          <w:rFonts w:hint="eastAsia" w:ascii="宋体" w:hAnsi="宋体" w:cs="宋体"/>
          <w:b/>
          <w:kern w:val="0"/>
          <w:sz w:val="28"/>
          <w:szCs w:val="28"/>
        </w:rPr>
        <w:t>四、商务偏离表</w:t>
      </w:r>
    </w:p>
    <w:tbl>
      <w:tblPr>
        <w:tblStyle w:val="19"/>
        <w:tblW w:w="0" w:type="auto"/>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752"/>
        <w:gridCol w:w="2341"/>
        <w:gridCol w:w="2678"/>
        <w:gridCol w:w="1167"/>
        <w:gridCol w:w="2148"/>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832" w:hRule="atLeast"/>
          <w:jc w:val="center"/>
        </w:trPr>
        <w:tc>
          <w:tcPr>
            <w:tcW w:w="752" w:type="dxa"/>
            <w:vAlign w:val="center"/>
          </w:tcPr>
          <w:p>
            <w:pPr>
              <w:spacing w:line="360" w:lineRule="exact"/>
              <w:ind w:right="-168" w:rightChars="-80"/>
              <w:jc w:val="center"/>
              <w:rPr>
                <w:rFonts w:ascii="宋体" w:hAnsi="宋体" w:cs="宋体"/>
                <w:sz w:val="24"/>
              </w:rPr>
            </w:pPr>
            <w:r>
              <w:rPr>
                <w:rFonts w:hint="eastAsia" w:ascii="宋体" w:hAnsi="宋体" w:cs="宋体"/>
                <w:sz w:val="24"/>
              </w:rPr>
              <w:t>序号</w:t>
            </w:r>
          </w:p>
        </w:tc>
        <w:tc>
          <w:tcPr>
            <w:tcW w:w="2341" w:type="dxa"/>
            <w:vAlign w:val="center"/>
          </w:tcPr>
          <w:p>
            <w:pPr>
              <w:spacing w:line="360" w:lineRule="exact"/>
              <w:ind w:right="-168" w:rightChars="-80"/>
              <w:jc w:val="center"/>
              <w:rPr>
                <w:rFonts w:ascii="宋体" w:hAnsi="宋体" w:cs="宋体"/>
                <w:sz w:val="24"/>
              </w:rPr>
            </w:pPr>
            <w:r>
              <w:rPr>
                <w:rFonts w:hint="eastAsia" w:ascii="宋体" w:hAnsi="宋体" w:cs="宋体"/>
                <w:sz w:val="24"/>
              </w:rPr>
              <w:t>磋商文件</w:t>
            </w:r>
          </w:p>
          <w:p>
            <w:pPr>
              <w:spacing w:line="360" w:lineRule="exact"/>
              <w:ind w:right="-168" w:rightChars="-80"/>
              <w:jc w:val="center"/>
              <w:rPr>
                <w:rFonts w:ascii="宋体" w:hAnsi="宋体" w:cs="宋体"/>
                <w:sz w:val="24"/>
              </w:rPr>
            </w:pPr>
            <w:r>
              <w:rPr>
                <w:rFonts w:hint="eastAsia" w:ascii="宋体" w:hAnsi="宋体" w:cs="宋体"/>
                <w:sz w:val="24"/>
              </w:rPr>
              <w:t>商务主要条款</w:t>
            </w:r>
          </w:p>
          <w:p>
            <w:pPr>
              <w:spacing w:line="360" w:lineRule="exact"/>
              <w:ind w:right="-168" w:rightChars="-80"/>
              <w:jc w:val="center"/>
              <w:rPr>
                <w:rFonts w:ascii="宋体" w:hAnsi="宋体" w:cs="宋体"/>
                <w:sz w:val="24"/>
              </w:rPr>
            </w:pPr>
            <w:r>
              <w:rPr>
                <w:rFonts w:hint="eastAsia" w:ascii="宋体" w:hAnsi="宋体" w:cs="宋体"/>
                <w:sz w:val="24"/>
              </w:rPr>
              <w:t>要求</w:t>
            </w:r>
          </w:p>
        </w:tc>
        <w:tc>
          <w:tcPr>
            <w:tcW w:w="2678" w:type="dxa"/>
            <w:vAlign w:val="center"/>
          </w:tcPr>
          <w:p>
            <w:pPr>
              <w:spacing w:line="360" w:lineRule="exact"/>
              <w:ind w:right="-168" w:rightChars="-80"/>
              <w:jc w:val="center"/>
              <w:rPr>
                <w:rFonts w:ascii="宋体" w:hAnsi="宋体" w:cs="宋体"/>
                <w:sz w:val="24"/>
              </w:rPr>
            </w:pPr>
            <w:r>
              <w:rPr>
                <w:rFonts w:hint="eastAsia" w:ascii="宋体" w:hAnsi="宋体" w:cs="宋体"/>
                <w:sz w:val="24"/>
              </w:rPr>
              <w:t>磋商响应文件</w:t>
            </w:r>
          </w:p>
          <w:p>
            <w:pPr>
              <w:spacing w:line="360" w:lineRule="exact"/>
              <w:ind w:right="-168" w:rightChars="-80"/>
              <w:jc w:val="center"/>
              <w:rPr>
                <w:rFonts w:ascii="宋体" w:hAnsi="宋体" w:cs="宋体"/>
                <w:sz w:val="24"/>
              </w:rPr>
            </w:pPr>
            <w:r>
              <w:rPr>
                <w:rFonts w:hint="eastAsia" w:ascii="宋体" w:hAnsi="宋体" w:cs="宋体"/>
                <w:sz w:val="24"/>
              </w:rPr>
              <w:t>商务主要条款</w:t>
            </w:r>
          </w:p>
          <w:p>
            <w:pPr>
              <w:spacing w:line="360" w:lineRule="exact"/>
              <w:ind w:right="-168" w:rightChars="-80"/>
              <w:jc w:val="center"/>
              <w:rPr>
                <w:rFonts w:ascii="宋体" w:hAnsi="宋体" w:cs="宋体"/>
                <w:sz w:val="24"/>
              </w:rPr>
            </w:pPr>
            <w:r>
              <w:rPr>
                <w:rFonts w:hint="eastAsia" w:ascii="宋体" w:hAnsi="宋体" w:cs="宋体"/>
                <w:sz w:val="24"/>
              </w:rPr>
              <w:t>响应</w:t>
            </w:r>
          </w:p>
        </w:tc>
        <w:tc>
          <w:tcPr>
            <w:tcW w:w="1167" w:type="dxa"/>
            <w:vAlign w:val="center"/>
          </w:tcPr>
          <w:p>
            <w:pPr>
              <w:spacing w:line="360" w:lineRule="exact"/>
              <w:ind w:right="-168" w:rightChars="-80"/>
              <w:jc w:val="center"/>
              <w:rPr>
                <w:rFonts w:ascii="宋体" w:hAnsi="宋体" w:cs="宋体"/>
                <w:sz w:val="24"/>
              </w:rPr>
            </w:pPr>
            <w:r>
              <w:rPr>
                <w:rFonts w:hint="eastAsia" w:ascii="宋体" w:hAnsi="宋体" w:cs="宋体"/>
                <w:sz w:val="24"/>
              </w:rPr>
              <w:t>偏离</w:t>
            </w:r>
          </w:p>
        </w:tc>
        <w:tc>
          <w:tcPr>
            <w:tcW w:w="2148" w:type="dxa"/>
            <w:vAlign w:val="center"/>
          </w:tcPr>
          <w:p>
            <w:pPr>
              <w:spacing w:line="360" w:lineRule="exact"/>
              <w:ind w:right="-168" w:rightChars="-80"/>
              <w:jc w:val="center"/>
              <w:rPr>
                <w:rFonts w:ascii="宋体" w:hAnsi="宋体" w:cs="宋体"/>
                <w:sz w:val="24"/>
              </w:rPr>
            </w:pPr>
            <w:r>
              <w:rPr>
                <w:rFonts w:hint="eastAsia" w:ascii="宋体" w:hAnsi="宋体" w:cs="宋体"/>
                <w:sz w:val="24"/>
              </w:rPr>
              <w:t>偏离</w:t>
            </w:r>
          </w:p>
          <w:p>
            <w:pPr>
              <w:spacing w:line="360" w:lineRule="exact"/>
              <w:ind w:right="-168" w:rightChars="-80"/>
              <w:jc w:val="center"/>
              <w:rPr>
                <w:rFonts w:ascii="宋体" w:hAnsi="宋体" w:cs="宋体"/>
                <w:sz w:val="24"/>
              </w:rPr>
            </w:pPr>
            <w:r>
              <w:rPr>
                <w:rFonts w:hint="eastAsia" w:ascii="宋体" w:hAnsi="宋体" w:cs="宋体"/>
                <w:sz w:val="24"/>
              </w:rPr>
              <w:t>及其影响</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80" w:hRule="exact"/>
          <w:jc w:val="center"/>
        </w:trPr>
        <w:tc>
          <w:tcPr>
            <w:tcW w:w="752" w:type="dxa"/>
          </w:tcPr>
          <w:p>
            <w:pPr>
              <w:adjustRightInd w:val="0"/>
              <w:snapToGrid w:val="0"/>
              <w:spacing w:line="360" w:lineRule="auto"/>
              <w:ind w:right="24"/>
              <w:rPr>
                <w:rFonts w:ascii="仿宋_GB2312" w:eastAsia="仿宋_GB2312"/>
                <w:bCs/>
                <w:sz w:val="32"/>
                <w:szCs w:val="32"/>
              </w:rPr>
            </w:pPr>
          </w:p>
        </w:tc>
        <w:tc>
          <w:tcPr>
            <w:tcW w:w="2341" w:type="dxa"/>
          </w:tcPr>
          <w:p>
            <w:pPr>
              <w:adjustRightInd w:val="0"/>
              <w:snapToGrid w:val="0"/>
              <w:spacing w:line="360" w:lineRule="auto"/>
              <w:ind w:right="24"/>
              <w:rPr>
                <w:rFonts w:ascii="仿宋_GB2312" w:eastAsia="仿宋_GB2312"/>
                <w:bCs/>
                <w:sz w:val="32"/>
                <w:szCs w:val="32"/>
              </w:rPr>
            </w:pPr>
          </w:p>
        </w:tc>
        <w:tc>
          <w:tcPr>
            <w:tcW w:w="2678" w:type="dxa"/>
          </w:tcPr>
          <w:p>
            <w:pPr>
              <w:adjustRightInd w:val="0"/>
              <w:snapToGrid w:val="0"/>
              <w:spacing w:line="360" w:lineRule="auto"/>
              <w:ind w:right="24"/>
              <w:rPr>
                <w:rFonts w:ascii="仿宋_GB2312" w:eastAsia="仿宋_GB2312"/>
                <w:bCs/>
                <w:sz w:val="32"/>
                <w:szCs w:val="32"/>
              </w:rPr>
            </w:pPr>
          </w:p>
        </w:tc>
        <w:tc>
          <w:tcPr>
            <w:tcW w:w="1167" w:type="dxa"/>
          </w:tcPr>
          <w:p>
            <w:pPr>
              <w:adjustRightInd w:val="0"/>
              <w:snapToGrid w:val="0"/>
              <w:spacing w:line="360" w:lineRule="auto"/>
              <w:ind w:right="24"/>
              <w:rPr>
                <w:rFonts w:ascii="仿宋_GB2312" w:eastAsia="仿宋_GB2312"/>
                <w:bCs/>
                <w:sz w:val="32"/>
                <w:szCs w:val="32"/>
              </w:rPr>
            </w:pPr>
          </w:p>
        </w:tc>
        <w:tc>
          <w:tcPr>
            <w:tcW w:w="2148" w:type="dxa"/>
          </w:tcPr>
          <w:p>
            <w:pPr>
              <w:adjustRightInd w:val="0"/>
              <w:snapToGrid w:val="0"/>
              <w:spacing w:line="360" w:lineRule="auto"/>
              <w:ind w:right="24"/>
              <w:rPr>
                <w:rFonts w:ascii="仿宋_GB2312" w:eastAsia="仿宋_GB2312"/>
                <w:bCs/>
                <w:sz w:val="32"/>
                <w:szCs w:val="32"/>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80" w:hRule="exact"/>
          <w:jc w:val="center"/>
        </w:trPr>
        <w:tc>
          <w:tcPr>
            <w:tcW w:w="752" w:type="dxa"/>
          </w:tcPr>
          <w:p>
            <w:pPr>
              <w:adjustRightInd w:val="0"/>
              <w:snapToGrid w:val="0"/>
              <w:spacing w:line="360" w:lineRule="auto"/>
              <w:ind w:right="24"/>
            </w:pPr>
          </w:p>
          <w:p>
            <w:pPr>
              <w:pStyle w:val="14"/>
            </w:pPr>
          </w:p>
        </w:tc>
        <w:tc>
          <w:tcPr>
            <w:tcW w:w="2341" w:type="dxa"/>
          </w:tcPr>
          <w:p>
            <w:pPr>
              <w:adjustRightInd w:val="0"/>
              <w:snapToGrid w:val="0"/>
              <w:spacing w:line="360" w:lineRule="auto"/>
              <w:ind w:right="24"/>
              <w:rPr>
                <w:rFonts w:ascii="仿宋_GB2312" w:eastAsia="仿宋_GB2312"/>
                <w:bCs/>
                <w:sz w:val="32"/>
                <w:szCs w:val="32"/>
              </w:rPr>
            </w:pPr>
          </w:p>
        </w:tc>
        <w:tc>
          <w:tcPr>
            <w:tcW w:w="2678" w:type="dxa"/>
          </w:tcPr>
          <w:p>
            <w:pPr>
              <w:adjustRightInd w:val="0"/>
              <w:snapToGrid w:val="0"/>
              <w:spacing w:line="360" w:lineRule="auto"/>
              <w:ind w:right="24"/>
              <w:rPr>
                <w:rFonts w:ascii="仿宋_GB2312" w:eastAsia="仿宋_GB2312"/>
                <w:bCs/>
                <w:sz w:val="32"/>
                <w:szCs w:val="32"/>
              </w:rPr>
            </w:pPr>
          </w:p>
        </w:tc>
        <w:tc>
          <w:tcPr>
            <w:tcW w:w="1167" w:type="dxa"/>
          </w:tcPr>
          <w:p>
            <w:pPr>
              <w:adjustRightInd w:val="0"/>
              <w:snapToGrid w:val="0"/>
              <w:spacing w:line="360" w:lineRule="auto"/>
              <w:ind w:right="24"/>
              <w:rPr>
                <w:rFonts w:ascii="仿宋_GB2312" w:eastAsia="仿宋_GB2312"/>
                <w:bCs/>
                <w:sz w:val="32"/>
                <w:szCs w:val="32"/>
              </w:rPr>
            </w:pPr>
          </w:p>
        </w:tc>
        <w:tc>
          <w:tcPr>
            <w:tcW w:w="2148" w:type="dxa"/>
          </w:tcPr>
          <w:p>
            <w:pPr>
              <w:adjustRightInd w:val="0"/>
              <w:snapToGrid w:val="0"/>
              <w:spacing w:line="360" w:lineRule="auto"/>
              <w:ind w:right="24"/>
              <w:rPr>
                <w:rFonts w:ascii="仿宋_GB2312" w:eastAsia="仿宋_GB2312"/>
                <w:bCs/>
                <w:sz w:val="32"/>
                <w:szCs w:val="32"/>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80" w:hRule="exact"/>
          <w:jc w:val="center"/>
        </w:trPr>
        <w:tc>
          <w:tcPr>
            <w:tcW w:w="752" w:type="dxa"/>
          </w:tcPr>
          <w:p>
            <w:pPr>
              <w:adjustRightInd w:val="0"/>
              <w:snapToGrid w:val="0"/>
              <w:spacing w:line="360" w:lineRule="auto"/>
              <w:ind w:right="24"/>
              <w:rPr>
                <w:rFonts w:ascii="仿宋_GB2312" w:eastAsia="仿宋_GB2312"/>
                <w:bCs/>
                <w:sz w:val="32"/>
                <w:szCs w:val="32"/>
              </w:rPr>
            </w:pPr>
          </w:p>
        </w:tc>
        <w:tc>
          <w:tcPr>
            <w:tcW w:w="2341" w:type="dxa"/>
          </w:tcPr>
          <w:p>
            <w:pPr>
              <w:adjustRightInd w:val="0"/>
              <w:snapToGrid w:val="0"/>
              <w:spacing w:line="360" w:lineRule="auto"/>
              <w:ind w:right="24"/>
              <w:rPr>
                <w:rFonts w:ascii="仿宋_GB2312" w:eastAsia="仿宋_GB2312"/>
                <w:bCs/>
                <w:sz w:val="32"/>
                <w:szCs w:val="32"/>
              </w:rPr>
            </w:pPr>
          </w:p>
        </w:tc>
        <w:tc>
          <w:tcPr>
            <w:tcW w:w="2678" w:type="dxa"/>
          </w:tcPr>
          <w:p>
            <w:pPr>
              <w:adjustRightInd w:val="0"/>
              <w:snapToGrid w:val="0"/>
              <w:spacing w:line="360" w:lineRule="auto"/>
              <w:ind w:right="24"/>
              <w:rPr>
                <w:rFonts w:ascii="仿宋_GB2312" w:eastAsia="仿宋_GB2312"/>
                <w:bCs/>
                <w:sz w:val="32"/>
                <w:szCs w:val="32"/>
              </w:rPr>
            </w:pPr>
          </w:p>
        </w:tc>
        <w:tc>
          <w:tcPr>
            <w:tcW w:w="1167" w:type="dxa"/>
          </w:tcPr>
          <w:p>
            <w:pPr>
              <w:adjustRightInd w:val="0"/>
              <w:snapToGrid w:val="0"/>
              <w:spacing w:line="360" w:lineRule="auto"/>
              <w:ind w:right="24"/>
              <w:rPr>
                <w:rFonts w:ascii="仿宋_GB2312" w:eastAsia="仿宋_GB2312"/>
                <w:bCs/>
                <w:sz w:val="32"/>
                <w:szCs w:val="32"/>
              </w:rPr>
            </w:pPr>
          </w:p>
        </w:tc>
        <w:tc>
          <w:tcPr>
            <w:tcW w:w="2148" w:type="dxa"/>
          </w:tcPr>
          <w:p>
            <w:pPr>
              <w:adjustRightInd w:val="0"/>
              <w:snapToGrid w:val="0"/>
              <w:spacing w:line="360" w:lineRule="auto"/>
              <w:ind w:right="24"/>
              <w:rPr>
                <w:rFonts w:ascii="仿宋_GB2312" w:eastAsia="仿宋_GB2312"/>
                <w:bCs/>
                <w:sz w:val="32"/>
                <w:szCs w:val="32"/>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80" w:hRule="exact"/>
          <w:jc w:val="center"/>
        </w:trPr>
        <w:tc>
          <w:tcPr>
            <w:tcW w:w="752" w:type="dxa"/>
          </w:tcPr>
          <w:p>
            <w:pPr>
              <w:adjustRightInd w:val="0"/>
              <w:snapToGrid w:val="0"/>
              <w:spacing w:line="360" w:lineRule="auto"/>
              <w:ind w:right="24"/>
              <w:rPr>
                <w:rFonts w:ascii="仿宋_GB2312" w:eastAsia="仿宋_GB2312"/>
                <w:bCs/>
                <w:sz w:val="32"/>
                <w:szCs w:val="32"/>
              </w:rPr>
            </w:pPr>
          </w:p>
        </w:tc>
        <w:tc>
          <w:tcPr>
            <w:tcW w:w="2341" w:type="dxa"/>
          </w:tcPr>
          <w:p>
            <w:pPr>
              <w:adjustRightInd w:val="0"/>
              <w:snapToGrid w:val="0"/>
              <w:spacing w:line="360" w:lineRule="auto"/>
              <w:ind w:right="24"/>
              <w:rPr>
                <w:rFonts w:ascii="仿宋_GB2312" w:eastAsia="仿宋_GB2312"/>
                <w:bCs/>
                <w:sz w:val="32"/>
                <w:szCs w:val="32"/>
              </w:rPr>
            </w:pPr>
          </w:p>
        </w:tc>
        <w:tc>
          <w:tcPr>
            <w:tcW w:w="2678" w:type="dxa"/>
          </w:tcPr>
          <w:p>
            <w:pPr>
              <w:adjustRightInd w:val="0"/>
              <w:snapToGrid w:val="0"/>
              <w:spacing w:line="360" w:lineRule="auto"/>
              <w:ind w:right="24"/>
              <w:rPr>
                <w:rFonts w:ascii="仿宋_GB2312" w:eastAsia="仿宋_GB2312"/>
                <w:bCs/>
                <w:sz w:val="32"/>
                <w:szCs w:val="32"/>
              </w:rPr>
            </w:pPr>
          </w:p>
        </w:tc>
        <w:tc>
          <w:tcPr>
            <w:tcW w:w="1167" w:type="dxa"/>
          </w:tcPr>
          <w:p>
            <w:pPr>
              <w:adjustRightInd w:val="0"/>
              <w:snapToGrid w:val="0"/>
              <w:spacing w:line="360" w:lineRule="auto"/>
              <w:ind w:right="24"/>
              <w:rPr>
                <w:rFonts w:ascii="仿宋_GB2312" w:eastAsia="仿宋_GB2312"/>
                <w:bCs/>
                <w:sz w:val="32"/>
                <w:szCs w:val="32"/>
              </w:rPr>
            </w:pPr>
          </w:p>
        </w:tc>
        <w:tc>
          <w:tcPr>
            <w:tcW w:w="2148" w:type="dxa"/>
          </w:tcPr>
          <w:p>
            <w:pPr>
              <w:adjustRightInd w:val="0"/>
              <w:snapToGrid w:val="0"/>
              <w:spacing w:line="360" w:lineRule="auto"/>
              <w:ind w:right="24"/>
              <w:rPr>
                <w:rFonts w:ascii="仿宋_GB2312" w:eastAsia="仿宋_GB2312"/>
                <w:bCs/>
                <w:sz w:val="32"/>
                <w:szCs w:val="32"/>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80" w:hRule="exact"/>
          <w:jc w:val="center"/>
        </w:trPr>
        <w:tc>
          <w:tcPr>
            <w:tcW w:w="752" w:type="dxa"/>
          </w:tcPr>
          <w:p>
            <w:pPr>
              <w:adjustRightInd w:val="0"/>
              <w:snapToGrid w:val="0"/>
              <w:spacing w:line="360" w:lineRule="auto"/>
              <w:ind w:right="24"/>
              <w:rPr>
                <w:rFonts w:ascii="仿宋_GB2312" w:eastAsia="仿宋_GB2312"/>
                <w:bCs/>
                <w:sz w:val="32"/>
                <w:szCs w:val="32"/>
              </w:rPr>
            </w:pPr>
          </w:p>
        </w:tc>
        <w:tc>
          <w:tcPr>
            <w:tcW w:w="2341" w:type="dxa"/>
          </w:tcPr>
          <w:p>
            <w:pPr>
              <w:adjustRightInd w:val="0"/>
              <w:snapToGrid w:val="0"/>
              <w:spacing w:line="360" w:lineRule="auto"/>
              <w:ind w:right="24"/>
              <w:rPr>
                <w:rFonts w:ascii="仿宋_GB2312" w:eastAsia="仿宋_GB2312"/>
                <w:bCs/>
                <w:sz w:val="32"/>
                <w:szCs w:val="32"/>
              </w:rPr>
            </w:pPr>
          </w:p>
        </w:tc>
        <w:tc>
          <w:tcPr>
            <w:tcW w:w="2678" w:type="dxa"/>
          </w:tcPr>
          <w:p>
            <w:pPr>
              <w:adjustRightInd w:val="0"/>
              <w:snapToGrid w:val="0"/>
              <w:spacing w:line="360" w:lineRule="auto"/>
              <w:ind w:right="24"/>
              <w:rPr>
                <w:rFonts w:ascii="仿宋_GB2312" w:eastAsia="仿宋_GB2312"/>
                <w:bCs/>
                <w:sz w:val="32"/>
                <w:szCs w:val="32"/>
              </w:rPr>
            </w:pPr>
          </w:p>
        </w:tc>
        <w:tc>
          <w:tcPr>
            <w:tcW w:w="1167" w:type="dxa"/>
          </w:tcPr>
          <w:p>
            <w:pPr>
              <w:adjustRightInd w:val="0"/>
              <w:snapToGrid w:val="0"/>
              <w:spacing w:line="360" w:lineRule="auto"/>
              <w:ind w:right="24"/>
              <w:rPr>
                <w:rFonts w:ascii="仿宋_GB2312" w:eastAsia="仿宋_GB2312"/>
                <w:bCs/>
                <w:sz w:val="32"/>
                <w:szCs w:val="32"/>
              </w:rPr>
            </w:pPr>
          </w:p>
        </w:tc>
        <w:tc>
          <w:tcPr>
            <w:tcW w:w="2148" w:type="dxa"/>
          </w:tcPr>
          <w:p>
            <w:pPr>
              <w:adjustRightInd w:val="0"/>
              <w:snapToGrid w:val="0"/>
              <w:spacing w:line="360" w:lineRule="auto"/>
              <w:ind w:right="24"/>
              <w:rPr>
                <w:rFonts w:ascii="仿宋_GB2312" w:eastAsia="仿宋_GB2312"/>
                <w:bCs/>
                <w:sz w:val="32"/>
                <w:szCs w:val="32"/>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80" w:hRule="exact"/>
          <w:jc w:val="center"/>
        </w:trPr>
        <w:tc>
          <w:tcPr>
            <w:tcW w:w="752" w:type="dxa"/>
          </w:tcPr>
          <w:p>
            <w:pPr>
              <w:adjustRightInd w:val="0"/>
              <w:snapToGrid w:val="0"/>
              <w:spacing w:line="360" w:lineRule="auto"/>
              <w:ind w:right="24"/>
              <w:rPr>
                <w:rFonts w:ascii="仿宋_GB2312" w:eastAsia="仿宋_GB2312"/>
                <w:bCs/>
                <w:sz w:val="32"/>
                <w:szCs w:val="32"/>
              </w:rPr>
            </w:pPr>
          </w:p>
        </w:tc>
        <w:tc>
          <w:tcPr>
            <w:tcW w:w="2341" w:type="dxa"/>
          </w:tcPr>
          <w:p>
            <w:pPr>
              <w:adjustRightInd w:val="0"/>
              <w:snapToGrid w:val="0"/>
              <w:spacing w:line="360" w:lineRule="auto"/>
              <w:ind w:right="24"/>
              <w:rPr>
                <w:rFonts w:ascii="仿宋_GB2312" w:eastAsia="仿宋_GB2312"/>
                <w:bCs/>
                <w:sz w:val="32"/>
                <w:szCs w:val="32"/>
              </w:rPr>
            </w:pPr>
          </w:p>
        </w:tc>
        <w:tc>
          <w:tcPr>
            <w:tcW w:w="2678" w:type="dxa"/>
          </w:tcPr>
          <w:p>
            <w:pPr>
              <w:adjustRightInd w:val="0"/>
              <w:snapToGrid w:val="0"/>
              <w:spacing w:line="360" w:lineRule="auto"/>
              <w:ind w:right="24"/>
              <w:rPr>
                <w:rFonts w:ascii="仿宋_GB2312" w:eastAsia="仿宋_GB2312"/>
                <w:bCs/>
                <w:sz w:val="32"/>
                <w:szCs w:val="32"/>
              </w:rPr>
            </w:pPr>
          </w:p>
        </w:tc>
        <w:tc>
          <w:tcPr>
            <w:tcW w:w="1167" w:type="dxa"/>
          </w:tcPr>
          <w:p>
            <w:pPr>
              <w:adjustRightInd w:val="0"/>
              <w:snapToGrid w:val="0"/>
              <w:spacing w:line="360" w:lineRule="auto"/>
              <w:ind w:right="24"/>
              <w:rPr>
                <w:rFonts w:ascii="仿宋_GB2312" w:eastAsia="仿宋_GB2312"/>
                <w:bCs/>
                <w:sz w:val="32"/>
                <w:szCs w:val="32"/>
              </w:rPr>
            </w:pPr>
          </w:p>
        </w:tc>
        <w:tc>
          <w:tcPr>
            <w:tcW w:w="2148" w:type="dxa"/>
          </w:tcPr>
          <w:p>
            <w:pPr>
              <w:adjustRightInd w:val="0"/>
              <w:snapToGrid w:val="0"/>
              <w:spacing w:line="360" w:lineRule="auto"/>
              <w:ind w:right="24"/>
              <w:rPr>
                <w:rFonts w:ascii="仿宋_GB2312" w:eastAsia="仿宋_GB2312"/>
                <w:bCs/>
                <w:sz w:val="32"/>
                <w:szCs w:val="32"/>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80" w:hRule="exact"/>
          <w:jc w:val="center"/>
        </w:trPr>
        <w:tc>
          <w:tcPr>
            <w:tcW w:w="752" w:type="dxa"/>
          </w:tcPr>
          <w:p>
            <w:pPr>
              <w:adjustRightInd w:val="0"/>
              <w:snapToGrid w:val="0"/>
              <w:spacing w:line="360" w:lineRule="auto"/>
              <w:ind w:right="24"/>
              <w:rPr>
                <w:rFonts w:ascii="仿宋_GB2312" w:eastAsia="仿宋_GB2312"/>
                <w:bCs/>
                <w:sz w:val="32"/>
                <w:szCs w:val="32"/>
              </w:rPr>
            </w:pPr>
          </w:p>
        </w:tc>
        <w:tc>
          <w:tcPr>
            <w:tcW w:w="2341" w:type="dxa"/>
          </w:tcPr>
          <w:p>
            <w:pPr>
              <w:adjustRightInd w:val="0"/>
              <w:snapToGrid w:val="0"/>
              <w:spacing w:line="360" w:lineRule="auto"/>
              <w:ind w:right="24"/>
              <w:rPr>
                <w:rFonts w:ascii="仿宋_GB2312" w:eastAsia="仿宋_GB2312"/>
                <w:bCs/>
                <w:sz w:val="32"/>
                <w:szCs w:val="32"/>
              </w:rPr>
            </w:pPr>
          </w:p>
        </w:tc>
        <w:tc>
          <w:tcPr>
            <w:tcW w:w="2678" w:type="dxa"/>
          </w:tcPr>
          <w:p>
            <w:pPr>
              <w:adjustRightInd w:val="0"/>
              <w:snapToGrid w:val="0"/>
              <w:spacing w:line="360" w:lineRule="auto"/>
              <w:ind w:right="24"/>
              <w:rPr>
                <w:rFonts w:ascii="仿宋_GB2312" w:eastAsia="仿宋_GB2312"/>
                <w:bCs/>
                <w:sz w:val="32"/>
                <w:szCs w:val="32"/>
              </w:rPr>
            </w:pPr>
          </w:p>
        </w:tc>
        <w:tc>
          <w:tcPr>
            <w:tcW w:w="1167" w:type="dxa"/>
          </w:tcPr>
          <w:p>
            <w:pPr>
              <w:adjustRightInd w:val="0"/>
              <w:snapToGrid w:val="0"/>
              <w:spacing w:line="360" w:lineRule="auto"/>
              <w:ind w:right="24"/>
              <w:rPr>
                <w:rFonts w:ascii="仿宋_GB2312" w:eastAsia="仿宋_GB2312"/>
                <w:bCs/>
                <w:sz w:val="32"/>
                <w:szCs w:val="32"/>
              </w:rPr>
            </w:pPr>
          </w:p>
        </w:tc>
        <w:tc>
          <w:tcPr>
            <w:tcW w:w="2148" w:type="dxa"/>
          </w:tcPr>
          <w:p>
            <w:pPr>
              <w:adjustRightInd w:val="0"/>
              <w:snapToGrid w:val="0"/>
              <w:spacing w:line="360" w:lineRule="auto"/>
              <w:ind w:right="24"/>
              <w:rPr>
                <w:rFonts w:ascii="仿宋_GB2312" w:eastAsia="仿宋_GB2312"/>
                <w:bCs/>
                <w:sz w:val="32"/>
                <w:szCs w:val="32"/>
              </w:rPr>
            </w:pPr>
          </w:p>
        </w:tc>
      </w:tr>
    </w:tbl>
    <w:p>
      <w:pPr>
        <w:pStyle w:val="14"/>
      </w:pPr>
    </w:p>
    <w:p>
      <w:pPr>
        <w:spacing w:line="360" w:lineRule="auto"/>
        <w:ind w:right="-168" w:rightChars="-80" w:firstLine="482" w:firstLineChars="200"/>
        <w:jc w:val="left"/>
        <w:rPr>
          <w:rFonts w:ascii="宋体" w:hAnsi="宋体" w:cs="宋体"/>
          <w:b/>
          <w:bCs/>
          <w:sz w:val="24"/>
        </w:rPr>
      </w:pPr>
      <w:r>
        <w:rPr>
          <w:rFonts w:hint="eastAsia" w:ascii="宋体" w:hAnsi="宋体" w:cs="宋体"/>
          <w:b/>
          <w:bCs/>
          <w:sz w:val="24"/>
        </w:rPr>
        <w:t>注：</w:t>
      </w:r>
    </w:p>
    <w:p>
      <w:pPr>
        <w:spacing w:line="360" w:lineRule="auto"/>
        <w:ind w:right="-168" w:rightChars="-80" w:firstLine="482" w:firstLineChars="200"/>
        <w:jc w:val="left"/>
        <w:rPr>
          <w:rFonts w:ascii="宋体" w:hAnsi="宋体" w:cs="宋体"/>
          <w:b/>
          <w:bCs/>
          <w:sz w:val="24"/>
        </w:rPr>
      </w:pPr>
      <w:r>
        <w:rPr>
          <w:rFonts w:hint="eastAsia" w:ascii="宋体" w:hAnsi="宋体" w:cs="宋体"/>
          <w:b/>
          <w:bCs/>
          <w:sz w:val="24"/>
        </w:rPr>
        <w:t>1.本表需逐项响应磋商文件中合同主要条款及格式中内容。</w:t>
      </w:r>
    </w:p>
    <w:p>
      <w:pPr>
        <w:spacing w:line="360" w:lineRule="auto"/>
        <w:ind w:right="-168" w:rightChars="-80" w:firstLine="482" w:firstLineChars="200"/>
        <w:jc w:val="left"/>
        <w:rPr>
          <w:rFonts w:ascii="宋体" w:hAnsi="宋体" w:cs="宋体"/>
          <w:b/>
          <w:bCs/>
          <w:sz w:val="24"/>
        </w:rPr>
      </w:pPr>
      <w:r>
        <w:rPr>
          <w:rFonts w:hint="eastAsia" w:ascii="宋体" w:hAnsi="宋体" w:cs="宋体"/>
          <w:b/>
          <w:bCs/>
          <w:sz w:val="24"/>
        </w:rPr>
        <w:t>2.供应商必须据实填写，不得虚假响应，否则将取消其磋商或成交资格，并按有关规定进处罚。</w:t>
      </w:r>
    </w:p>
    <w:p>
      <w:pPr>
        <w:spacing w:line="480" w:lineRule="auto"/>
        <w:ind w:firstLine="240" w:firstLineChars="100"/>
        <w:jc w:val="center"/>
        <w:rPr>
          <w:rFonts w:ascii="宋体" w:hAnsi="宋体" w:cs="宋体"/>
          <w:sz w:val="24"/>
        </w:rPr>
      </w:pPr>
      <w:r>
        <w:rPr>
          <w:rFonts w:hint="eastAsia" w:ascii="宋体" w:hAnsi="宋体" w:cs="宋体"/>
          <w:sz w:val="24"/>
        </w:rPr>
        <w:t xml:space="preserve">           </w:t>
      </w:r>
    </w:p>
    <w:p>
      <w:pPr>
        <w:spacing w:line="480" w:lineRule="auto"/>
        <w:ind w:firstLine="240" w:firstLineChars="100"/>
        <w:jc w:val="center"/>
        <w:rPr>
          <w:rFonts w:ascii="宋体" w:hAnsi="宋体" w:cs="宋体"/>
          <w:sz w:val="24"/>
        </w:rPr>
      </w:pPr>
      <w:r>
        <w:rPr>
          <w:rFonts w:hint="eastAsia" w:ascii="宋体" w:hAnsi="宋体" w:cs="宋体"/>
          <w:sz w:val="24"/>
        </w:rPr>
        <w:t xml:space="preserve">            供应商名称：（盖章）</w:t>
      </w:r>
    </w:p>
    <w:p>
      <w:pPr>
        <w:spacing w:line="480" w:lineRule="auto"/>
        <w:ind w:firstLine="240" w:firstLineChars="100"/>
        <w:jc w:val="center"/>
        <w:rPr>
          <w:rFonts w:ascii="宋体" w:hAnsi="宋体" w:cs="宋体"/>
          <w:sz w:val="24"/>
        </w:rPr>
      </w:pPr>
      <w:r>
        <w:rPr>
          <w:rFonts w:hint="eastAsia" w:ascii="宋体" w:hAnsi="宋体" w:cs="宋体"/>
          <w:sz w:val="24"/>
        </w:rPr>
        <w:t xml:space="preserve">                             法定代表人或委托代理人：(签字或盖章)</w:t>
      </w:r>
    </w:p>
    <w:p>
      <w:pPr>
        <w:spacing w:line="480" w:lineRule="auto"/>
        <w:ind w:firstLine="240" w:firstLineChars="100"/>
        <w:jc w:val="center"/>
        <w:rPr>
          <w:rFonts w:ascii="宋体" w:hAnsi="宋体" w:cs="宋体"/>
          <w:sz w:val="24"/>
        </w:rPr>
      </w:pPr>
      <w:r>
        <w:rPr>
          <w:rFonts w:hint="eastAsia" w:ascii="宋体" w:hAnsi="宋体" w:cs="宋体"/>
          <w:sz w:val="24"/>
        </w:rPr>
        <w:t xml:space="preserve">                      日      期：  年   月     日</w:t>
      </w:r>
    </w:p>
    <w:p>
      <w:pPr>
        <w:sectPr>
          <w:pgSz w:w="11906" w:h="16838"/>
          <w:pgMar w:top="1440" w:right="1080" w:bottom="1440" w:left="1080" w:header="1077" w:footer="907" w:gutter="0"/>
          <w:cols w:space="720" w:num="1"/>
          <w:titlePg/>
          <w:docGrid w:type="lines" w:linePitch="312" w:charSpace="0"/>
        </w:sectPr>
      </w:pPr>
    </w:p>
    <w:p>
      <w:pPr>
        <w:pStyle w:val="54"/>
        <w:ind w:firstLine="0" w:firstLineChars="0"/>
        <w:jc w:val="center"/>
        <w:rPr>
          <w:rFonts w:cs="宋体"/>
          <w:b/>
          <w:kern w:val="0"/>
          <w:sz w:val="28"/>
          <w:szCs w:val="28"/>
        </w:rPr>
      </w:pPr>
      <w:r>
        <w:rPr>
          <w:rFonts w:hint="eastAsia" w:cs="宋体"/>
          <w:b/>
          <w:kern w:val="0"/>
          <w:sz w:val="28"/>
          <w:szCs w:val="28"/>
        </w:rPr>
        <w:t>五、磋商响应方案说明</w:t>
      </w:r>
    </w:p>
    <w:p>
      <w:pPr>
        <w:pStyle w:val="54"/>
        <w:ind w:firstLine="640"/>
        <w:rPr>
          <w:rFonts w:eastAsia="仿宋_GB2312"/>
          <w:sz w:val="32"/>
          <w:szCs w:val="32"/>
        </w:rPr>
      </w:pPr>
    </w:p>
    <w:p>
      <w:pPr>
        <w:pStyle w:val="54"/>
        <w:rPr>
          <w:rFonts w:cs="宋体"/>
        </w:rPr>
      </w:pPr>
      <w:r>
        <w:rPr>
          <w:rFonts w:hint="eastAsia" w:cs="宋体"/>
        </w:rPr>
        <w:t>格式自定，参照磋商文件编制磋商响应方案。</w:t>
      </w:r>
    </w:p>
    <w:p>
      <w:pPr>
        <w:rPr>
          <w:rFonts w:ascii="宋体" w:hAnsi="宋体" w:cs="宋体"/>
          <w:b/>
          <w:sz w:val="28"/>
          <w:szCs w:val="28"/>
        </w:rPr>
      </w:pPr>
    </w:p>
    <w:p>
      <w:pPr>
        <w:rPr>
          <w:rFonts w:ascii="宋体" w:hAnsi="宋体" w:cs="宋体"/>
          <w:b/>
          <w:sz w:val="28"/>
          <w:szCs w:val="28"/>
        </w:rPr>
      </w:pPr>
      <w:r>
        <w:rPr>
          <w:rFonts w:hint="eastAsia" w:ascii="宋体" w:hAnsi="宋体" w:cs="宋体"/>
          <w:b/>
          <w:sz w:val="28"/>
          <w:szCs w:val="28"/>
        </w:rPr>
        <w:br w:type="page"/>
      </w:r>
    </w:p>
    <w:p>
      <w:pPr>
        <w:numPr>
          <w:ilvl w:val="0"/>
          <w:numId w:val="3"/>
        </w:numPr>
        <w:tabs>
          <w:tab w:val="center" w:pos="4535"/>
          <w:tab w:val="left" w:pos="6521"/>
        </w:tabs>
        <w:autoSpaceDE w:val="0"/>
        <w:autoSpaceDN w:val="0"/>
        <w:adjustRightInd w:val="0"/>
        <w:snapToGrid w:val="0"/>
        <w:spacing w:line="360" w:lineRule="auto"/>
        <w:jc w:val="center"/>
        <w:rPr>
          <w:rFonts w:ascii="宋体" w:hAnsi="宋体" w:cs="宋体"/>
          <w:b/>
          <w:kern w:val="0"/>
          <w:sz w:val="28"/>
          <w:szCs w:val="28"/>
          <w:lang w:val="zh-CN"/>
        </w:rPr>
      </w:pPr>
      <w:r>
        <w:rPr>
          <w:rFonts w:hint="eastAsia" w:ascii="宋体" w:hAnsi="宋体" w:cs="宋体"/>
          <w:b/>
          <w:kern w:val="0"/>
          <w:sz w:val="28"/>
          <w:szCs w:val="28"/>
          <w:lang w:val="zh-CN"/>
        </w:rPr>
        <w:t>供应商资格证明文件</w:t>
      </w:r>
    </w:p>
    <w:p>
      <w:pPr>
        <w:jc w:val="center"/>
        <w:rPr>
          <w:rFonts w:ascii="宋体" w:hAnsi="宋体" w:cs="宋体"/>
          <w:b/>
          <w:sz w:val="24"/>
        </w:rPr>
      </w:pPr>
      <w:r>
        <w:rPr>
          <w:rFonts w:hint="eastAsia" w:ascii="宋体" w:hAnsi="宋体" w:cs="宋体"/>
          <w:b/>
          <w:sz w:val="24"/>
        </w:rPr>
        <w:t>具体参考供应商须知前附表</w:t>
      </w:r>
    </w:p>
    <w:p>
      <w:pPr>
        <w:pStyle w:val="3"/>
        <w:rPr>
          <w:lang w:val="zh-CN"/>
        </w:rPr>
      </w:pPr>
    </w:p>
    <w:p>
      <w:pPr>
        <w:rPr>
          <w:rFonts w:asciiTheme="minorEastAsia" w:hAnsiTheme="minorEastAsia" w:eastAsiaTheme="minorEastAsia" w:cstheme="minorEastAsia"/>
          <w:b/>
          <w:sz w:val="28"/>
          <w:szCs w:val="28"/>
        </w:rPr>
      </w:pPr>
      <w:r>
        <w:rPr>
          <w:rFonts w:hint="eastAsia" w:ascii="宋体" w:hAnsi="宋体" w:cs="宋体"/>
          <w:b/>
          <w:sz w:val="28"/>
          <w:szCs w:val="28"/>
        </w:rPr>
        <w:br w:type="page"/>
      </w:r>
      <w:r>
        <w:rPr>
          <w:rFonts w:hint="eastAsia" w:asciiTheme="minorEastAsia" w:hAnsiTheme="minorEastAsia" w:eastAsiaTheme="minorEastAsia" w:cstheme="minorEastAsia"/>
          <w:b/>
          <w:sz w:val="28"/>
          <w:szCs w:val="28"/>
        </w:rPr>
        <w:t>附件1：</w:t>
      </w:r>
    </w:p>
    <w:p>
      <w:pPr>
        <w:spacing w:line="360" w:lineRule="auto"/>
        <w:jc w:val="center"/>
        <w:rPr>
          <w:rFonts w:ascii="宋体" w:hAnsi="宋体" w:cs="宋体"/>
          <w:b/>
          <w:kern w:val="0"/>
          <w:sz w:val="28"/>
          <w:szCs w:val="28"/>
        </w:rPr>
      </w:pPr>
      <w:r>
        <w:rPr>
          <w:rFonts w:hint="eastAsia" w:ascii="宋体" w:hAnsi="宋体" w:cs="宋体"/>
          <w:b/>
          <w:kern w:val="0"/>
          <w:sz w:val="28"/>
          <w:szCs w:val="28"/>
        </w:rPr>
        <w:t>参加政府采购活动前三年内在经营活动中没有重大违法记录的书面声明</w:t>
      </w:r>
    </w:p>
    <w:p>
      <w:pPr>
        <w:widowControl/>
        <w:spacing w:line="480" w:lineRule="auto"/>
        <w:jc w:val="left"/>
        <w:rPr>
          <w:rFonts w:ascii="宋体" w:hAnsi="宋体" w:cs="宋体"/>
          <w:kern w:val="0"/>
          <w:sz w:val="24"/>
        </w:rPr>
      </w:pPr>
      <w:r>
        <w:rPr>
          <w:rFonts w:hint="eastAsia" w:ascii="宋体" w:hAnsi="宋体" w:cs="宋体"/>
          <w:kern w:val="0"/>
          <w:sz w:val="24"/>
        </w:rPr>
        <w:t>致：(采购代理机构)</w:t>
      </w:r>
    </w:p>
    <w:p>
      <w:pPr>
        <w:widowControl/>
        <w:spacing w:line="480" w:lineRule="auto"/>
        <w:ind w:firstLine="480" w:firstLineChars="200"/>
        <w:jc w:val="left"/>
        <w:rPr>
          <w:rFonts w:ascii="宋体" w:hAnsi="宋体" w:cs="宋体"/>
          <w:kern w:val="0"/>
          <w:sz w:val="24"/>
        </w:rPr>
      </w:pPr>
      <w:r>
        <w:rPr>
          <w:rFonts w:hint="eastAsia" w:ascii="宋体" w:hAnsi="宋体" w:cs="宋体"/>
          <w:kern w:val="0"/>
          <w:sz w:val="24"/>
        </w:rPr>
        <w:t>我单位在参加采购活动前三年内在经营活动中没有政府采购法第二十二条第一款第(五)项所称重大违法记录，包括：</w:t>
      </w:r>
    </w:p>
    <w:p>
      <w:pPr>
        <w:widowControl/>
        <w:spacing w:line="480" w:lineRule="auto"/>
        <w:ind w:firstLine="480" w:firstLineChars="200"/>
        <w:jc w:val="left"/>
        <w:rPr>
          <w:rFonts w:ascii="宋体" w:hAnsi="宋体" w:cs="宋体"/>
          <w:kern w:val="0"/>
          <w:sz w:val="24"/>
        </w:rPr>
      </w:pPr>
      <w:r>
        <w:rPr>
          <w:rFonts w:hint="eastAsia" w:ascii="宋体" w:hAnsi="宋体" w:cs="宋体"/>
          <w:kern w:val="0"/>
          <w:sz w:val="24"/>
        </w:rPr>
        <w:t>（一）我单位或者其法定代表人、董事、监事、高级管理人员因经营活动中的违法行为受到行政处罚，但警告和罚款额在三万元以下的行政处罚除外；</w:t>
      </w:r>
    </w:p>
    <w:p>
      <w:pPr>
        <w:widowControl/>
        <w:spacing w:line="480" w:lineRule="auto"/>
        <w:ind w:firstLine="480" w:firstLineChars="200"/>
        <w:jc w:val="left"/>
        <w:rPr>
          <w:rFonts w:ascii="宋体" w:hAnsi="宋体" w:cs="宋体"/>
          <w:kern w:val="0"/>
          <w:sz w:val="24"/>
        </w:rPr>
      </w:pPr>
      <w:r>
        <w:rPr>
          <w:rFonts w:hint="eastAsia" w:ascii="宋体" w:hAnsi="宋体" w:cs="宋体"/>
          <w:kern w:val="0"/>
          <w:sz w:val="24"/>
        </w:rPr>
        <w:t>（二）我单位或者其法定代表人、董事、监事、高级管理人员因经营活动中的违法行为受到刑事处罚。</w:t>
      </w:r>
    </w:p>
    <w:p>
      <w:pPr>
        <w:widowControl/>
        <w:spacing w:line="480" w:lineRule="auto"/>
        <w:ind w:firstLine="480" w:firstLineChars="200"/>
        <w:jc w:val="left"/>
        <w:rPr>
          <w:rFonts w:ascii="宋体" w:hAnsi="宋体" w:cs="宋体"/>
          <w:kern w:val="0"/>
          <w:sz w:val="24"/>
        </w:rPr>
      </w:pPr>
      <w:r>
        <w:rPr>
          <w:rFonts w:hint="eastAsia" w:ascii="宋体" w:hAnsi="宋体" w:cs="宋体"/>
          <w:kern w:val="0"/>
          <w:sz w:val="24"/>
        </w:rPr>
        <w:t>特此声明!</w:t>
      </w:r>
    </w:p>
    <w:p>
      <w:pPr>
        <w:widowControl/>
        <w:spacing w:line="480" w:lineRule="auto"/>
        <w:jc w:val="left"/>
        <w:rPr>
          <w:rFonts w:ascii="宋体" w:hAnsi="宋体" w:cs="宋体"/>
          <w:kern w:val="0"/>
          <w:sz w:val="24"/>
        </w:rPr>
      </w:pPr>
    </w:p>
    <w:p>
      <w:pPr>
        <w:widowControl/>
        <w:spacing w:line="480" w:lineRule="auto"/>
        <w:jc w:val="left"/>
        <w:rPr>
          <w:rFonts w:ascii="宋体" w:hAnsi="宋体" w:cs="宋体"/>
          <w:kern w:val="0"/>
          <w:sz w:val="24"/>
        </w:rPr>
      </w:pPr>
    </w:p>
    <w:p>
      <w:pPr>
        <w:widowControl/>
        <w:spacing w:line="480" w:lineRule="auto"/>
        <w:jc w:val="center"/>
        <w:rPr>
          <w:rFonts w:ascii="宋体" w:hAnsi="宋体" w:cs="宋体"/>
          <w:kern w:val="0"/>
          <w:sz w:val="24"/>
        </w:rPr>
      </w:pPr>
      <w:r>
        <w:rPr>
          <w:rFonts w:hint="eastAsia" w:ascii="宋体" w:hAnsi="宋体" w:cs="宋体"/>
          <w:kern w:val="0"/>
          <w:sz w:val="24"/>
        </w:rPr>
        <w:t>供应商名称：(盖章)</w:t>
      </w:r>
      <w:r>
        <w:rPr>
          <w:rFonts w:hint="eastAsia" w:ascii="宋体" w:hAnsi="宋体" w:cs="宋体"/>
          <w:kern w:val="0"/>
          <w:sz w:val="24"/>
        </w:rPr>
        <w:br w:type="textWrapping"/>
      </w:r>
      <w:r>
        <w:rPr>
          <w:rFonts w:hint="eastAsia" w:ascii="宋体" w:hAnsi="宋体" w:cs="宋体"/>
          <w:kern w:val="0"/>
          <w:sz w:val="24"/>
        </w:rPr>
        <w:t xml:space="preserve">     法定代表人：(签字或盖章)</w:t>
      </w:r>
    </w:p>
    <w:p>
      <w:pPr>
        <w:widowControl/>
        <w:spacing w:line="480" w:lineRule="auto"/>
        <w:jc w:val="center"/>
        <w:rPr>
          <w:rFonts w:ascii="宋体" w:hAnsi="宋体" w:cs="宋体"/>
          <w:kern w:val="0"/>
          <w:sz w:val="24"/>
        </w:rPr>
      </w:pPr>
      <w:r>
        <w:rPr>
          <w:rFonts w:hint="eastAsia" w:ascii="宋体" w:hAnsi="宋体" w:cs="宋体"/>
          <w:kern w:val="0"/>
          <w:sz w:val="24"/>
        </w:rPr>
        <w:t xml:space="preserve">           日      期：    年    月    日</w:t>
      </w:r>
    </w:p>
    <w:p>
      <w:pPr>
        <w:rPr>
          <w:rFonts w:ascii="宋体" w:hAnsi="宋体" w:cs="宋体"/>
          <w:b/>
          <w:sz w:val="28"/>
          <w:szCs w:val="28"/>
        </w:rPr>
      </w:pPr>
    </w:p>
    <w:p>
      <w:pPr>
        <w:rPr>
          <w:rFonts w:ascii="宋体" w:hAnsi="宋体" w:cs="宋体"/>
          <w:b/>
          <w:sz w:val="28"/>
          <w:szCs w:val="28"/>
        </w:rPr>
      </w:pPr>
      <w:r>
        <w:rPr>
          <w:rFonts w:hint="eastAsia" w:ascii="宋体" w:hAnsi="宋体" w:cs="宋体"/>
          <w:b/>
          <w:sz w:val="28"/>
          <w:szCs w:val="28"/>
        </w:rPr>
        <w:br w:type="page"/>
      </w:r>
    </w:p>
    <w:p>
      <w:pPr>
        <w:pStyle w:val="34"/>
        <w:spacing w:line="480" w:lineRule="exact"/>
        <w:ind w:left="240" w:firstLine="281" w:firstLineChars="100"/>
        <w:jc w:val="left"/>
        <w:rPr>
          <w:rFonts w:ascii="宋体" w:hAnsi="宋体" w:cs="宋体"/>
          <w:b/>
          <w:kern w:val="2"/>
          <w:sz w:val="28"/>
          <w:szCs w:val="28"/>
        </w:rPr>
      </w:pPr>
      <w:r>
        <w:rPr>
          <w:rFonts w:hint="eastAsia" w:ascii="宋体" w:hAnsi="宋体" w:cs="宋体"/>
          <w:b/>
          <w:kern w:val="2"/>
          <w:sz w:val="28"/>
          <w:szCs w:val="28"/>
        </w:rPr>
        <w:t>附件2：</w:t>
      </w:r>
    </w:p>
    <w:p>
      <w:pPr>
        <w:pStyle w:val="34"/>
        <w:spacing w:line="480" w:lineRule="exact"/>
        <w:ind w:left="240" w:firstLine="281" w:firstLineChars="100"/>
        <w:jc w:val="center"/>
        <w:rPr>
          <w:rFonts w:ascii="宋体" w:hAnsi="宋体" w:cs="宋体"/>
          <w:b/>
          <w:kern w:val="2"/>
          <w:sz w:val="28"/>
          <w:szCs w:val="28"/>
        </w:rPr>
      </w:pPr>
      <w:r>
        <w:rPr>
          <w:rFonts w:hint="eastAsia" w:ascii="宋体" w:hAnsi="宋体" w:cs="宋体"/>
          <w:b/>
          <w:kern w:val="2"/>
          <w:sz w:val="28"/>
          <w:szCs w:val="28"/>
        </w:rPr>
        <w:t>法定代表人证明书</w:t>
      </w:r>
      <w:bookmarkEnd w:id="212"/>
      <w:bookmarkEnd w:id="213"/>
      <w:bookmarkEnd w:id="214"/>
    </w:p>
    <w:p>
      <w:pPr>
        <w:pStyle w:val="34"/>
        <w:spacing w:line="480" w:lineRule="exact"/>
        <w:ind w:left="240" w:firstLine="281" w:firstLineChars="100"/>
        <w:jc w:val="center"/>
        <w:rPr>
          <w:rFonts w:ascii="宋体" w:hAnsi="宋体" w:cs="宋体"/>
          <w:b/>
          <w:kern w:val="2"/>
          <w:sz w:val="28"/>
          <w:szCs w:val="28"/>
        </w:rPr>
      </w:pPr>
    </w:p>
    <w:tbl>
      <w:tblPr>
        <w:tblStyle w:val="19"/>
        <w:tblW w:w="903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37"/>
        <w:gridCol w:w="2010"/>
        <w:gridCol w:w="2004"/>
        <w:gridCol w:w="172"/>
        <w:gridCol w:w="2005"/>
        <w:gridCol w:w="200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2" w:hRule="atLeast"/>
          <w:jc w:val="center"/>
        </w:trPr>
        <w:tc>
          <w:tcPr>
            <w:tcW w:w="9036" w:type="dxa"/>
            <w:gridSpan w:val="6"/>
            <w:noWrap/>
            <w:vAlign w:val="center"/>
          </w:tcPr>
          <w:p>
            <w:pPr>
              <w:tabs>
                <w:tab w:val="left" w:pos="210"/>
              </w:tabs>
              <w:spacing w:line="320" w:lineRule="exact"/>
              <w:rPr>
                <w:rFonts w:ascii="宋体" w:hAnsi="宋体" w:cs="宋体"/>
                <w:kern w:val="0"/>
                <w:sz w:val="24"/>
              </w:rPr>
            </w:pPr>
            <w:r>
              <w:rPr>
                <w:rFonts w:hint="eastAsia" w:ascii="宋体" w:hAnsi="宋体" w:cs="宋体"/>
                <w:kern w:val="0"/>
                <w:sz w:val="24"/>
              </w:rPr>
              <w:t>致：</w:t>
            </w:r>
            <w:r>
              <w:rPr>
                <w:rFonts w:hint="eastAsia" w:ascii="宋体" w:hAnsi="宋体" w:cs="宋体"/>
                <w:b/>
                <w:sz w:val="24"/>
              </w:rPr>
              <w:t>陕西盛世嘉和招标有限公司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3" w:hRule="atLeast"/>
          <w:jc w:val="center"/>
        </w:trPr>
        <w:tc>
          <w:tcPr>
            <w:tcW w:w="837" w:type="dxa"/>
            <w:vMerge w:val="restart"/>
            <w:noWrap/>
            <w:vAlign w:val="center"/>
          </w:tcPr>
          <w:p>
            <w:pPr>
              <w:tabs>
                <w:tab w:val="left" w:pos="210"/>
              </w:tabs>
              <w:spacing w:line="320" w:lineRule="exact"/>
              <w:jc w:val="center"/>
              <w:rPr>
                <w:rFonts w:ascii="宋体" w:hAnsi="宋体" w:cs="宋体"/>
                <w:kern w:val="0"/>
                <w:sz w:val="24"/>
              </w:rPr>
            </w:pPr>
            <w:r>
              <w:rPr>
                <w:rFonts w:hint="eastAsia" w:ascii="宋体" w:hAnsi="宋体" w:cs="宋体"/>
                <w:kern w:val="0"/>
                <w:sz w:val="24"/>
              </w:rPr>
              <w:t>企</w:t>
            </w:r>
          </w:p>
          <w:p>
            <w:pPr>
              <w:tabs>
                <w:tab w:val="left" w:pos="210"/>
              </w:tabs>
              <w:spacing w:line="320" w:lineRule="exact"/>
              <w:jc w:val="center"/>
              <w:rPr>
                <w:rFonts w:ascii="宋体" w:hAnsi="宋体" w:cs="宋体"/>
                <w:kern w:val="0"/>
                <w:sz w:val="24"/>
              </w:rPr>
            </w:pPr>
          </w:p>
          <w:p>
            <w:pPr>
              <w:tabs>
                <w:tab w:val="left" w:pos="210"/>
              </w:tabs>
              <w:spacing w:line="320" w:lineRule="exact"/>
              <w:jc w:val="center"/>
              <w:rPr>
                <w:rFonts w:ascii="宋体" w:hAnsi="宋体" w:cs="宋体"/>
                <w:kern w:val="0"/>
                <w:sz w:val="24"/>
              </w:rPr>
            </w:pPr>
            <w:r>
              <w:rPr>
                <w:rFonts w:hint="eastAsia" w:ascii="宋体" w:hAnsi="宋体" w:cs="宋体"/>
                <w:kern w:val="0"/>
                <w:sz w:val="24"/>
              </w:rPr>
              <w:t>业</w:t>
            </w:r>
          </w:p>
          <w:p>
            <w:pPr>
              <w:tabs>
                <w:tab w:val="left" w:pos="210"/>
              </w:tabs>
              <w:spacing w:line="320" w:lineRule="exact"/>
              <w:jc w:val="center"/>
              <w:rPr>
                <w:rFonts w:ascii="宋体" w:hAnsi="宋体" w:cs="宋体"/>
                <w:kern w:val="0"/>
                <w:sz w:val="24"/>
              </w:rPr>
            </w:pPr>
          </w:p>
          <w:p>
            <w:pPr>
              <w:tabs>
                <w:tab w:val="left" w:pos="210"/>
              </w:tabs>
              <w:spacing w:line="320" w:lineRule="exact"/>
              <w:jc w:val="center"/>
              <w:rPr>
                <w:rFonts w:ascii="宋体" w:hAnsi="宋体" w:cs="宋体"/>
                <w:kern w:val="0"/>
                <w:sz w:val="24"/>
              </w:rPr>
            </w:pPr>
            <w:r>
              <w:rPr>
                <w:rFonts w:hint="eastAsia" w:ascii="宋体" w:hAnsi="宋体" w:cs="宋体"/>
                <w:kern w:val="0"/>
                <w:sz w:val="24"/>
              </w:rPr>
              <w:t>法</w:t>
            </w:r>
          </w:p>
          <w:p>
            <w:pPr>
              <w:tabs>
                <w:tab w:val="left" w:pos="210"/>
              </w:tabs>
              <w:spacing w:line="320" w:lineRule="exact"/>
              <w:jc w:val="center"/>
              <w:rPr>
                <w:rFonts w:ascii="宋体" w:hAnsi="宋体" w:cs="宋体"/>
                <w:kern w:val="0"/>
                <w:sz w:val="24"/>
              </w:rPr>
            </w:pPr>
          </w:p>
          <w:p>
            <w:pPr>
              <w:tabs>
                <w:tab w:val="left" w:pos="210"/>
              </w:tabs>
              <w:spacing w:line="320" w:lineRule="exact"/>
              <w:jc w:val="center"/>
              <w:rPr>
                <w:rFonts w:ascii="宋体" w:hAnsi="宋体" w:cs="宋体"/>
                <w:kern w:val="0"/>
                <w:sz w:val="24"/>
              </w:rPr>
            </w:pPr>
            <w:r>
              <w:rPr>
                <w:rFonts w:hint="eastAsia" w:ascii="宋体" w:hAnsi="宋体" w:cs="宋体"/>
                <w:kern w:val="0"/>
                <w:sz w:val="24"/>
              </w:rPr>
              <w:t>人</w:t>
            </w:r>
          </w:p>
        </w:tc>
        <w:tc>
          <w:tcPr>
            <w:tcW w:w="2010" w:type="dxa"/>
            <w:noWrap/>
            <w:vAlign w:val="center"/>
          </w:tcPr>
          <w:p>
            <w:pPr>
              <w:tabs>
                <w:tab w:val="left" w:pos="210"/>
              </w:tabs>
              <w:spacing w:line="320" w:lineRule="exact"/>
              <w:jc w:val="center"/>
              <w:rPr>
                <w:rFonts w:ascii="宋体" w:hAnsi="宋体" w:cs="宋体"/>
                <w:kern w:val="0"/>
                <w:sz w:val="24"/>
              </w:rPr>
            </w:pPr>
            <w:r>
              <w:rPr>
                <w:rFonts w:hint="eastAsia" w:ascii="宋体" w:hAnsi="宋体" w:cs="宋体"/>
                <w:kern w:val="0"/>
                <w:sz w:val="24"/>
              </w:rPr>
              <w:t>企业名称</w:t>
            </w:r>
          </w:p>
        </w:tc>
        <w:tc>
          <w:tcPr>
            <w:tcW w:w="6189" w:type="dxa"/>
            <w:gridSpan w:val="4"/>
            <w:noWrap/>
            <w:vAlign w:val="center"/>
          </w:tcPr>
          <w:p>
            <w:pPr>
              <w:tabs>
                <w:tab w:val="left" w:pos="210"/>
              </w:tabs>
              <w:spacing w:line="320" w:lineRule="exact"/>
              <w:jc w:val="center"/>
              <w:rPr>
                <w:rFonts w:ascii="宋体" w:hAnsi="宋体" w:cs="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3" w:hRule="atLeast"/>
          <w:jc w:val="center"/>
        </w:trPr>
        <w:tc>
          <w:tcPr>
            <w:tcW w:w="837" w:type="dxa"/>
            <w:vMerge w:val="continue"/>
            <w:noWrap/>
            <w:vAlign w:val="center"/>
          </w:tcPr>
          <w:p>
            <w:pPr>
              <w:tabs>
                <w:tab w:val="left" w:pos="210"/>
              </w:tabs>
              <w:spacing w:line="320" w:lineRule="exact"/>
              <w:jc w:val="center"/>
              <w:rPr>
                <w:rFonts w:ascii="宋体" w:hAnsi="宋体" w:cs="宋体"/>
                <w:kern w:val="0"/>
                <w:sz w:val="24"/>
              </w:rPr>
            </w:pPr>
          </w:p>
        </w:tc>
        <w:tc>
          <w:tcPr>
            <w:tcW w:w="2010" w:type="dxa"/>
            <w:noWrap/>
            <w:vAlign w:val="center"/>
          </w:tcPr>
          <w:p>
            <w:pPr>
              <w:tabs>
                <w:tab w:val="left" w:pos="210"/>
              </w:tabs>
              <w:spacing w:line="320" w:lineRule="exact"/>
              <w:jc w:val="center"/>
              <w:rPr>
                <w:rFonts w:ascii="宋体" w:hAnsi="宋体" w:cs="宋体"/>
                <w:kern w:val="0"/>
                <w:sz w:val="24"/>
              </w:rPr>
            </w:pPr>
            <w:r>
              <w:rPr>
                <w:rFonts w:hint="eastAsia" w:ascii="宋体" w:hAnsi="宋体" w:cs="宋体"/>
                <w:kern w:val="0"/>
                <w:sz w:val="24"/>
              </w:rPr>
              <w:t>法定地址</w:t>
            </w:r>
          </w:p>
        </w:tc>
        <w:tc>
          <w:tcPr>
            <w:tcW w:w="6189" w:type="dxa"/>
            <w:gridSpan w:val="4"/>
            <w:noWrap/>
            <w:vAlign w:val="center"/>
          </w:tcPr>
          <w:p>
            <w:pPr>
              <w:tabs>
                <w:tab w:val="left" w:pos="210"/>
              </w:tabs>
              <w:spacing w:line="320" w:lineRule="exact"/>
              <w:jc w:val="center"/>
              <w:rPr>
                <w:rFonts w:ascii="宋体" w:hAnsi="宋体" w:cs="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3" w:hRule="atLeast"/>
          <w:jc w:val="center"/>
        </w:trPr>
        <w:tc>
          <w:tcPr>
            <w:tcW w:w="837" w:type="dxa"/>
            <w:vMerge w:val="continue"/>
            <w:noWrap/>
            <w:vAlign w:val="center"/>
          </w:tcPr>
          <w:p>
            <w:pPr>
              <w:tabs>
                <w:tab w:val="left" w:pos="210"/>
              </w:tabs>
              <w:spacing w:line="320" w:lineRule="exact"/>
              <w:jc w:val="center"/>
              <w:rPr>
                <w:rFonts w:ascii="宋体" w:hAnsi="宋体" w:cs="宋体"/>
                <w:kern w:val="0"/>
                <w:sz w:val="24"/>
              </w:rPr>
            </w:pPr>
          </w:p>
        </w:tc>
        <w:tc>
          <w:tcPr>
            <w:tcW w:w="2010" w:type="dxa"/>
            <w:noWrap/>
            <w:vAlign w:val="center"/>
          </w:tcPr>
          <w:p>
            <w:pPr>
              <w:tabs>
                <w:tab w:val="left" w:pos="210"/>
              </w:tabs>
              <w:spacing w:line="320" w:lineRule="exact"/>
              <w:jc w:val="center"/>
              <w:rPr>
                <w:rFonts w:ascii="宋体" w:hAnsi="宋体" w:cs="宋体"/>
                <w:kern w:val="0"/>
                <w:sz w:val="24"/>
              </w:rPr>
            </w:pPr>
            <w:r>
              <w:rPr>
                <w:rFonts w:hint="eastAsia" w:ascii="宋体" w:hAnsi="宋体" w:cs="宋体"/>
                <w:kern w:val="0"/>
                <w:sz w:val="24"/>
              </w:rPr>
              <w:t>邮政编码</w:t>
            </w:r>
          </w:p>
        </w:tc>
        <w:tc>
          <w:tcPr>
            <w:tcW w:w="6189" w:type="dxa"/>
            <w:gridSpan w:val="4"/>
            <w:noWrap/>
            <w:vAlign w:val="center"/>
          </w:tcPr>
          <w:p>
            <w:pPr>
              <w:tabs>
                <w:tab w:val="left" w:pos="210"/>
              </w:tabs>
              <w:spacing w:line="320" w:lineRule="exact"/>
              <w:jc w:val="center"/>
              <w:rPr>
                <w:rFonts w:ascii="宋体" w:hAnsi="宋体" w:cs="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jc w:val="center"/>
        </w:trPr>
        <w:tc>
          <w:tcPr>
            <w:tcW w:w="837" w:type="dxa"/>
            <w:vMerge w:val="continue"/>
            <w:noWrap/>
            <w:vAlign w:val="center"/>
          </w:tcPr>
          <w:p>
            <w:pPr>
              <w:tabs>
                <w:tab w:val="left" w:pos="210"/>
              </w:tabs>
              <w:spacing w:line="320" w:lineRule="exact"/>
              <w:jc w:val="center"/>
              <w:rPr>
                <w:rFonts w:ascii="宋体" w:hAnsi="宋体" w:cs="宋体"/>
                <w:kern w:val="0"/>
                <w:sz w:val="24"/>
              </w:rPr>
            </w:pPr>
          </w:p>
        </w:tc>
        <w:tc>
          <w:tcPr>
            <w:tcW w:w="2010" w:type="dxa"/>
            <w:noWrap/>
            <w:vAlign w:val="center"/>
          </w:tcPr>
          <w:p>
            <w:pPr>
              <w:tabs>
                <w:tab w:val="left" w:pos="210"/>
              </w:tabs>
              <w:spacing w:line="320" w:lineRule="exact"/>
              <w:jc w:val="center"/>
              <w:rPr>
                <w:rFonts w:ascii="宋体" w:hAnsi="宋体" w:cs="宋体"/>
                <w:kern w:val="0"/>
                <w:sz w:val="24"/>
              </w:rPr>
            </w:pPr>
            <w:r>
              <w:rPr>
                <w:rFonts w:hint="eastAsia" w:ascii="宋体" w:hAnsi="宋体" w:cs="宋体"/>
                <w:kern w:val="0"/>
                <w:sz w:val="24"/>
              </w:rPr>
              <w:t>工商登记机关</w:t>
            </w:r>
          </w:p>
        </w:tc>
        <w:tc>
          <w:tcPr>
            <w:tcW w:w="6189" w:type="dxa"/>
            <w:gridSpan w:val="4"/>
            <w:noWrap/>
            <w:vAlign w:val="center"/>
          </w:tcPr>
          <w:p>
            <w:pPr>
              <w:tabs>
                <w:tab w:val="left" w:pos="210"/>
              </w:tabs>
              <w:spacing w:line="320" w:lineRule="exact"/>
              <w:jc w:val="center"/>
              <w:rPr>
                <w:rFonts w:ascii="宋体" w:hAnsi="宋体" w:cs="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9" w:hRule="atLeast"/>
          <w:jc w:val="center"/>
        </w:trPr>
        <w:tc>
          <w:tcPr>
            <w:tcW w:w="837" w:type="dxa"/>
            <w:vMerge w:val="continue"/>
            <w:noWrap/>
            <w:vAlign w:val="center"/>
          </w:tcPr>
          <w:p>
            <w:pPr>
              <w:tabs>
                <w:tab w:val="left" w:pos="210"/>
              </w:tabs>
              <w:spacing w:line="320" w:lineRule="exact"/>
              <w:jc w:val="center"/>
              <w:rPr>
                <w:rFonts w:ascii="宋体" w:hAnsi="宋体" w:cs="宋体"/>
                <w:kern w:val="0"/>
                <w:sz w:val="24"/>
              </w:rPr>
            </w:pPr>
          </w:p>
        </w:tc>
        <w:tc>
          <w:tcPr>
            <w:tcW w:w="2010" w:type="dxa"/>
            <w:noWrap/>
            <w:vAlign w:val="center"/>
          </w:tcPr>
          <w:p>
            <w:pPr>
              <w:tabs>
                <w:tab w:val="left" w:pos="210"/>
              </w:tabs>
              <w:spacing w:line="320" w:lineRule="exact"/>
              <w:jc w:val="center"/>
              <w:rPr>
                <w:rFonts w:ascii="宋体" w:hAnsi="宋体" w:cs="宋体"/>
                <w:kern w:val="0"/>
                <w:sz w:val="24"/>
              </w:rPr>
            </w:pPr>
            <w:r>
              <w:rPr>
                <w:rFonts w:hint="eastAsia" w:ascii="宋体" w:hAnsi="宋体" w:cs="宋体"/>
                <w:kern w:val="0"/>
                <w:sz w:val="24"/>
              </w:rPr>
              <w:t>税务登记机关</w:t>
            </w:r>
          </w:p>
        </w:tc>
        <w:tc>
          <w:tcPr>
            <w:tcW w:w="6189" w:type="dxa"/>
            <w:gridSpan w:val="4"/>
            <w:noWrap/>
            <w:vAlign w:val="center"/>
          </w:tcPr>
          <w:p>
            <w:pPr>
              <w:tabs>
                <w:tab w:val="left" w:pos="210"/>
              </w:tabs>
              <w:spacing w:line="320" w:lineRule="exact"/>
              <w:rPr>
                <w:rFonts w:ascii="宋体" w:hAnsi="宋体" w:cs="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jc w:val="center"/>
        </w:trPr>
        <w:tc>
          <w:tcPr>
            <w:tcW w:w="837" w:type="dxa"/>
            <w:vMerge w:val="continue"/>
            <w:noWrap/>
            <w:vAlign w:val="center"/>
          </w:tcPr>
          <w:p>
            <w:pPr>
              <w:tabs>
                <w:tab w:val="left" w:pos="210"/>
              </w:tabs>
              <w:spacing w:line="320" w:lineRule="exact"/>
              <w:jc w:val="center"/>
              <w:rPr>
                <w:rFonts w:ascii="宋体" w:hAnsi="宋体" w:cs="宋体"/>
                <w:kern w:val="0"/>
                <w:sz w:val="24"/>
              </w:rPr>
            </w:pPr>
          </w:p>
        </w:tc>
        <w:tc>
          <w:tcPr>
            <w:tcW w:w="2010" w:type="dxa"/>
            <w:noWrap/>
            <w:vAlign w:val="center"/>
          </w:tcPr>
          <w:p>
            <w:pPr>
              <w:tabs>
                <w:tab w:val="left" w:pos="210"/>
              </w:tabs>
              <w:spacing w:line="320" w:lineRule="exact"/>
              <w:jc w:val="center"/>
              <w:rPr>
                <w:rFonts w:ascii="宋体" w:hAnsi="宋体" w:cs="宋体"/>
                <w:kern w:val="0"/>
                <w:sz w:val="24"/>
              </w:rPr>
            </w:pPr>
            <w:r>
              <w:rPr>
                <w:rFonts w:hint="eastAsia" w:ascii="宋体" w:hAnsi="宋体" w:cs="宋体"/>
                <w:kern w:val="0"/>
                <w:sz w:val="24"/>
              </w:rPr>
              <w:t>机构代码证号</w:t>
            </w:r>
          </w:p>
        </w:tc>
        <w:tc>
          <w:tcPr>
            <w:tcW w:w="6189" w:type="dxa"/>
            <w:gridSpan w:val="4"/>
            <w:noWrap/>
            <w:vAlign w:val="center"/>
          </w:tcPr>
          <w:p>
            <w:pPr>
              <w:tabs>
                <w:tab w:val="left" w:pos="210"/>
              </w:tabs>
              <w:spacing w:line="320" w:lineRule="exact"/>
              <w:jc w:val="center"/>
              <w:rPr>
                <w:rFonts w:ascii="宋体" w:hAnsi="宋体" w:cs="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3" w:hRule="atLeast"/>
          <w:jc w:val="center"/>
        </w:trPr>
        <w:tc>
          <w:tcPr>
            <w:tcW w:w="837" w:type="dxa"/>
            <w:vMerge w:val="restart"/>
            <w:noWrap/>
            <w:vAlign w:val="center"/>
          </w:tcPr>
          <w:p>
            <w:pPr>
              <w:tabs>
                <w:tab w:val="left" w:pos="210"/>
              </w:tabs>
              <w:spacing w:line="320" w:lineRule="exact"/>
              <w:jc w:val="center"/>
              <w:rPr>
                <w:rFonts w:ascii="宋体" w:hAnsi="宋体" w:cs="宋体"/>
                <w:kern w:val="0"/>
                <w:sz w:val="24"/>
              </w:rPr>
            </w:pPr>
            <w:r>
              <w:rPr>
                <w:rFonts w:hint="eastAsia" w:ascii="宋体" w:hAnsi="宋体" w:cs="宋体"/>
                <w:kern w:val="0"/>
                <w:sz w:val="24"/>
              </w:rPr>
              <w:t>法定代表人</w:t>
            </w:r>
          </w:p>
        </w:tc>
        <w:tc>
          <w:tcPr>
            <w:tcW w:w="2010" w:type="dxa"/>
            <w:noWrap/>
            <w:vAlign w:val="center"/>
          </w:tcPr>
          <w:p>
            <w:pPr>
              <w:tabs>
                <w:tab w:val="left" w:pos="210"/>
              </w:tabs>
              <w:spacing w:line="320" w:lineRule="exact"/>
              <w:jc w:val="center"/>
              <w:rPr>
                <w:rFonts w:ascii="宋体" w:hAnsi="宋体" w:cs="宋体"/>
                <w:kern w:val="0"/>
                <w:sz w:val="24"/>
              </w:rPr>
            </w:pPr>
            <w:r>
              <w:rPr>
                <w:rFonts w:hint="eastAsia" w:ascii="宋体" w:hAnsi="宋体" w:cs="宋体"/>
                <w:kern w:val="0"/>
                <w:sz w:val="24"/>
              </w:rPr>
              <w:t>姓名</w:t>
            </w:r>
          </w:p>
        </w:tc>
        <w:tc>
          <w:tcPr>
            <w:tcW w:w="2176" w:type="dxa"/>
            <w:gridSpan w:val="2"/>
            <w:noWrap/>
            <w:vAlign w:val="center"/>
          </w:tcPr>
          <w:p>
            <w:pPr>
              <w:tabs>
                <w:tab w:val="left" w:pos="210"/>
              </w:tabs>
              <w:spacing w:line="320" w:lineRule="exact"/>
              <w:jc w:val="center"/>
              <w:rPr>
                <w:rFonts w:ascii="宋体" w:hAnsi="宋体" w:cs="宋体"/>
                <w:kern w:val="0"/>
                <w:sz w:val="24"/>
              </w:rPr>
            </w:pPr>
          </w:p>
        </w:tc>
        <w:tc>
          <w:tcPr>
            <w:tcW w:w="2005" w:type="dxa"/>
            <w:noWrap/>
            <w:vAlign w:val="center"/>
          </w:tcPr>
          <w:p>
            <w:pPr>
              <w:tabs>
                <w:tab w:val="left" w:pos="210"/>
              </w:tabs>
              <w:spacing w:line="320" w:lineRule="exact"/>
              <w:jc w:val="center"/>
              <w:rPr>
                <w:rFonts w:ascii="宋体" w:hAnsi="宋体" w:cs="宋体"/>
                <w:kern w:val="0"/>
                <w:sz w:val="24"/>
              </w:rPr>
            </w:pPr>
            <w:r>
              <w:rPr>
                <w:rFonts w:hint="eastAsia" w:ascii="宋体" w:hAnsi="宋体" w:cs="宋体"/>
                <w:kern w:val="0"/>
                <w:sz w:val="24"/>
              </w:rPr>
              <w:t>性别</w:t>
            </w:r>
          </w:p>
        </w:tc>
        <w:tc>
          <w:tcPr>
            <w:tcW w:w="2008" w:type="dxa"/>
            <w:noWrap/>
            <w:vAlign w:val="center"/>
          </w:tcPr>
          <w:p>
            <w:pPr>
              <w:tabs>
                <w:tab w:val="left" w:pos="210"/>
              </w:tabs>
              <w:spacing w:line="320" w:lineRule="exact"/>
              <w:jc w:val="center"/>
              <w:rPr>
                <w:rFonts w:ascii="宋体" w:hAnsi="宋体" w:cs="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3" w:hRule="atLeast"/>
          <w:jc w:val="center"/>
        </w:trPr>
        <w:tc>
          <w:tcPr>
            <w:tcW w:w="837" w:type="dxa"/>
            <w:vMerge w:val="continue"/>
            <w:noWrap/>
            <w:vAlign w:val="center"/>
          </w:tcPr>
          <w:p>
            <w:pPr>
              <w:tabs>
                <w:tab w:val="left" w:pos="210"/>
              </w:tabs>
              <w:spacing w:line="320" w:lineRule="exact"/>
              <w:jc w:val="center"/>
              <w:rPr>
                <w:rFonts w:ascii="宋体" w:hAnsi="宋体" w:cs="宋体"/>
                <w:kern w:val="0"/>
                <w:sz w:val="24"/>
              </w:rPr>
            </w:pPr>
          </w:p>
        </w:tc>
        <w:tc>
          <w:tcPr>
            <w:tcW w:w="2010" w:type="dxa"/>
            <w:noWrap/>
            <w:vAlign w:val="center"/>
          </w:tcPr>
          <w:p>
            <w:pPr>
              <w:tabs>
                <w:tab w:val="left" w:pos="210"/>
              </w:tabs>
              <w:spacing w:line="320" w:lineRule="exact"/>
              <w:jc w:val="center"/>
              <w:rPr>
                <w:rFonts w:ascii="宋体" w:hAnsi="宋体" w:cs="宋体"/>
                <w:kern w:val="0"/>
                <w:sz w:val="24"/>
              </w:rPr>
            </w:pPr>
            <w:r>
              <w:rPr>
                <w:rFonts w:hint="eastAsia" w:ascii="宋体" w:hAnsi="宋体" w:cs="宋体"/>
                <w:kern w:val="0"/>
                <w:sz w:val="24"/>
              </w:rPr>
              <w:t>职务</w:t>
            </w:r>
          </w:p>
        </w:tc>
        <w:tc>
          <w:tcPr>
            <w:tcW w:w="2176" w:type="dxa"/>
            <w:gridSpan w:val="2"/>
            <w:noWrap/>
            <w:vAlign w:val="center"/>
          </w:tcPr>
          <w:p>
            <w:pPr>
              <w:tabs>
                <w:tab w:val="left" w:pos="210"/>
              </w:tabs>
              <w:spacing w:line="320" w:lineRule="exact"/>
              <w:jc w:val="center"/>
              <w:rPr>
                <w:rFonts w:ascii="宋体" w:hAnsi="宋体" w:cs="宋体"/>
                <w:kern w:val="0"/>
                <w:sz w:val="24"/>
              </w:rPr>
            </w:pPr>
          </w:p>
        </w:tc>
        <w:tc>
          <w:tcPr>
            <w:tcW w:w="2005" w:type="dxa"/>
            <w:noWrap/>
            <w:vAlign w:val="center"/>
          </w:tcPr>
          <w:p>
            <w:pPr>
              <w:tabs>
                <w:tab w:val="left" w:pos="210"/>
              </w:tabs>
              <w:spacing w:line="320" w:lineRule="exact"/>
              <w:jc w:val="center"/>
              <w:rPr>
                <w:rFonts w:ascii="宋体" w:hAnsi="宋体" w:cs="宋体"/>
                <w:kern w:val="0"/>
                <w:sz w:val="24"/>
              </w:rPr>
            </w:pPr>
            <w:r>
              <w:rPr>
                <w:rFonts w:hint="eastAsia" w:ascii="宋体" w:hAnsi="宋体" w:cs="宋体"/>
                <w:kern w:val="0"/>
                <w:sz w:val="24"/>
              </w:rPr>
              <w:t>联系电话</w:t>
            </w:r>
          </w:p>
        </w:tc>
        <w:tc>
          <w:tcPr>
            <w:tcW w:w="2008" w:type="dxa"/>
            <w:noWrap/>
            <w:vAlign w:val="center"/>
          </w:tcPr>
          <w:p>
            <w:pPr>
              <w:tabs>
                <w:tab w:val="left" w:pos="210"/>
              </w:tabs>
              <w:spacing w:line="320" w:lineRule="exact"/>
              <w:jc w:val="center"/>
              <w:rPr>
                <w:rFonts w:ascii="宋体" w:hAnsi="宋体" w:cs="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jc w:val="center"/>
        </w:trPr>
        <w:tc>
          <w:tcPr>
            <w:tcW w:w="837" w:type="dxa"/>
            <w:vMerge w:val="continue"/>
            <w:noWrap/>
            <w:vAlign w:val="center"/>
          </w:tcPr>
          <w:p>
            <w:pPr>
              <w:tabs>
                <w:tab w:val="left" w:pos="210"/>
              </w:tabs>
              <w:spacing w:line="320" w:lineRule="exact"/>
              <w:jc w:val="center"/>
              <w:rPr>
                <w:rFonts w:ascii="宋体" w:hAnsi="宋体" w:cs="宋体"/>
                <w:kern w:val="0"/>
                <w:sz w:val="24"/>
              </w:rPr>
            </w:pPr>
          </w:p>
        </w:tc>
        <w:tc>
          <w:tcPr>
            <w:tcW w:w="2010" w:type="dxa"/>
            <w:noWrap/>
            <w:vAlign w:val="center"/>
          </w:tcPr>
          <w:p>
            <w:pPr>
              <w:tabs>
                <w:tab w:val="left" w:pos="210"/>
              </w:tabs>
              <w:spacing w:line="320" w:lineRule="exact"/>
              <w:jc w:val="center"/>
              <w:rPr>
                <w:rFonts w:ascii="宋体" w:hAnsi="宋体" w:cs="宋体"/>
                <w:kern w:val="0"/>
                <w:sz w:val="24"/>
              </w:rPr>
            </w:pPr>
            <w:r>
              <w:rPr>
                <w:rFonts w:hint="eastAsia" w:ascii="宋体" w:hAnsi="宋体" w:cs="宋体"/>
                <w:kern w:val="0"/>
                <w:sz w:val="24"/>
              </w:rPr>
              <w:t>传真</w:t>
            </w:r>
          </w:p>
        </w:tc>
        <w:tc>
          <w:tcPr>
            <w:tcW w:w="6189" w:type="dxa"/>
            <w:gridSpan w:val="4"/>
            <w:noWrap/>
            <w:vAlign w:val="center"/>
          </w:tcPr>
          <w:p>
            <w:pPr>
              <w:tabs>
                <w:tab w:val="left" w:pos="210"/>
              </w:tabs>
              <w:spacing w:line="320" w:lineRule="exact"/>
              <w:jc w:val="center"/>
              <w:rPr>
                <w:rFonts w:ascii="宋体" w:hAnsi="宋体" w:cs="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70" w:hRule="atLeast"/>
          <w:jc w:val="center"/>
        </w:trPr>
        <w:tc>
          <w:tcPr>
            <w:tcW w:w="837" w:type="dxa"/>
            <w:vMerge w:val="restart"/>
            <w:noWrap/>
            <w:vAlign w:val="center"/>
          </w:tcPr>
          <w:p>
            <w:pPr>
              <w:tabs>
                <w:tab w:val="left" w:pos="210"/>
              </w:tabs>
              <w:spacing w:line="320" w:lineRule="exact"/>
              <w:jc w:val="center"/>
              <w:rPr>
                <w:rFonts w:ascii="宋体" w:hAnsi="宋体" w:cs="宋体"/>
                <w:kern w:val="0"/>
                <w:sz w:val="24"/>
              </w:rPr>
            </w:pPr>
            <w:r>
              <w:rPr>
                <w:rFonts w:hint="eastAsia" w:ascii="宋体" w:hAnsi="宋体" w:cs="宋体"/>
                <w:kern w:val="0"/>
                <w:sz w:val="24"/>
              </w:rPr>
              <w:t>法定代表人身份证复印件</w:t>
            </w:r>
          </w:p>
        </w:tc>
        <w:tc>
          <w:tcPr>
            <w:tcW w:w="4014" w:type="dxa"/>
            <w:gridSpan w:val="2"/>
            <w:vMerge w:val="restart"/>
            <w:noWrap/>
            <w:vAlign w:val="center"/>
          </w:tcPr>
          <w:p>
            <w:pPr>
              <w:tabs>
                <w:tab w:val="left" w:pos="210"/>
              </w:tabs>
              <w:spacing w:line="320" w:lineRule="exact"/>
              <w:jc w:val="center"/>
              <w:rPr>
                <w:rFonts w:ascii="宋体" w:hAnsi="宋体" w:cs="宋体"/>
                <w:kern w:val="0"/>
                <w:sz w:val="24"/>
              </w:rPr>
            </w:pPr>
            <w:r>
              <w:rPr>
                <w:rFonts w:hint="eastAsia" w:ascii="宋体" w:hAnsi="宋体" w:cs="宋体"/>
                <w:kern w:val="0"/>
                <w:sz w:val="24"/>
              </w:rPr>
              <w:t>（粘贴处）</w:t>
            </w:r>
          </w:p>
        </w:tc>
        <w:tc>
          <w:tcPr>
            <w:tcW w:w="4185" w:type="dxa"/>
            <w:gridSpan w:val="3"/>
            <w:noWrap/>
            <w:vAlign w:val="center"/>
          </w:tcPr>
          <w:p>
            <w:pPr>
              <w:tabs>
                <w:tab w:val="left" w:pos="210"/>
              </w:tabs>
              <w:spacing w:line="320" w:lineRule="exact"/>
              <w:jc w:val="center"/>
              <w:rPr>
                <w:rFonts w:ascii="宋体" w:hAnsi="宋体" w:cs="宋体"/>
                <w:kern w:val="0"/>
                <w:sz w:val="24"/>
              </w:rPr>
            </w:pPr>
            <w:r>
              <w:rPr>
                <w:rFonts w:hint="eastAsia" w:ascii="宋体" w:hAnsi="宋体" w:cs="宋体"/>
                <w:kern w:val="0"/>
                <w:sz w:val="24"/>
              </w:rPr>
              <w:t>法定代表人（签字或盖章）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0" w:hRule="atLeast"/>
          <w:jc w:val="center"/>
        </w:trPr>
        <w:tc>
          <w:tcPr>
            <w:tcW w:w="837" w:type="dxa"/>
            <w:vMerge w:val="continue"/>
            <w:noWrap/>
            <w:vAlign w:val="center"/>
          </w:tcPr>
          <w:p>
            <w:pPr>
              <w:tabs>
                <w:tab w:val="left" w:pos="210"/>
              </w:tabs>
              <w:spacing w:line="320" w:lineRule="exact"/>
              <w:jc w:val="center"/>
              <w:rPr>
                <w:rFonts w:ascii="宋体" w:hAnsi="宋体" w:cs="宋体"/>
                <w:kern w:val="0"/>
                <w:sz w:val="24"/>
              </w:rPr>
            </w:pPr>
          </w:p>
        </w:tc>
        <w:tc>
          <w:tcPr>
            <w:tcW w:w="4014" w:type="dxa"/>
            <w:gridSpan w:val="2"/>
            <w:vMerge w:val="continue"/>
            <w:noWrap/>
            <w:vAlign w:val="center"/>
          </w:tcPr>
          <w:p>
            <w:pPr>
              <w:tabs>
                <w:tab w:val="left" w:pos="210"/>
              </w:tabs>
              <w:spacing w:line="320" w:lineRule="exact"/>
              <w:jc w:val="center"/>
              <w:rPr>
                <w:rFonts w:ascii="宋体" w:hAnsi="宋体" w:cs="宋体"/>
                <w:kern w:val="0"/>
                <w:sz w:val="24"/>
              </w:rPr>
            </w:pPr>
          </w:p>
        </w:tc>
        <w:tc>
          <w:tcPr>
            <w:tcW w:w="4185" w:type="dxa"/>
            <w:gridSpan w:val="3"/>
            <w:noWrap/>
            <w:vAlign w:val="bottom"/>
          </w:tcPr>
          <w:p>
            <w:pPr>
              <w:tabs>
                <w:tab w:val="left" w:pos="210"/>
              </w:tabs>
              <w:spacing w:line="320" w:lineRule="exact"/>
              <w:jc w:val="center"/>
              <w:rPr>
                <w:rFonts w:ascii="宋体" w:hAnsi="宋体" w:cs="宋体"/>
                <w:kern w:val="0"/>
                <w:sz w:val="24"/>
              </w:rPr>
            </w:pPr>
            <w:r>
              <w:rPr>
                <w:rFonts w:hint="eastAsia" w:ascii="宋体" w:hAnsi="宋体" w:cs="宋体"/>
                <w:kern w:val="0"/>
                <w:sz w:val="24"/>
              </w:rPr>
              <w:t>（公章）</w:t>
            </w:r>
          </w:p>
          <w:p>
            <w:pPr>
              <w:tabs>
                <w:tab w:val="left" w:pos="210"/>
              </w:tabs>
              <w:spacing w:line="320" w:lineRule="exact"/>
              <w:jc w:val="center"/>
              <w:rPr>
                <w:rFonts w:ascii="宋体" w:hAnsi="宋体" w:cs="宋体"/>
                <w:kern w:val="0"/>
                <w:sz w:val="24"/>
              </w:rPr>
            </w:pPr>
          </w:p>
          <w:p>
            <w:pPr>
              <w:tabs>
                <w:tab w:val="left" w:pos="210"/>
              </w:tabs>
              <w:spacing w:line="320" w:lineRule="exact"/>
              <w:jc w:val="center"/>
              <w:rPr>
                <w:rFonts w:ascii="宋体" w:hAnsi="宋体" w:cs="宋体"/>
                <w:kern w:val="0"/>
                <w:sz w:val="24"/>
              </w:rPr>
            </w:pPr>
          </w:p>
          <w:p>
            <w:pPr>
              <w:tabs>
                <w:tab w:val="left" w:pos="210"/>
              </w:tabs>
              <w:spacing w:line="320" w:lineRule="exact"/>
              <w:jc w:val="center"/>
              <w:rPr>
                <w:rFonts w:ascii="宋体" w:hAnsi="宋体" w:cs="宋体"/>
                <w:kern w:val="0"/>
                <w:sz w:val="24"/>
              </w:rPr>
            </w:pPr>
          </w:p>
          <w:p>
            <w:pPr>
              <w:tabs>
                <w:tab w:val="left" w:pos="210"/>
              </w:tabs>
              <w:spacing w:line="320" w:lineRule="exact"/>
              <w:jc w:val="right"/>
              <w:rPr>
                <w:rFonts w:ascii="宋体" w:hAnsi="宋体" w:cs="宋体"/>
                <w:kern w:val="0"/>
                <w:sz w:val="24"/>
              </w:rPr>
            </w:pPr>
            <w:r>
              <w:rPr>
                <w:rFonts w:hint="eastAsia" w:ascii="宋体" w:hAnsi="宋体" w:cs="宋体"/>
                <w:kern w:val="0"/>
                <w:sz w:val="24"/>
              </w:rPr>
              <w:t xml:space="preserve">年  月  日 </w:t>
            </w:r>
          </w:p>
        </w:tc>
      </w:tr>
    </w:tbl>
    <w:p>
      <w:pPr>
        <w:pStyle w:val="34"/>
        <w:spacing w:line="480" w:lineRule="exact"/>
        <w:ind w:left="240" w:firstLine="361" w:firstLineChars="100"/>
        <w:jc w:val="center"/>
        <w:rPr>
          <w:rFonts w:ascii="宋体" w:hAnsi="宋体" w:cs="宋体"/>
          <w:b/>
          <w:bCs/>
          <w:sz w:val="36"/>
          <w:szCs w:val="21"/>
        </w:rPr>
      </w:pPr>
      <w:bookmarkStart w:id="218" w:name="_Toc1439"/>
      <w:bookmarkStart w:id="219" w:name="_Toc6260"/>
      <w:bookmarkStart w:id="220" w:name="_Toc27090"/>
      <w:bookmarkStart w:id="221" w:name="_Toc491186069"/>
      <w:bookmarkStart w:id="222" w:name="_Toc494096892"/>
      <w:r>
        <w:rPr>
          <w:rFonts w:hint="eastAsia" w:ascii="宋体" w:hAnsi="宋体" w:cs="宋体"/>
          <w:b/>
          <w:bCs/>
          <w:sz w:val="36"/>
          <w:szCs w:val="21"/>
        </w:rPr>
        <w:br w:type="page"/>
      </w:r>
    </w:p>
    <w:p>
      <w:pPr>
        <w:pStyle w:val="34"/>
        <w:spacing w:line="480" w:lineRule="exact"/>
        <w:ind w:firstLine="0" w:firstLineChars="0"/>
        <w:jc w:val="left"/>
        <w:rPr>
          <w:rFonts w:ascii="宋体" w:hAnsi="宋体" w:cs="宋体"/>
          <w:b/>
          <w:kern w:val="2"/>
          <w:sz w:val="28"/>
          <w:szCs w:val="28"/>
        </w:rPr>
      </w:pPr>
      <w:r>
        <w:rPr>
          <w:rFonts w:hint="eastAsia" w:ascii="宋体" w:hAnsi="宋体" w:cs="宋体"/>
          <w:b/>
          <w:kern w:val="2"/>
          <w:sz w:val="28"/>
          <w:szCs w:val="28"/>
        </w:rPr>
        <w:t>附件3：</w:t>
      </w:r>
    </w:p>
    <w:p>
      <w:pPr>
        <w:pStyle w:val="34"/>
        <w:spacing w:line="480" w:lineRule="exact"/>
        <w:ind w:left="240" w:firstLine="321" w:firstLineChars="100"/>
        <w:jc w:val="center"/>
        <w:rPr>
          <w:rFonts w:ascii="宋体" w:hAnsi="宋体" w:cs="宋体"/>
          <w:b/>
          <w:bCs/>
          <w:sz w:val="36"/>
          <w:szCs w:val="21"/>
        </w:rPr>
      </w:pPr>
      <w:bookmarkStart w:id="223" w:name="_Toc5050"/>
      <w:r>
        <w:rPr>
          <w:rFonts w:hint="eastAsia" w:ascii="宋体" w:hAnsi="宋体" w:cs="宋体"/>
          <w:b/>
          <w:color w:val="000000"/>
          <w:kern w:val="2"/>
          <w:sz w:val="32"/>
          <w:szCs w:val="32"/>
        </w:rPr>
        <w:t>法定代表人授权书</w:t>
      </w:r>
    </w:p>
    <w:p>
      <w:pPr>
        <w:spacing w:line="360" w:lineRule="auto"/>
        <w:rPr>
          <w:rFonts w:ascii="宋体" w:hAnsi="宋体" w:cs="宋体"/>
          <w:b/>
          <w:color w:val="000000"/>
          <w:sz w:val="24"/>
        </w:rPr>
      </w:pPr>
    </w:p>
    <w:p>
      <w:pPr>
        <w:spacing w:line="360" w:lineRule="auto"/>
        <w:rPr>
          <w:rFonts w:ascii="宋体" w:hAnsi="宋体" w:cs="宋体"/>
          <w:b/>
          <w:color w:val="000000"/>
          <w:sz w:val="24"/>
        </w:rPr>
      </w:pPr>
      <w:r>
        <w:rPr>
          <w:rFonts w:hint="eastAsia" w:ascii="宋体" w:hAnsi="宋体" w:cs="宋体"/>
          <w:b/>
          <w:color w:val="000000"/>
          <w:sz w:val="24"/>
        </w:rPr>
        <w:t>致：陕西盛世嘉和招标有限公司</w:t>
      </w:r>
    </w:p>
    <w:p>
      <w:pPr>
        <w:pStyle w:val="11"/>
        <w:spacing w:line="360" w:lineRule="auto"/>
        <w:ind w:firstLine="480" w:firstLineChars="200"/>
        <w:rPr>
          <w:rFonts w:hAnsi="宋体" w:cs="宋体"/>
          <w:sz w:val="10"/>
          <w:szCs w:val="24"/>
        </w:rPr>
      </w:pPr>
      <w:r>
        <w:rPr>
          <w:rFonts w:hint="eastAsia" w:hAnsi="宋体" w:cs="宋体"/>
          <w:sz w:val="24"/>
          <w:szCs w:val="24"/>
        </w:rPr>
        <w:t>本授权书声明：注册于（</w:t>
      </w:r>
      <w:r>
        <w:rPr>
          <w:rFonts w:hint="eastAsia" w:hAnsi="宋体" w:cs="宋体"/>
          <w:sz w:val="24"/>
          <w:szCs w:val="24"/>
          <w:u w:val="single"/>
        </w:rPr>
        <w:t>工商行政管理局名称）之（委托单位全称）</w:t>
      </w:r>
      <w:r>
        <w:rPr>
          <w:rFonts w:hint="eastAsia" w:hAnsi="宋体" w:cs="宋体"/>
          <w:sz w:val="24"/>
          <w:szCs w:val="24"/>
        </w:rPr>
        <w:t>的法定代表人</w:t>
      </w:r>
      <w:r>
        <w:rPr>
          <w:rFonts w:hint="eastAsia" w:hAnsi="宋体" w:cs="宋体"/>
          <w:sz w:val="24"/>
          <w:szCs w:val="24"/>
          <w:u w:val="single"/>
        </w:rPr>
        <w:t>（姓名、性别）</w:t>
      </w:r>
      <w:r>
        <w:rPr>
          <w:rFonts w:hint="eastAsia" w:hAnsi="宋体" w:cs="宋体"/>
          <w:sz w:val="24"/>
          <w:szCs w:val="24"/>
        </w:rPr>
        <w:t>授权</w:t>
      </w:r>
      <w:r>
        <w:rPr>
          <w:rFonts w:hint="eastAsia" w:hAnsi="宋体" w:cs="宋体"/>
          <w:sz w:val="24"/>
          <w:szCs w:val="24"/>
          <w:u w:val="single"/>
        </w:rPr>
        <w:t>（被授权人姓名、性别、职务）</w:t>
      </w:r>
      <w:r>
        <w:rPr>
          <w:rFonts w:hint="eastAsia" w:hAnsi="宋体" w:cs="宋体"/>
          <w:sz w:val="24"/>
          <w:szCs w:val="24"/>
        </w:rPr>
        <w:t>为本公司合法代理人，就贵方组织的有关</w:t>
      </w:r>
      <w:r>
        <w:rPr>
          <w:rFonts w:hint="eastAsia" w:hAnsi="宋体" w:cs="宋体"/>
          <w:sz w:val="24"/>
          <w:szCs w:val="24"/>
          <w:u w:val="single"/>
        </w:rPr>
        <w:t>（项目名称）</w:t>
      </w:r>
      <w:r>
        <w:rPr>
          <w:rFonts w:hint="eastAsia" w:hAnsi="宋体" w:cs="宋体"/>
          <w:sz w:val="24"/>
          <w:szCs w:val="24"/>
        </w:rPr>
        <w:t>（项目编号：</w:t>
      </w:r>
      <w:r>
        <w:rPr>
          <w:rFonts w:hint="eastAsia" w:hAnsi="宋体" w:cs="宋体"/>
          <w:sz w:val="24"/>
          <w:szCs w:val="24"/>
          <w:u w:val="single"/>
        </w:rPr>
        <w:t xml:space="preserve">          </w:t>
      </w:r>
      <w:r>
        <w:rPr>
          <w:rFonts w:hint="eastAsia" w:hAnsi="宋体" w:cs="宋体"/>
          <w:sz w:val="24"/>
          <w:szCs w:val="24"/>
        </w:rPr>
        <w:t>）的磋商、洽谈、执行等具体事务，签署全部有关文件、文书、协议、合同，授权有效期 日历日，本公司对被授权人在本项目中的签名承担全部法律责任。</w:t>
      </w:r>
    </w:p>
    <w:p>
      <w:pPr>
        <w:pStyle w:val="11"/>
        <w:spacing w:line="360" w:lineRule="auto"/>
        <w:ind w:firstLine="480" w:firstLineChars="200"/>
        <w:jc w:val="left"/>
        <w:rPr>
          <w:rFonts w:hAnsi="宋体" w:cs="宋体"/>
          <w:sz w:val="24"/>
          <w:szCs w:val="24"/>
        </w:rPr>
      </w:pPr>
      <w:r>
        <w:rPr>
          <w:rFonts w:hint="eastAsia" w:hAnsi="宋体" w:cs="宋体"/>
          <w:sz w:val="24"/>
          <w:szCs w:val="24"/>
        </w:rPr>
        <w:t>供应商名称（公章）：</w:t>
      </w:r>
      <w:r>
        <w:rPr>
          <w:rFonts w:hint="eastAsia" w:hAnsi="宋体" w:cs="宋体"/>
          <w:sz w:val="24"/>
          <w:szCs w:val="24"/>
          <w:u w:val="single"/>
        </w:rPr>
        <w:t xml:space="preserve">                               </w:t>
      </w:r>
      <w:r>
        <w:rPr>
          <w:rFonts w:hint="eastAsia" w:hAnsi="宋体" w:cs="宋体"/>
          <w:sz w:val="24"/>
          <w:szCs w:val="24"/>
        </w:rPr>
        <w:t xml:space="preserve">   </w:t>
      </w:r>
    </w:p>
    <w:p>
      <w:pPr>
        <w:pStyle w:val="11"/>
        <w:spacing w:line="360" w:lineRule="auto"/>
        <w:ind w:firstLine="240" w:firstLineChars="100"/>
        <w:jc w:val="left"/>
        <w:rPr>
          <w:rFonts w:hAnsi="宋体" w:cs="宋体"/>
          <w:sz w:val="24"/>
          <w:szCs w:val="24"/>
        </w:rPr>
      </w:pPr>
      <w:r>
        <w:rPr>
          <w:rFonts w:hint="eastAsia" w:hAnsi="宋体" w:cs="宋体"/>
          <w:sz w:val="24"/>
          <w:szCs w:val="24"/>
        </w:rPr>
        <w:t xml:space="preserve">  法定代表人（签字或盖章）：</w:t>
      </w:r>
      <w:r>
        <w:rPr>
          <w:rFonts w:hint="eastAsia" w:hAnsi="宋体" w:cs="宋体"/>
          <w:sz w:val="24"/>
          <w:szCs w:val="24"/>
          <w:u w:val="single"/>
        </w:rPr>
        <w:t xml:space="preserve">                         </w:t>
      </w:r>
    </w:p>
    <w:p>
      <w:pPr>
        <w:pStyle w:val="11"/>
        <w:spacing w:line="360" w:lineRule="auto"/>
        <w:ind w:firstLine="480" w:firstLineChars="200"/>
        <w:jc w:val="left"/>
        <w:rPr>
          <w:rFonts w:hAnsi="宋体" w:cs="宋体"/>
          <w:sz w:val="24"/>
          <w:szCs w:val="24"/>
          <w:u w:val="single"/>
        </w:rPr>
      </w:pPr>
      <w:r>
        <w:rPr>
          <w:rFonts w:hint="eastAsia" w:hAnsi="宋体" w:cs="宋体"/>
          <w:sz w:val="24"/>
          <w:szCs w:val="24"/>
        </w:rPr>
        <w:t>附：被授权人姓名（签字）：</w:t>
      </w:r>
      <w:r>
        <w:rPr>
          <w:rFonts w:hint="eastAsia" w:hAnsi="宋体" w:cs="宋体"/>
          <w:sz w:val="24"/>
          <w:szCs w:val="24"/>
          <w:u w:val="single"/>
        </w:rPr>
        <w:t xml:space="preserve">            </w:t>
      </w:r>
      <w:r>
        <w:rPr>
          <w:rFonts w:hint="eastAsia" w:hAnsi="宋体" w:cs="宋体"/>
          <w:sz w:val="24"/>
          <w:szCs w:val="24"/>
        </w:rPr>
        <w:t xml:space="preserve"> 性别：</w:t>
      </w:r>
      <w:r>
        <w:rPr>
          <w:rFonts w:hint="eastAsia" w:hAnsi="宋体" w:cs="宋体"/>
          <w:sz w:val="24"/>
          <w:szCs w:val="24"/>
          <w:u w:val="single"/>
        </w:rPr>
        <w:t xml:space="preserve">          </w:t>
      </w:r>
      <w:r>
        <w:rPr>
          <w:rFonts w:hint="eastAsia" w:hAnsi="宋体" w:cs="宋体"/>
          <w:sz w:val="24"/>
          <w:szCs w:val="24"/>
        </w:rPr>
        <w:t xml:space="preserve"> 职务：</w:t>
      </w:r>
      <w:r>
        <w:rPr>
          <w:rFonts w:hint="eastAsia" w:hAnsi="宋体" w:cs="宋体"/>
          <w:sz w:val="24"/>
          <w:szCs w:val="24"/>
          <w:u w:val="single"/>
        </w:rPr>
        <w:t xml:space="preserve">           </w:t>
      </w:r>
    </w:p>
    <w:p>
      <w:pPr>
        <w:pStyle w:val="11"/>
        <w:spacing w:line="360" w:lineRule="auto"/>
        <w:ind w:firstLine="480" w:firstLineChars="200"/>
        <w:jc w:val="left"/>
        <w:rPr>
          <w:rFonts w:hAnsi="宋体" w:cs="宋体"/>
          <w:sz w:val="24"/>
          <w:szCs w:val="24"/>
          <w:u w:val="single"/>
        </w:rPr>
      </w:pPr>
      <w:r>
        <w:rPr>
          <w:rFonts w:hint="eastAsia" w:hAnsi="宋体" w:cs="宋体"/>
          <w:sz w:val="24"/>
          <w:szCs w:val="24"/>
        </w:rPr>
        <w:t>联系地址：</w:t>
      </w:r>
      <w:r>
        <w:rPr>
          <w:rFonts w:hint="eastAsia" w:hAnsi="宋体" w:cs="宋体"/>
          <w:sz w:val="24"/>
          <w:szCs w:val="24"/>
          <w:u w:val="single"/>
        </w:rPr>
        <w:t xml:space="preserve">                                             </w:t>
      </w:r>
      <w:r>
        <w:rPr>
          <w:rFonts w:hint="eastAsia" w:hAnsi="宋体" w:cs="宋体"/>
          <w:sz w:val="24"/>
          <w:szCs w:val="24"/>
        </w:rPr>
        <w:t xml:space="preserve">  </w:t>
      </w:r>
    </w:p>
    <w:p>
      <w:pPr>
        <w:pStyle w:val="11"/>
        <w:spacing w:line="360" w:lineRule="auto"/>
        <w:ind w:firstLine="480" w:firstLineChars="200"/>
        <w:jc w:val="left"/>
        <w:rPr>
          <w:rFonts w:hAnsi="宋体" w:cs="宋体"/>
          <w:sz w:val="24"/>
          <w:szCs w:val="24"/>
          <w:u w:val="single"/>
        </w:rPr>
      </w:pPr>
      <w:r>
        <w:rPr>
          <w:rFonts w:hint="eastAsia" w:hAnsi="宋体" w:cs="宋体"/>
          <w:sz w:val="24"/>
          <w:szCs w:val="24"/>
        </w:rPr>
        <w:t>联系电话：</w:t>
      </w:r>
      <w:r>
        <w:rPr>
          <w:rFonts w:hint="eastAsia" w:hAnsi="宋体" w:cs="宋体"/>
          <w:sz w:val="24"/>
          <w:szCs w:val="24"/>
          <w:u w:val="single"/>
        </w:rPr>
        <w:t xml:space="preserve">                </w:t>
      </w:r>
      <w:r>
        <w:rPr>
          <w:rFonts w:hint="eastAsia" w:hAnsi="宋体" w:cs="宋体"/>
          <w:sz w:val="24"/>
          <w:szCs w:val="24"/>
        </w:rPr>
        <w:t xml:space="preserve"> 传真：</w:t>
      </w:r>
      <w:r>
        <w:rPr>
          <w:rFonts w:hint="eastAsia" w:hAnsi="宋体" w:cs="宋体"/>
          <w:sz w:val="24"/>
          <w:szCs w:val="24"/>
          <w:u w:val="single"/>
        </w:rPr>
        <w:t xml:space="preserve">                 </w:t>
      </w:r>
    </w:p>
    <w:p>
      <w:pPr>
        <w:pStyle w:val="11"/>
        <w:spacing w:line="360" w:lineRule="auto"/>
        <w:ind w:firstLine="480" w:firstLineChars="200"/>
        <w:jc w:val="left"/>
        <w:rPr>
          <w:rFonts w:hAnsi="宋体" w:cs="宋体"/>
          <w:sz w:val="24"/>
          <w:szCs w:val="24"/>
        </w:rPr>
      </w:pPr>
      <w:r>
        <w:rPr>
          <w:rFonts w:hint="eastAsia" w:hAnsi="宋体" w:cs="宋体"/>
          <w:sz w:val="24"/>
          <w:szCs w:val="24"/>
        </w:rPr>
        <w:t>法定代表人、被授权人身份证复印件</w:t>
      </w:r>
    </w:p>
    <w:tbl>
      <w:tblPr>
        <w:tblStyle w:val="19"/>
        <w:tblW w:w="904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652"/>
        <w:gridCol w:w="438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99" w:hRule="atLeast"/>
          <w:jc w:val="center"/>
        </w:trPr>
        <w:tc>
          <w:tcPr>
            <w:tcW w:w="4652" w:type="dxa"/>
            <w:tcBorders>
              <w:top w:val="single" w:color="auto" w:sz="4" w:space="0"/>
              <w:left w:val="single" w:color="auto" w:sz="4" w:space="0"/>
              <w:right w:val="single" w:color="auto" w:sz="4" w:space="0"/>
            </w:tcBorders>
            <w:shd w:val="clear" w:color="auto" w:fill="D9D9D9"/>
            <w:vAlign w:val="center"/>
          </w:tcPr>
          <w:p>
            <w:pPr>
              <w:pStyle w:val="11"/>
              <w:spacing w:line="500" w:lineRule="exact"/>
              <w:jc w:val="center"/>
              <w:rPr>
                <w:rFonts w:hAnsi="宋体" w:cs="宋体"/>
                <w:sz w:val="24"/>
                <w:szCs w:val="24"/>
                <w:shd w:val="clear" w:color="FFFFFF" w:fill="D9D9D9"/>
              </w:rPr>
            </w:pPr>
            <w:r>
              <w:rPr>
                <w:rFonts w:hint="eastAsia" w:hAnsi="宋体" w:cs="宋体"/>
                <w:sz w:val="24"/>
                <w:szCs w:val="24"/>
                <w:shd w:val="clear" w:color="FFFFFF" w:fill="D9D9D9"/>
              </w:rPr>
              <w:t>法定代表人身份证复印件（正、反面）</w:t>
            </w:r>
          </w:p>
        </w:tc>
        <w:tc>
          <w:tcPr>
            <w:tcW w:w="4388" w:type="dxa"/>
            <w:tcBorders>
              <w:top w:val="single" w:color="auto" w:sz="4" w:space="0"/>
              <w:left w:val="single" w:color="auto" w:sz="4" w:space="0"/>
              <w:bottom w:val="single" w:color="auto" w:sz="4" w:space="0"/>
              <w:right w:val="single" w:color="auto" w:sz="4" w:space="0"/>
            </w:tcBorders>
            <w:shd w:val="clear" w:color="auto" w:fill="D9D9D9"/>
            <w:vAlign w:val="center"/>
          </w:tcPr>
          <w:p>
            <w:pPr>
              <w:pStyle w:val="11"/>
              <w:spacing w:line="500" w:lineRule="exact"/>
              <w:jc w:val="center"/>
              <w:rPr>
                <w:rFonts w:hAnsi="宋体" w:cs="宋体"/>
                <w:sz w:val="24"/>
                <w:szCs w:val="24"/>
                <w:shd w:val="clear" w:color="FFFFFF" w:fill="D9D9D9"/>
              </w:rPr>
            </w:pPr>
            <w:r>
              <w:rPr>
                <w:rFonts w:hint="eastAsia" w:hAnsi="宋体" w:cs="宋体"/>
                <w:sz w:val="24"/>
                <w:szCs w:val="24"/>
                <w:shd w:val="clear" w:color="FFFFFF" w:fill="D9D9D9"/>
              </w:rPr>
              <w:t>被授权人身份证复印件（正、反面）</w:t>
            </w:r>
          </w:p>
        </w:tc>
      </w:tr>
    </w:tbl>
    <w:p>
      <w:pPr>
        <w:pStyle w:val="11"/>
        <w:spacing w:line="360" w:lineRule="auto"/>
        <w:jc w:val="left"/>
        <w:rPr>
          <w:rFonts w:hAnsi="宋体" w:cs="宋体"/>
          <w:sz w:val="24"/>
          <w:szCs w:val="24"/>
        </w:rPr>
      </w:pPr>
      <w:r>
        <w:rPr>
          <w:rFonts w:hint="eastAsia" w:hAnsi="宋体" w:cs="宋体"/>
          <w:sz w:val="24"/>
          <w:szCs w:val="24"/>
        </w:rPr>
        <w:t>（注：身份证复印件加盖企业公章）</w:t>
      </w:r>
    </w:p>
    <w:p>
      <w:pPr>
        <w:pStyle w:val="11"/>
        <w:spacing w:line="360" w:lineRule="auto"/>
        <w:ind w:firstLine="218" w:firstLineChars="91"/>
        <w:jc w:val="left"/>
        <w:rPr>
          <w:rFonts w:hAnsi="宋体" w:cs="宋体"/>
          <w:sz w:val="24"/>
          <w:szCs w:val="24"/>
        </w:rPr>
      </w:pPr>
    </w:p>
    <w:p>
      <w:pPr>
        <w:pStyle w:val="11"/>
        <w:spacing w:line="360" w:lineRule="auto"/>
        <w:ind w:firstLine="218" w:firstLineChars="91"/>
        <w:jc w:val="left"/>
        <w:rPr>
          <w:rFonts w:hAnsi="宋体" w:cs="宋体"/>
          <w:sz w:val="24"/>
          <w:szCs w:val="24"/>
        </w:rPr>
      </w:pPr>
    </w:p>
    <w:p>
      <w:pPr>
        <w:pStyle w:val="11"/>
        <w:spacing w:line="360" w:lineRule="auto"/>
        <w:ind w:firstLine="218" w:firstLineChars="91"/>
        <w:jc w:val="left"/>
        <w:rPr>
          <w:rFonts w:hAnsi="宋体" w:cs="宋体"/>
          <w:sz w:val="24"/>
          <w:szCs w:val="24"/>
        </w:rPr>
      </w:pPr>
    </w:p>
    <w:p>
      <w:pPr>
        <w:pStyle w:val="11"/>
        <w:spacing w:line="360" w:lineRule="auto"/>
        <w:ind w:firstLine="218" w:firstLineChars="91"/>
        <w:jc w:val="left"/>
        <w:rPr>
          <w:rFonts w:hAnsi="宋体" w:cs="宋体"/>
          <w:b/>
          <w:kern w:val="0"/>
          <w:sz w:val="28"/>
          <w:szCs w:val="28"/>
        </w:rPr>
      </w:pPr>
      <w:r>
        <w:rPr>
          <w:rFonts w:hint="eastAsia" w:hAnsi="宋体" w:cs="宋体"/>
          <w:sz w:val="24"/>
          <w:szCs w:val="24"/>
        </w:rPr>
        <w:t>说明：授权书内容填写要明确，文字要工整清楚，涂改无效。</w:t>
      </w:r>
      <w:bookmarkEnd w:id="218"/>
      <w:bookmarkEnd w:id="219"/>
      <w:bookmarkEnd w:id="220"/>
      <w:bookmarkEnd w:id="221"/>
      <w:bookmarkEnd w:id="222"/>
      <w:bookmarkEnd w:id="223"/>
    </w:p>
    <w:p>
      <w:pPr>
        <w:jc w:val="center"/>
        <w:rPr>
          <w:rFonts w:ascii="宋体" w:hAnsi="宋体" w:cs="宋体"/>
        </w:rPr>
      </w:pPr>
      <w:r>
        <w:rPr>
          <w:rFonts w:hint="eastAsia" w:ascii="宋体" w:hAnsi="宋体" w:cs="宋体"/>
          <w:b/>
          <w:kern w:val="0"/>
          <w:sz w:val="28"/>
          <w:szCs w:val="28"/>
        </w:rPr>
        <w:t>七、业绩</w:t>
      </w:r>
    </w:p>
    <w:p>
      <w:pPr>
        <w:pStyle w:val="35"/>
        <w:rPr>
          <w:rFonts w:hAnsi="宋体" w:cs="宋体"/>
          <w:sz w:val="24"/>
          <w:szCs w:val="24"/>
        </w:rPr>
      </w:pPr>
    </w:p>
    <w:p>
      <w:pPr>
        <w:spacing w:line="360" w:lineRule="auto"/>
        <w:rPr>
          <w:rFonts w:ascii="宋体" w:hAnsi="宋体" w:cs="宋体"/>
          <w:sz w:val="24"/>
          <w:u w:val="single"/>
        </w:rPr>
      </w:pPr>
      <w:r>
        <w:rPr>
          <w:rFonts w:hint="eastAsia" w:ascii="宋体" w:hAnsi="宋体" w:cs="宋体"/>
          <w:sz w:val="24"/>
        </w:rPr>
        <w:t>项目名称：                                         项目编号：</w:t>
      </w:r>
    </w:p>
    <w:tbl>
      <w:tblPr>
        <w:tblStyle w:val="19"/>
        <w:tblW w:w="960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44"/>
        <w:gridCol w:w="3873"/>
        <w:gridCol w:w="2247"/>
        <w:gridCol w:w="22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8" w:hRule="atLeast"/>
        </w:trPr>
        <w:tc>
          <w:tcPr>
            <w:tcW w:w="1244" w:type="dxa"/>
            <w:noWrap/>
            <w:vAlign w:val="center"/>
          </w:tcPr>
          <w:p>
            <w:pPr>
              <w:spacing w:line="360" w:lineRule="auto"/>
              <w:jc w:val="center"/>
              <w:rPr>
                <w:rFonts w:ascii="宋体" w:hAnsi="宋体" w:cs="宋体"/>
                <w:bCs/>
                <w:sz w:val="24"/>
              </w:rPr>
            </w:pPr>
            <w:r>
              <w:rPr>
                <w:rFonts w:hint="eastAsia" w:ascii="宋体" w:hAnsi="宋体" w:cs="宋体"/>
                <w:bCs/>
                <w:sz w:val="24"/>
              </w:rPr>
              <w:t>序号</w:t>
            </w:r>
          </w:p>
        </w:tc>
        <w:tc>
          <w:tcPr>
            <w:tcW w:w="3873" w:type="dxa"/>
            <w:noWrap/>
            <w:vAlign w:val="center"/>
          </w:tcPr>
          <w:p>
            <w:pPr>
              <w:spacing w:line="360" w:lineRule="auto"/>
              <w:jc w:val="center"/>
              <w:rPr>
                <w:rFonts w:ascii="宋体" w:hAnsi="宋体" w:cs="宋体"/>
                <w:bCs/>
                <w:sz w:val="24"/>
              </w:rPr>
            </w:pPr>
            <w:r>
              <w:rPr>
                <w:rFonts w:hint="eastAsia" w:ascii="宋体" w:hAnsi="宋体" w:cs="宋体"/>
                <w:bCs/>
                <w:sz w:val="24"/>
              </w:rPr>
              <w:t>项目名称</w:t>
            </w:r>
          </w:p>
        </w:tc>
        <w:tc>
          <w:tcPr>
            <w:tcW w:w="2247" w:type="dxa"/>
            <w:noWrap/>
            <w:vAlign w:val="center"/>
          </w:tcPr>
          <w:p>
            <w:pPr>
              <w:spacing w:line="360" w:lineRule="auto"/>
              <w:jc w:val="center"/>
              <w:rPr>
                <w:rFonts w:ascii="宋体" w:hAnsi="宋体" w:cs="宋体"/>
                <w:bCs/>
                <w:sz w:val="24"/>
              </w:rPr>
            </w:pPr>
            <w:r>
              <w:rPr>
                <w:rFonts w:hint="eastAsia" w:ascii="宋体" w:hAnsi="宋体" w:cs="宋体"/>
                <w:bCs/>
                <w:sz w:val="24"/>
              </w:rPr>
              <w:t>合同金额（元）</w:t>
            </w:r>
          </w:p>
        </w:tc>
        <w:tc>
          <w:tcPr>
            <w:tcW w:w="2240" w:type="dxa"/>
            <w:noWrap/>
            <w:vAlign w:val="center"/>
          </w:tcPr>
          <w:p>
            <w:pPr>
              <w:spacing w:line="360" w:lineRule="auto"/>
              <w:jc w:val="center"/>
              <w:rPr>
                <w:rFonts w:ascii="宋体" w:hAnsi="宋体" w:cs="宋体"/>
                <w:bCs/>
                <w:sz w:val="24"/>
              </w:rPr>
            </w:pPr>
            <w:r>
              <w:rPr>
                <w:rFonts w:hint="eastAsia" w:ascii="宋体" w:hAnsi="宋体" w:cs="宋体"/>
                <w:bCs/>
                <w:sz w:val="24"/>
              </w:rPr>
              <w:t>完成日期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8" w:hRule="atLeast"/>
        </w:trPr>
        <w:tc>
          <w:tcPr>
            <w:tcW w:w="1244" w:type="dxa"/>
            <w:noWrap/>
            <w:vAlign w:val="center"/>
          </w:tcPr>
          <w:p>
            <w:pPr>
              <w:spacing w:line="360" w:lineRule="auto"/>
              <w:jc w:val="center"/>
              <w:rPr>
                <w:rFonts w:ascii="宋体" w:hAnsi="宋体" w:cs="宋体"/>
                <w:bCs/>
                <w:sz w:val="24"/>
              </w:rPr>
            </w:pPr>
            <w:r>
              <w:rPr>
                <w:rFonts w:hint="eastAsia" w:ascii="宋体" w:hAnsi="宋体" w:cs="宋体"/>
                <w:bCs/>
                <w:sz w:val="24"/>
              </w:rPr>
              <w:t>1</w:t>
            </w:r>
          </w:p>
        </w:tc>
        <w:tc>
          <w:tcPr>
            <w:tcW w:w="3873" w:type="dxa"/>
            <w:noWrap/>
            <w:vAlign w:val="center"/>
          </w:tcPr>
          <w:p>
            <w:pPr>
              <w:spacing w:line="360" w:lineRule="auto"/>
              <w:rPr>
                <w:rFonts w:ascii="宋体" w:hAnsi="宋体" w:cs="宋体"/>
                <w:bCs/>
                <w:sz w:val="24"/>
              </w:rPr>
            </w:pPr>
          </w:p>
        </w:tc>
        <w:tc>
          <w:tcPr>
            <w:tcW w:w="2247" w:type="dxa"/>
            <w:noWrap/>
            <w:vAlign w:val="center"/>
          </w:tcPr>
          <w:p>
            <w:pPr>
              <w:spacing w:line="360" w:lineRule="auto"/>
              <w:rPr>
                <w:rFonts w:ascii="宋体" w:hAnsi="宋体" w:cs="宋体"/>
                <w:bCs/>
                <w:sz w:val="24"/>
              </w:rPr>
            </w:pPr>
          </w:p>
        </w:tc>
        <w:tc>
          <w:tcPr>
            <w:tcW w:w="2240" w:type="dxa"/>
            <w:noWrap/>
            <w:vAlign w:val="center"/>
          </w:tcPr>
          <w:p>
            <w:pPr>
              <w:spacing w:line="360" w:lineRule="auto"/>
              <w:rPr>
                <w:rFonts w:ascii="宋体" w:hAnsi="宋体" w:cs="宋体"/>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0" w:hRule="atLeast"/>
        </w:trPr>
        <w:tc>
          <w:tcPr>
            <w:tcW w:w="1244" w:type="dxa"/>
            <w:noWrap/>
            <w:vAlign w:val="center"/>
          </w:tcPr>
          <w:p>
            <w:pPr>
              <w:spacing w:line="360" w:lineRule="auto"/>
              <w:jc w:val="center"/>
              <w:rPr>
                <w:rFonts w:ascii="宋体" w:hAnsi="宋体" w:cs="宋体"/>
                <w:bCs/>
                <w:sz w:val="24"/>
              </w:rPr>
            </w:pPr>
            <w:r>
              <w:rPr>
                <w:rFonts w:hint="eastAsia" w:ascii="宋体" w:hAnsi="宋体" w:cs="宋体"/>
                <w:bCs/>
                <w:sz w:val="24"/>
              </w:rPr>
              <w:t>2</w:t>
            </w:r>
          </w:p>
        </w:tc>
        <w:tc>
          <w:tcPr>
            <w:tcW w:w="3873" w:type="dxa"/>
            <w:noWrap/>
            <w:vAlign w:val="center"/>
          </w:tcPr>
          <w:p>
            <w:pPr>
              <w:spacing w:line="360" w:lineRule="auto"/>
              <w:rPr>
                <w:rFonts w:ascii="宋体" w:hAnsi="宋体" w:cs="宋体"/>
                <w:bCs/>
                <w:sz w:val="24"/>
              </w:rPr>
            </w:pPr>
          </w:p>
        </w:tc>
        <w:tc>
          <w:tcPr>
            <w:tcW w:w="2247" w:type="dxa"/>
            <w:noWrap/>
            <w:vAlign w:val="center"/>
          </w:tcPr>
          <w:p>
            <w:pPr>
              <w:spacing w:line="360" w:lineRule="auto"/>
              <w:rPr>
                <w:rFonts w:ascii="宋体" w:hAnsi="宋体" w:cs="宋体"/>
                <w:bCs/>
                <w:sz w:val="24"/>
              </w:rPr>
            </w:pPr>
          </w:p>
        </w:tc>
        <w:tc>
          <w:tcPr>
            <w:tcW w:w="2240" w:type="dxa"/>
            <w:noWrap/>
            <w:vAlign w:val="center"/>
          </w:tcPr>
          <w:p>
            <w:pPr>
              <w:spacing w:line="360" w:lineRule="auto"/>
              <w:rPr>
                <w:rFonts w:ascii="宋体" w:hAnsi="宋体" w:cs="宋体"/>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1" w:hRule="atLeast"/>
        </w:trPr>
        <w:tc>
          <w:tcPr>
            <w:tcW w:w="1244" w:type="dxa"/>
            <w:noWrap/>
            <w:vAlign w:val="center"/>
          </w:tcPr>
          <w:p>
            <w:pPr>
              <w:spacing w:line="360" w:lineRule="auto"/>
              <w:jc w:val="center"/>
              <w:rPr>
                <w:rFonts w:ascii="宋体" w:hAnsi="宋体" w:cs="宋体"/>
                <w:bCs/>
                <w:sz w:val="24"/>
              </w:rPr>
            </w:pPr>
            <w:r>
              <w:rPr>
                <w:rFonts w:hint="eastAsia" w:ascii="宋体" w:hAnsi="宋体" w:cs="宋体"/>
                <w:bCs/>
                <w:sz w:val="24"/>
              </w:rPr>
              <w:t>3</w:t>
            </w:r>
          </w:p>
        </w:tc>
        <w:tc>
          <w:tcPr>
            <w:tcW w:w="3873" w:type="dxa"/>
            <w:noWrap/>
            <w:vAlign w:val="center"/>
          </w:tcPr>
          <w:p>
            <w:pPr>
              <w:spacing w:line="360" w:lineRule="auto"/>
              <w:ind w:firstLine="1200" w:firstLineChars="500"/>
              <w:rPr>
                <w:rFonts w:ascii="宋体" w:hAnsi="宋体" w:cs="宋体"/>
                <w:bCs/>
                <w:sz w:val="24"/>
              </w:rPr>
            </w:pPr>
          </w:p>
        </w:tc>
        <w:tc>
          <w:tcPr>
            <w:tcW w:w="2247" w:type="dxa"/>
            <w:noWrap/>
            <w:vAlign w:val="center"/>
          </w:tcPr>
          <w:p>
            <w:pPr>
              <w:spacing w:line="360" w:lineRule="auto"/>
              <w:ind w:firstLine="1200" w:firstLineChars="500"/>
              <w:rPr>
                <w:rFonts w:ascii="宋体" w:hAnsi="宋体" w:cs="宋体"/>
                <w:bCs/>
                <w:sz w:val="24"/>
              </w:rPr>
            </w:pPr>
          </w:p>
        </w:tc>
        <w:tc>
          <w:tcPr>
            <w:tcW w:w="2240" w:type="dxa"/>
            <w:noWrap/>
            <w:vAlign w:val="center"/>
          </w:tcPr>
          <w:p>
            <w:pPr>
              <w:spacing w:line="360" w:lineRule="auto"/>
              <w:ind w:firstLine="1200" w:firstLineChars="500"/>
              <w:rPr>
                <w:rFonts w:ascii="宋体" w:hAnsi="宋体" w:cs="宋体"/>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0" w:hRule="atLeast"/>
        </w:trPr>
        <w:tc>
          <w:tcPr>
            <w:tcW w:w="1244" w:type="dxa"/>
            <w:noWrap/>
            <w:vAlign w:val="center"/>
          </w:tcPr>
          <w:p>
            <w:pPr>
              <w:spacing w:line="360" w:lineRule="auto"/>
              <w:jc w:val="center"/>
              <w:rPr>
                <w:rFonts w:ascii="宋体" w:hAnsi="宋体" w:cs="宋体"/>
                <w:bCs/>
                <w:sz w:val="24"/>
              </w:rPr>
            </w:pPr>
            <w:r>
              <w:rPr>
                <w:rFonts w:hint="eastAsia" w:ascii="宋体" w:hAnsi="宋体" w:cs="宋体"/>
                <w:bCs/>
                <w:sz w:val="24"/>
              </w:rPr>
              <w:t>4</w:t>
            </w:r>
          </w:p>
        </w:tc>
        <w:tc>
          <w:tcPr>
            <w:tcW w:w="3873" w:type="dxa"/>
            <w:noWrap/>
            <w:vAlign w:val="center"/>
          </w:tcPr>
          <w:p>
            <w:pPr>
              <w:spacing w:line="360" w:lineRule="auto"/>
              <w:rPr>
                <w:rFonts w:ascii="宋体" w:hAnsi="宋体" w:cs="宋体"/>
                <w:bCs/>
                <w:sz w:val="24"/>
              </w:rPr>
            </w:pPr>
          </w:p>
        </w:tc>
        <w:tc>
          <w:tcPr>
            <w:tcW w:w="2247" w:type="dxa"/>
            <w:noWrap/>
            <w:vAlign w:val="center"/>
          </w:tcPr>
          <w:p>
            <w:pPr>
              <w:spacing w:line="360" w:lineRule="auto"/>
              <w:rPr>
                <w:rFonts w:ascii="宋体" w:hAnsi="宋体" w:cs="宋体"/>
                <w:bCs/>
                <w:sz w:val="24"/>
              </w:rPr>
            </w:pPr>
          </w:p>
        </w:tc>
        <w:tc>
          <w:tcPr>
            <w:tcW w:w="2240" w:type="dxa"/>
            <w:noWrap/>
            <w:vAlign w:val="center"/>
          </w:tcPr>
          <w:p>
            <w:pPr>
              <w:spacing w:line="360" w:lineRule="auto"/>
              <w:rPr>
                <w:rFonts w:ascii="宋体" w:hAnsi="宋体" w:cs="宋体"/>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0" w:hRule="atLeast"/>
        </w:trPr>
        <w:tc>
          <w:tcPr>
            <w:tcW w:w="1244" w:type="dxa"/>
            <w:noWrap/>
            <w:vAlign w:val="center"/>
          </w:tcPr>
          <w:p>
            <w:pPr>
              <w:spacing w:line="360" w:lineRule="auto"/>
              <w:jc w:val="center"/>
              <w:rPr>
                <w:rFonts w:ascii="宋体" w:hAnsi="宋体" w:cs="宋体"/>
                <w:bCs/>
                <w:sz w:val="24"/>
              </w:rPr>
            </w:pPr>
            <w:r>
              <w:rPr>
                <w:rFonts w:hint="eastAsia" w:ascii="宋体" w:hAnsi="宋体" w:cs="宋体"/>
                <w:bCs/>
                <w:sz w:val="24"/>
              </w:rPr>
              <w:t>5</w:t>
            </w:r>
          </w:p>
        </w:tc>
        <w:tc>
          <w:tcPr>
            <w:tcW w:w="3873" w:type="dxa"/>
            <w:noWrap/>
            <w:vAlign w:val="center"/>
          </w:tcPr>
          <w:p>
            <w:pPr>
              <w:spacing w:line="360" w:lineRule="auto"/>
              <w:rPr>
                <w:rFonts w:ascii="宋体" w:hAnsi="宋体" w:cs="宋体"/>
                <w:bCs/>
                <w:sz w:val="24"/>
              </w:rPr>
            </w:pPr>
          </w:p>
        </w:tc>
        <w:tc>
          <w:tcPr>
            <w:tcW w:w="2247" w:type="dxa"/>
            <w:noWrap/>
            <w:vAlign w:val="center"/>
          </w:tcPr>
          <w:p>
            <w:pPr>
              <w:spacing w:line="360" w:lineRule="auto"/>
              <w:rPr>
                <w:rFonts w:ascii="宋体" w:hAnsi="宋体" w:cs="宋体"/>
                <w:bCs/>
                <w:sz w:val="24"/>
              </w:rPr>
            </w:pPr>
          </w:p>
        </w:tc>
        <w:tc>
          <w:tcPr>
            <w:tcW w:w="2240" w:type="dxa"/>
            <w:noWrap/>
            <w:vAlign w:val="center"/>
          </w:tcPr>
          <w:p>
            <w:pPr>
              <w:spacing w:line="360" w:lineRule="auto"/>
              <w:rPr>
                <w:rFonts w:ascii="宋体" w:hAnsi="宋体" w:cs="宋体"/>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8" w:hRule="atLeast"/>
        </w:trPr>
        <w:tc>
          <w:tcPr>
            <w:tcW w:w="1244" w:type="dxa"/>
            <w:noWrap/>
            <w:vAlign w:val="center"/>
          </w:tcPr>
          <w:p>
            <w:pPr>
              <w:spacing w:line="360" w:lineRule="auto"/>
              <w:jc w:val="center"/>
              <w:rPr>
                <w:rFonts w:ascii="宋体" w:hAnsi="宋体" w:cs="宋体"/>
                <w:bCs/>
                <w:sz w:val="24"/>
              </w:rPr>
            </w:pPr>
          </w:p>
        </w:tc>
        <w:tc>
          <w:tcPr>
            <w:tcW w:w="3873" w:type="dxa"/>
            <w:noWrap/>
            <w:vAlign w:val="center"/>
          </w:tcPr>
          <w:p>
            <w:pPr>
              <w:spacing w:line="360" w:lineRule="auto"/>
              <w:rPr>
                <w:rFonts w:ascii="宋体" w:hAnsi="宋体" w:cs="宋体"/>
                <w:bCs/>
                <w:sz w:val="24"/>
              </w:rPr>
            </w:pPr>
          </w:p>
        </w:tc>
        <w:tc>
          <w:tcPr>
            <w:tcW w:w="2247" w:type="dxa"/>
            <w:noWrap/>
            <w:vAlign w:val="center"/>
          </w:tcPr>
          <w:p>
            <w:pPr>
              <w:spacing w:line="360" w:lineRule="auto"/>
              <w:rPr>
                <w:rFonts w:ascii="宋体" w:hAnsi="宋体" w:cs="宋体"/>
                <w:bCs/>
                <w:sz w:val="24"/>
              </w:rPr>
            </w:pPr>
          </w:p>
        </w:tc>
        <w:tc>
          <w:tcPr>
            <w:tcW w:w="2240" w:type="dxa"/>
            <w:noWrap/>
            <w:vAlign w:val="center"/>
          </w:tcPr>
          <w:p>
            <w:pPr>
              <w:spacing w:line="360" w:lineRule="auto"/>
              <w:rPr>
                <w:rFonts w:ascii="宋体" w:hAnsi="宋体" w:cs="宋体"/>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8" w:hRule="atLeast"/>
        </w:trPr>
        <w:tc>
          <w:tcPr>
            <w:tcW w:w="1244" w:type="dxa"/>
            <w:noWrap/>
            <w:vAlign w:val="center"/>
          </w:tcPr>
          <w:p>
            <w:pPr>
              <w:spacing w:line="360" w:lineRule="auto"/>
              <w:jc w:val="center"/>
              <w:rPr>
                <w:rFonts w:ascii="宋体" w:hAnsi="宋体" w:cs="宋体"/>
                <w:bCs/>
                <w:sz w:val="24"/>
              </w:rPr>
            </w:pPr>
          </w:p>
        </w:tc>
        <w:tc>
          <w:tcPr>
            <w:tcW w:w="3873" w:type="dxa"/>
            <w:noWrap/>
            <w:vAlign w:val="center"/>
          </w:tcPr>
          <w:p>
            <w:pPr>
              <w:spacing w:line="360" w:lineRule="auto"/>
              <w:rPr>
                <w:rFonts w:ascii="宋体" w:hAnsi="宋体" w:cs="宋体"/>
                <w:bCs/>
                <w:sz w:val="24"/>
              </w:rPr>
            </w:pPr>
          </w:p>
        </w:tc>
        <w:tc>
          <w:tcPr>
            <w:tcW w:w="2247" w:type="dxa"/>
            <w:noWrap/>
            <w:vAlign w:val="center"/>
          </w:tcPr>
          <w:p>
            <w:pPr>
              <w:spacing w:line="360" w:lineRule="auto"/>
              <w:rPr>
                <w:rFonts w:ascii="宋体" w:hAnsi="宋体" w:cs="宋体"/>
                <w:bCs/>
                <w:sz w:val="24"/>
              </w:rPr>
            </w:pPr>
          </w:p>
        </w:tc>
        <w:tc>
          <w:tcPr>
            <w:tcW w:w="2240" w:type="dxa"/>
            <w:noWrap/>
            <w:vAlign w:val="center"/>
          </w:tcPr>
          <w:p>
            <w:pPr>
              <w:spacing w:line="360" w:lineRule="auto"/>
              <w:rPr>
                <w:rFonts w:ascii="宋体" w:hAnsi="宋体" w:cs="宋体"/>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8" w:hRule="atLeast"/>
        </w:trPr>
        <w:tc>
          <w:tcPr>
            <w:tcW w:w="1244" w:type="dxa"/>
            <w:noWrap/>
            <w:vAlign w:val="center"/>
          </w:tcPr>
          <w:p>
            <w:pPr>
              <w:spacing w:line="360" w:lineRule="auto"/>
              <w:jc w:val="center"/>
              <w:rPr>
                <w:rFonts w:ascii="宋体" w:hAnsi="宋体" w:cs="宋体"/>
                <w:bCs/>
                <w:sz w:val="24"/>
              </w:rPr>
            </w:pPr>
          </w:p>
        </w:tc>
        <w:tc>
          <w:tcPr>
            <w:tcW w:w="3873" w:type="dxa"/>
            <w:noWrap/>
            <w:vAlign w:val="center"/>
          </w:tcPr>
          <w:p>
            <w:pPr>
              <w:spacing w:line="360" w:lineRule="auto"/>
              <w:rPr>
                <w:rFonts w:ascii="宋体" w:hAnsi="宋体" w:cs="宋体"/>
                <w:bCs/>
                <w:sz w:val="24"/>
              </w:rPr>
            </w:pPr>
          </w:p>
        </w:tc>
        <w:tc>
          <w:tcPr>
            <w:tcW w:w="2247" w:type="dxa"/>
            <w:noWrap/>
            <w:vAlign w:val="center"/>
          </w:tcPr>
          <w:p>
            <w:pPr>
              <w:spacing w:line="360" w:lineRule="auto"/>
              <w:rPr>
                <w:rFonts w:ascii="宋体" w:hAnsi="宋体" w:cs="宋体"/>
                <w:bCs/>
                <w:sz w:val="24"/>
              </w:rPr>
            </w:pPr>
          </w:p>
        </w:tc>
        <w:tc>
          <w:tcPr>
            <w:tcW w:w="2240" w:type="dxa"/>
            <w:noWrap/>
            <w:vAlign w:val="center"/>
          </w:tcPr>
          <w:p>
            <w:pPr>
              <w:spacing w:line="360" w:lineRule="auto"/>
              <w:rPr>
                <w:rFonts w:ascii="宋体" w:hAnsi="宋体" w:cs="宋体"/>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6" w:hRule="atLeast"/>
        </w:trPr>
        <w:tc>
          <w:tcPr>
            <w:tcW w:w="1244" w:type="dxa"/>
            <w:noWrap/>
            <w:vAlign w:val="center"/>
          </w:tcPr>
          <w:p>
            <w:pPr>
              <w:spacing w:line="360" w:lineRule="auto"/>
              <w:jc w:val="center"/>
              <w:rPr>
                <w:rFonts w:ascii="宋体" w:hAnsi="宋体" w:cs="宋体"/>
                <w:bCs/>
                <w:sz w:val="24"/>
              </w:rPr>
            </w:pPr>
          </w:p>
        </w:tc>
        <w:tc>
          <w:tcPr>
            <w:tcW w:w="3873" w:type="dxa"/>
            <w:noWrap/>
            <w:vAlign w:val="center"/>
          </w:tcPr>
          <w:p>
            <w:pPr>
              <w:spacing w:line="360" w:lineRule="auto"/>
              <w:rPr>
                <w:rFonts w:ascii="宋体" w:hAnsi="宋体" w:cs="宋体"/>
                <w:bCs/>
                <w:sz w:val="24"/>
              </w:rPr>
            </w:pPr>
          </w:p>
        </w:tc>
        <w:tc>
          <w:tcPr>
            <w:tcW w:w="2247" w:type="dxa"/>
            <w:noWrap/>
            <w:vAlign w:val="center"/>
          </w:tcPr>
          <w:p>
            <w:pPr>
              <w:spacing w:line="360" w:lineRule="auto"/>
              <w:rPr>
                <w:rFonts w:ascii="宋体" w:hAnsi="宋体" w:cs="宋体"/>
                <w:bCs/>
                <w:sz w:val="24"/>
              </w:rPr>
            </w:pPr>
          </w:p>
        </w:tc>
        <w:tc>
          <w:tcPr>
            <w:tcW w:w="2240" w:type="dxa"/>
            <w:noWrap/>
            <w:vAlign w:val="center"/>
          </w:tcPr>
          <w:p>
            <w:pPr>
              <w:spacing w:line="360" w:lineRule="auto"/>
              <w:rPr>
                <w:rFonts w:ascii="宋体" w:hAnsi="宋体" w:cs="宋体"/>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2" w:hRule="atLeast"/>
        </w:trPr>
        <w:tc>
          <w:tcPr>
            <w:tcW w:w="1244" w:type="dxa"/>
            <w:noWrap/>
            <w:vAlign w:val="center"/>
          </w:tcPr>
          <w:p>
            <w:pPr>
              <w:spacing w:line="360" w:lineRule="auto"/>
              <w:jc w:val="center"/>
              <w:rPr>
                <w:rFonts w:ascii="宋体" w:hAnsi="宋体" w:cs="宋体"/>
                <w:bCs/>
                <w:sz w:val="24"/>
              </w:rPr>
            </w:pPr>
          </w:p>
        </w:tc>
        <w:tc>
          <w:tcPr>
            <w:tcW w:w="3873" w:type="dxa"/>
            <w:noWrap/>
            <w:vAlign w:val="center"/>
          </w:tcPr>
          <w:p>
            <w:pPr>
              <w:spacing w:line="360" w:lineRule="auto"/>
              <w:rPr>
                <w:rFonts w:ascii="宋体" w:hAnsi="宋体" w:cs="宋体"/>
                <w:bCs/>
                <w:sz w:val="24"/>
              </w:rPr>
            </w:pPr>
          </w:p>
        </w:tc>
        <w:tc>
          <w:tcPr>
            <w:tcW w:w="2247" w:type="dxa"/>
            <w:noWrap/>
            <w:vAlign w:val="center"/>
          </w:tcPr>
          <w:p>
            <w:pPr>
              <w:spacing w:line="360" w:lineRule="auto"/>
              <w:rPr>
                <w:rFonts w:ascii="宋体" w:hAnsi="宋体" w:cs="宋体"/>
                <w:bCs/>
                <w:sz w:val="24"/>
              </w:rPr>
            </w:pPr>
          </w:p>
        </w:tc>
        <w:tc>
          <w:tcPr>
            <w:tcW w:w="2240" w:type="dxa"/>
            <w:noWrap/>
            <w:vAlign w:val="center"/>
          </w:tcPr>
          <w:p>
            <w:pPr>
              <w:spacing w:line="360" w:lineRule="auto"/>
              <w:rPr>
                <w:rFonts w:ascii="宋体" w:hAnsi="宋体" w:cs="宋体"/>
                <w:bCs/>
                <w:sz w:val="24"/>
              </w:rPr>
            </w:pPr>
          </w:p>
        </w:tc>
      </w:tr>
    </w:tbl>
    <w:p>
      <w:pPr>
        <w:spacing w:line="360" w:lineRule="auto"/>
        <w:rPr>
          <w:rFonts w:ascii="宋体" w:hAnsi="宋体" w:cs="宋体"/>
          <w:sz w:val="24"/>
        </w:rPr>
      </w:pPr>
    </w:p>
    <w:p>
      <w:pPr>
        <w:spacing w:line="360" w:lineRule="auto"/>
        <w:rPr>
          <w:rFonts w:ascii="宋体" w:hAnsi="宋体" w:cs="宋体"/>
          <w:sz w:val="24"/>
        </w:rPr>
      </w:pPr>
      <w:r>
        <w:rPr>
          <w:rFonts w:hint="eastAsia" w:ascii="宋体" w:hAnsi="宋体" w:cs="宋体"/>
          <w:sz w:val="24"/>
        </w:rPr>
        <w:t>注：①供应商应如实列出以上情况，如有隐瞒，一经查实将导致其磋商被拒绝。</w:t>
      </w:r>
    </w:p>
    <w:p>
      <w:pPr>
        <w:spacing w:line="360" w:lineRule="auto"/>
        <w:ind w:firstLine="480"/>
        <w:rPr>
          <w:rFonts w:ascii="宋体" w:hAnsi="宋体" w:cs="宋体"/>
          <w:sz w:val="24"/>
        </w:rPr>
      </w:pPr>
      <w:r>
        <w:rPr>
          <w:rFonts w:hint="eastAsia" w:ascii="宋体" w:hAnsi="宋体" w:cs="宋体"/>
          <w:sz w:val="24"/>
        </w:rPr>
        <w:t>②该表是对下列附件类似项目情况及案例的汇总表。</w:t>
      </w:r>
    </w:p>
    <w:p>
      <w:pPr>
        <w:spacing w:line="360" w:lineRule="auto"/>
        <w:ind w:firstLine="4382" w:firstLineChars="1826"/>
        <w:rPr>
          <w:rFonts w:ascii="宋体" w:hAnsi="宋体" w:cs="宋体"/>
          <w:sz w:val="24"/>
        </w:rPr>
      </w:pPr>
    </w:p>
    <w:p>
      <w:pPr>
        <w:pStyle w:val="3"/>
        <w:rPr>
          <w:rFonts w:ascii="宋体" w:hAnsi="宋体" w:cs="宋体"/>
        </w:rPr>
      </w:pPr>
    </w:p>
    <w:p>
      <w:pPr>
        <w:spacing w:line="480" w:lineRule="auto"/>
        <w:rPr>
          <w:rFonts w:ascii="宋体" w:hAnsi="宋体" w:cs="宋体"/>
          <w:sz w:val="24"/>
        </w:rPr>
      </w:pPr>
      <w:r>
        <w:rPr>
          <w:rFonts w:hint="eastAsia" w:ascii="宋体" w:hAnsi="宋体" w:cs="宋体"/>
          <w:sz w:val="24"/>
        </w:rPr>
        <w:t>供应商名称：（盖章）</w:t>
      </w:r>
    </w:p>
    <w:p>
      <w:pPr>
        <w:spacing w:line="480" w:lineRule="auto"/>
        <w:rPr>
          <w:rFonts w:ascii="宋体" w:hAnsi="宋体" w:cs="宋体"/>
          <w:sz w:val="24"/>
        </w:rPr>
      </w:pPr>
      <w:r>
        <w:rPr>
          <w:rFonts w:hint="eastAsia" w:ascii="宋体" w:hAnsi="宋体" w:cs="宋体"/>
          <w:sz w:val="24"/>
        </w:rPr>
        <w:t>法定代表人或委托代理人：(签字或盖章)</w:t>
      </w:r>
    </w:p>
    <w:p>
      <w:pPr>
        <w:spacing w:line="480" w:lineRule="auto"/>
        <w:jc w:val="left"/>
        <w:rPr>
          <w:rFonts w:ascii="宋体" w:hAnsi="宋体" w:cs="宋体"/>
          <w:sz w:val="24"/>
        </w:rPr>
      </w:pPr>
      <w:r>
        <w:rPr>
          <w:rFonts w:hint="eastAsia" w:ascii="宋体" w:hAnsi="宋体" w:cs="宋体"/>
          <w:sz w:val="24"/>
        </w:rPr>
        <w:t>日      期：     年    月     日</w:t>
      </w:r>
    </w:p>
    <w:p>
      <w:pPr>
        <w:spacing w:before="480" w:line="460" w:lineRule="atLeast"/>
        <w:ind w:firstLine="3840" w:firstLineChars="1600"/>
        <w:jc w:val="left"/>
        <w:rPr>
          <w:rFonts w:ascii="宋体" w:hAnsi="宋体" w:cs="宋体"/>
          <w:sz w:val="24"/>
        </w:rPr>
      </w:pPr>
    </w:p>
    <w:p>
      <w:pPr>
        <w:rPr>
          <w:rFonts w:ascii="宋体" w:hAnsi="宋体" w:cs="宋体"/>
          <w:b/>
          <w:kern w:val="0"/>
          <w:sz w:val="28"/>
          <w:szCs w:val="28"/>
        </w:rPr>
      </w:pPr>
      <w:r>
        <w:rPr>
          <w:rFonts w:hint="eastAsia" w:ascii="宋体" w:hAnsi="宋体" w:cs="宋体"/>
          <w:b/>
          <w:kern w:val="0"/>
          <w:sz w:val="28"/>
          <w:szCs w:val="28"/>
        </w:rPr>
        <w:br w:type="page"/>
      </w:r>
    </w:p>
    <w:p>
      <w:pPr>
        <w:jc w:val="center"/>
        <w:rPr>
          <w:rFonts w:ascii="宋体" w:hAnsi="宋体" w:cs="宋体"/>
          <w:b/>
          <w:kern w:val="0"/>
          <w:sz w:val="28"/>
          <w:szCs w:val="28"/>
        </w:rPr>
      </w:pPr>
      <w:r>
        <w:rPr>
          <w:rFonts w:hint="eastAsia" w:ascii="宋体" w:hAnsi="宋体" w:cs="宋体"/>
          <w:b/>
          <w:kern w:val="0"/>
          <w:sz w:val="28"/>
          <w:szCs w:val="28"/>
        </w:rPr>
        <w:t>八、</w:t>
      </w:r>
      <w:bookmarkEnd w:id="206"/>
      <w:bookmarkEnd w:id="207"/>
      <w:bookmarkEnd w:id="208"/>
      <w:bookmarkEnd w:id="209"/>
      <w:bookmarkEnd w:id="210"/>
      <w:bookmarkEnd w:id="211"/>
      <w:r>
        <w:rPr>
          <w:rFonts w:hint="eastAsia" w:ascii="宋体" w:hAnsi="宋体" w:cs="宋体"/>
          <w:b/>
          <w:kern w:val="0"/>
          <w:sz w:val="28"/>
          <w:szCs w:val="28"/>
        </w:rPr>
        <w:t>供应商承诺书</w:t>
      </w:r>
    </w:p>
    <w:p>
      <w:pPr>
        <w:jc w:val="center"/>
        <w:rPr>
          <w:rFonts w:ascii="宋体" w:hAnsi="宋体" w:cs="宋体"/>
          <w:b/>
          <w:kern w:val="0"/>
          <w:sz w:val="28"/>
          <w:szCs w:val="28"/>
        </w:rPr>
      </w:pPr>
      <w:r>
        <w:rPr>
          <w:rFonts w:hint="eastAsia" w:ascii="宋体" w:hAnsi="宋体" w:cs="宋体"/>
          <w:b/>
          <w:kern w:val="0"/>
          <w:sz w:val="28"/>
          <w:szCs w:val="28"/>
        </w:rPr>
        <w:t>供应商企业关系关联承诺书</w:t>
      </w:r>
    </w:p>
    <w:p>
      <w:pPr>
        <w:spacing w:line="460" w:lineRule="atLeast"/>
        <w:ind w:firstLine="480" w:firstLineChars="200"/>
        <w:rPr>
          <w:rFonts w:ascii="宋体" w:hAnsi="宋体" w:cs="宋体"/>
          <w:sz w:val="24"/>
        </w:rPr>
      </w:pPr>
      <w:r>
        <w:rPr>
          <w:rFonts w:hint="eastAsia" w:ascii="宋体" w:hAnsi="宋体" w:cs="宋体"/>
          <w:sz w:val="24"/>
        </w:rPr>
        <w:t>一、供应商在本项目磋商中，不存在与其它供应商负责人为同一人，有控股、管理等关联关系承诺。</w:t>
      </w:r>
    </w:p>
    <w:p>
      <w:pPr>
        <w:spacing w:line="460" w:lineRule="atLeast"/>
        <w:ind w:firstLine="480" w:firstLineChars="200"/>
        <w:rPr>
          <w:rFonts w:ascii="宋体" w:hAnsi="宋体" w:cs="宋体"/>
          <w:sz w:val="24"/>
        </w:rPr>
      </w:pPr>
      <w:r>
        <w:rPr>
          <w:rFonts w:hint="eastAsia" w:ascii="宋体" w:hAnsi="宋体" w:cs="宋体"/>
          <w:sz w:val="24"/>
        </w:rPr>
        <w:t xml:space="preserve">1.管理关系说明：  </w:t>
      </w:r>
    </w:p>
    <w:p>
      <w:pPr>
        <w:spacing w:line="460" w:lineRule="atLeast"/>
        <w:ind w:firstLine="480" w:firstLineChars="200"/>
        <w:rPr>
          <w:rFonts w:ascii="宋体" w:hAnsi="宋体" w:cs="宋体"/>
          <w:sz w:val="24"/>
        </w:rPr>
      </w:pPr>
      <w:r>
        <w:rPr>
          <w:rFonts w:hint="eastAsia" w:ascii="宋体" w:hAnsi="宋体" w:cs="宋体"/>
          <w:sz w:val="24"/>
        </w:rPr>
        <w:t>我单位管理的具有独立法人的下属单位：</w:t>
      </w:r>
      <w:r>
        <w:rPr>
          <w:rFonts w:hint="eastAsia" w:ascii="宋体" w:hAnsi="宋体" w:cs="宋体"/>
          <w:sz w:val="24"/>
          <w:u w:val="single"/>
        </w:rPr>
        <w:t xml:space="preserve">      </w:t>
      </w:r>
      <w:r>
        <w:rPr>
          <w:rFonts w:hint="eastAsia" w:ascii="宋体" w:hAnsi="宋体" w:cs="宋体"/>
          <w:sz w:val="24"/>
        </w:rPr>
        <w:t>(没有填无)。</w:t>
      </w:r>
    </w:p>
    <w:p>
      <w:pPr>
        <w:spacing w:line="460" w:lineRule="atLeast"/>
        <w:ind w:firstLine="480" w:firstLineChars="200"/>
        <w:rPr>
          <w:rFonts w:ascii="宋体" w:hAnsi="宋体" w:cs="宋体"/>
          <w:sz w:val="24"/>
        </w:rPr>
      </w:pPr>
      <w:r>
        <w:rPr>
          <w:rFonts w:hint="eastAsia" w:ascii="宋体" w:hAnsi="宋体" w:cs="宋体"/>
          <w:sz w:val="24"/>
        </w:rPr>
        <w:t>我单位的上级管理单位</w:t>
      </w:r>
      <w:r>
        <w:rPr>
          <w:rFonts w:hint="eastAsia" w:ascii="宋体" w:hAnsi="宋体" w:cs="宋体"/>
          <w:sz w:val="24"/>
          <w:u w:val="single"/>
        </w:rPr>
        <w:t xml:space="preserve">              </w:t>
      </w:r>
      <w:r>
        <w:rPr>
          <w:rFonts w:hint="eastAsia" w:ascii="宋体" w:hAnsi="宋体" w:cs="宋体"/>
          <w:sz w:val="24"/>
        </w:rPr>
        <w:t>(没有填无)。</w:t>
      </w:r>
    </w:p>
    <w:p>
      <w:pPr>
        <w:spacing w:line="460" w:lineRule="atLeast"/>
        <w:ind w:firstLine="480" w:firstLineChars="200"/>
        <w:rPr>
          <w:rFonts w:ascii="宋体" w:hAnsi="宋体" w:cs="宋体"/>
          <w:sz w:val="24"/>
        </w:rPr>
      </w:pPr>
      <w:r>
        <w:rPr>
          <w:rFonts w:hint="eastAsia" w:ascii="宋体" w:hAnsi="宋体" w:cs="宋体"/>
          <w:sz w:val="24"/>
        </w:rPr>
        <w:t>2.股权关系说明：</w:t>
      </w:r>
    </w:p>
    <w:p>
      <w:pPr>
        <w:spacing w:line="460" w:lineRule="atLeast"/>
        <w:ind w:firstLine="480" w:firstLineChars="200"/>
        <w:rPr>
          <w:rFonts w:ascii="宋体" w:hAnsi="宋体" w:cs="宋体"/>
          <w:sz w:val="24"/>
        </w:rPr>
      </w:pPr>
      <w:r>
        <w:rPr>
          <w:rFonts w:hint="eastAsia" w:ascii="宋体" w:hAnsi="宋体" w:cs="宋体"/>
          <w:sz w:val="24"/>
        </w:rPr>
        <w:t>我单位控股的单位</w:t>
      </w:r>
      <w:r>
        <w:rPr>
          <w:rFonts w:hint="eastAsia" w:ascii="宋体" w:hAnsi="宋体" w:cs="宋体"/>
          <w:sz w:val="24"/>
          <w:u w:val="single"/>
        </w:rPr>
        <w:t xml:space="preserve">          </w:t>
      </w:r>
      <w:r>
        <w:rPr>
          <w:rFonts w:hint="eastAsia" w:ascii="宋体" w:hAnsi="宋体" w:cs="宋体"/>
          <w:sz w:val="24"/>
        </w:rPr>
        <w:t>(没有填无) 。</w:t>
      </w:r>
    </w:p>
    <w:p>
      <w:pPr>
        <w:spacing w:line="460" w:lineRule="atLeast"/>
        <w:ind w:firstLine="480" w:firstLineChars="200"/>
        <w:rPr>
          <w:rFonts w:ascii="宋体" w:hAnsi="宋体" w:cs="宋体"/>
          <w:sz w:val="24"/>
        </w:rPr>
      </w:pPr>
      <w:r>
        <w:rPr>
          <w:rFonts w:hint="eastAsia" w:ascii="宋体" w:hAnsi="宋体" w:cs="宋体"/>
          <w:sz w:val="24"/>
        </w:rPr>
        <w:t>我单位</w:t>
      </w:r>
      <w:r>
        <w:rPr>
          <w:rFonts w:hint="eastAsia" w:ascii="宋体" w:hAnsi="宋体" w:cs="宋体"/>
          <w:sz w:val="24"/>
          <w:u w:val="single"/>
        </w:rPr>
        <w:t xml:space="preserve">      </w:t>
      </w:r>
      <w:r>
        <w:rPr>
          <w:rFonts w:hint="eastAsia" w:ascii="宋体" w:hAnsi="宋体" w:cs="宋体"/>
          <w:sz w:val="24"/>
        </w:rPr>
        <w:t>(没有填无)被</w:t>
      </w:r>
      <w:r>
        <w:rPr>
          <w:rFonts w:hint="eastAsia" w:ascii="宋体" w:hAnsi="宋体" w:cs="宋体"/>
          <w:sz w:val="24"/>
          <w:u w:val="single"/>
        </w:rPr>
        <w:t xml:space="preserve">   （控股单位全称）  </w:t>
      </w:r>
      <w:r>
        <w:rPr>
          <w:rFonts w:hint="eastAsia" w:ascii="宋体" w:hAnsi="宋体" w:cs="宋体"/>
          <w:sz w:val="24"/>
        </w:rPr>
        <w:t>单位控股。</w:t>
      </w:r>
    </w:p>
    <w:p>
      <w:pPr>
        <w:spacing w:line="460" w:lineRule="atLeast"/>
        <w:ind w:firstLine="480" w:firstLineChars="200"/>
        <w:rPr>
          <w:rFonts w:ascii="宋体" w:hAnsi="宋体" w:cs="宋体"/>
          <w:sz w:val="24"/>
        </w:rPr>
      </w:pPr>
      <w:r>
        <w:rPr>
          <w:rFonts w:hint="eastAsia" w:ascii="宋体" w:hAnsi="宋体" w:cs="宋体"/>
          <w:sz w:val="24"/>
        </w:rPr>
        <w:t>3.单位负责人：</w:t>
      </w:r>
      <w:r>
        <w:rPr>
          <w:rFonts w:hint="eastAsia" w:ascii="宋体" w:hAnsi="宋体" w:cs="宋体"/>
          <w:sz w:val="24"/>
          <w:u w:val="single"/>
        </w:rPr>
        <w:t xml:space="preserve">         </w:t>
      </w:r>
      <w:r>
        <w:rPr>
          <w:rFonts w:hint="eastAsia" w:ascii="宋体" w:hAnsi="宋体" w:cs="宋体"/>
          <w:sz w:val="24"/>
        </w:rPr>
        <w:t>(没有填无)。</w:t>
      </w:r>
    </w:p>
    <w:p>
      <w:pPr>
        <w:spacing w:line="460" w:lineRule="atLeast"/>
        <w:ind w:firstLine="480" w:firstLineChars="200"/>
        <w:rPr>
          <w:rFonts w:ascii="宋体" w:hAnsi="宋体" w:cs="宋体"/>
          <w:sz w:val="24"/>
        </w:rPr>
      </w:pPr>
      <w:r>
        <w:rPr>
          <w:rFonts w:hint="eastAsia" w:ascii="宋体" w:hAnsi="宋体" w:cs="宋体"/>
          <w:sz w:val="24"/>
        </w:rPr>
        <w:t>二、我单位</w:t>
      </w:r>
      <w:r>
        <w:rPr>
          <w:rFonts w:hint="eastAsia" w:ascii="宋体" w:hAnsi="宋体" w:cs="宋体"/>
          <w:sz w:val="24"/>
          <w:u w:val="single"/>
        </w:rPr>
        <w:t xml:space="preserve">          </w:t>
      </w:r>
      <w:r>
        <w:rPr>
          <w:rFonts w:hint="eastAsia" w:ascii="宋体" w:hAnsi="宋体" w:cs="宋体"/>
          <w:sz w:val="24"/>
        </w:rPr>
        <w:t>（是或否） 为本采购项目提供过整体设计、规范编制或者项目管理、监理、检测等服务的供应商。</w:t>
      </w:r>
    </w:p>
    <w:p>
      <w:pPr>
        <w:spacing w:line="460" w:lineRule="atLeast"/>
        <w:ind w:firstLine="480" w:firstLineChars="200"/>
        <w:rPr>
          <w:rFonts w:ascii="宋体" w:hAnsi="宋体" w:cs="宋体"/>
          <w:sz w:val="24"/>
        </w:rPr>
      </w:pPr>
      <w:r>
        <w:rPr>
          <w:rFonts w:hint="eastAsia" w:ascii="宋体" w:hAnsi="宋体" w:cs="宋体"/>
          <w:sz w:val="24"/>
        </w:rPr>
        <w:t>三、其他与本项目有关的利害关系说明</w:t>
      </w:r>
      <w:r>
        <w:rPr>
          <w:rFonts w:hint="eastAsia" w:ascii="宋体" w:hAnsi="宋体" w:cs="宋体"/>
          <w:sz w:val="24"/>
          <w:u w:val="single"/>
        </w:rPr>
        <w:t xml:space="preserve">     </w:t>
      </w:r>
      <w:r>
        <w:rPr>
          <w:rFonts w:hint="eastAsia" w:ascii="宋体" w:hAnsi="宋体" w:cs="宋体"/>
          <w:sz w:val="24"/>
        </w:rPr>
        <w:t>(没有填无)。</w:t>
      </w:r>
    </w:p>
    <w:p>
      <w:pPr>
        <w:spacing w:line="460" w:lineRule="atLeast"/>
        <w:ind w:firstLine="480" w:firstLineChars="200"/>
        <w:rPr>
          <w:rFonts w:ascii="宋体" w:hAnsi="宋体" w:cs="宋体"/>
          <w:sz w:val="24"/>
        </w:rPr>
      </w:pPr>
      <w:r>
        <w:rPr>
          <w:rFonts w:hint="eastAsia" w:ascii="宋体" w:hAnsi="宋体" w:cs="宋体"/>
          <w:sz w:val="24"/>
        </w:rPr>
        <w:t>我单位承诺以上说明真实有效，无虚假内容或隐瞒。</w:t>
      </w:r>
    </w:p>
    <w:p>
      <w:pPr>
        <w:snapToGrid w:val="0"/>
        <w:spacing w:line="480" w:lineRule="auto"/>
        <w:ind w:left="482"/>
        <w:rPr>
          <w:rFonts w:ascii="宋体" w:hAnsi="宋体" w:cs="宋体"/>
          <w:sz w:val="24"/>
        </w:rPr>
      </w:pPr>
    </w:p>
    <w:p>
      <w:pPr>
        <w:snapToGrid w:val="0"/>
        <w:spacing w:line="480" w:lineRule="auto"/>
        <w:ind w:left="482"/>
        <w:rPr>
          <w:rFonts w:ascii="宋体" w:hAnsi="宋体" w:cs="宋体"/>
          <w:sz w:val="24"/>
        </w:rPr>
      </w:pPr>
    </w:p>
    <w:p>
      <w:pPr>
        <w:snapToGrid w:val="0"/>
        <w:spacing w:line="480" w:lineRule="auto"/>
        <w:ind w:left="482"/>
        <w:rPr>
          <w:rFonts w:ascii="宋体" w:hAnsi="宋体" w:cs="宋体"/>
          <w:sz w:val="24"/>
        </w:rPr>
      </w:pPr>
      <w:r>
        <w:rPr>
          <w:rFonts w:hint="eastAsia" w:ascii="宋体" w:hAnsi="宋体" w:cs="宋体"/>
          <w:sz w:val="24"/>
        </w:rPr>
        <w:t>承诺单位：（盖章）                  全权代表：（签字）</w:t>
      </w:r>
    </w:p>
    <w:p>
      <w:pPr>
        <w:snapToGrid w:val="0"/>
        <w:spacing w:line="480" w:lineRule="auto"/>
        <w:ind w:left="482"/>
        <w:rPr>
          <w:rFonts w:ascii="宋体" w:hAnsi="宋体" w:cs="宋体"/>
          <w:sz w:val="24"/>
        </w:rPr>
      </w:pPr>
      <w:r>
        <w:rPr>
          <w:rFonts w:hint="eastAsia" w:ascii="宋体" w:hAnsi="宋体" w:cs="宋体"/>
          <w:sz w:val="24"/>
        </w:rPr>
        <w:t>地址：                              邮编：</w:t>
      </w:r>
    </w:p>
    <w:p>
      <w:pPr>
        <w:snapToGrid w:val="0"/>
        <w:spacing w:line="480" w:lineRule="auto"/>
        <w:ind w:left="482"/>
        <w:rPr>
          <w:rFonts w:ascii="宋体" w:hAnsi="宋体" w:cs="宋体"/>
          <w:sz w:val="24"/>
        </w:rPr>
      </w:pPr>
      <w:r>
        <w:rPr>
          <w:rFonts w:hint="eastAsia" w:ascii="宋体" w:hAnsi="宋体" w:cs="宋体"/>
          <w:sz w:val="24"/>
        </w:rPr>
        <w:t xml:space="preserve">电话：       </w:t>
      </w:r>
    </w:p>
    <w:p>
      <w:pPr>
        <w:rPr>
          <w:rFonts w:ascii="宋体" w:hAnsi="宋体" w:cs="宋体"/>
        </w:rPr>
      </w:pPr>
    </w:p>
    <w:p>
      <w:pPr>
        <w:snapToGrid w:val="0"/>
        <w:spacing w:line="480" w:lineRule="auto"/>
        <w:rPr>
          <w:rFonts w:ascii="宋体" w:hAnsi="宋体" w:cs="宋体"/>
          <w:sz w:val="24"/>
        </w:rPr>
      </w:pPr>
      <w:r>
        <w:rPr>
          <w:rFonts w:hint="eastAsia" w:ascii="宋体" w:hAnsi="宋体" w:cs="宋体"/>
          <w:sz w:val="24"/>
        </w:rPr>
        <w:t xml:space="preserve">                                                       年    月    日</w:t>
      </w:r>
    </w:p>
    <w:p>
      <w:pPr>
        <w:pStyle w:val="14"/>
      </w:pPr>
    </w:p>
    <w:p>
      <w:pPr>
        <w:rPr>
          <w:rFonts w:ascii="宋体" w:hAnsi="宋体" w:cs="宋体"/>
          <w:b/>
          <w:sz w:val="28"/>
          <w:szCs w:val="28"/>
        </w:rPr>
      </w:pPr>
    </w:p>
    <w:p>
      <w:pPr>
        <w:rPr>
          <w:rFonts w:ascii="宋体" w:hAnsi="宋体" w:cs="宋体"/>
          <w:b/>
          <w:sz w:val="28"/>
          <w:szCs w:val="28"/>
        </w:rPr>
      </w:pPr>
      <w:r>
        <w:rPr>
          <w:rFonts w:hint="eastAsia" w:ascii="宋体" w:hAnsi="宋体" w:cs="宋体"/>
          <w:b/>
          <w:sz w:val="28"/>
          <w:szCs w:val="28"/>
        </w:rPr>
        <w:br w:type="page"/>
      </w:r>
    </w:p>
    <w:p>
      <w:pPr>
        <w:jc w:val="center"/>
        <w:rPr>
          <w:rFonts w:ascii="宋体" w:hAnsi="宋体" w:cs="宋体"/>
          <w:b/>
          <w:sz w:val="28"/>
          <w:szCs w:val="28"/>
        </w:rPr>
      </w:pPr>
      <w:r>
        <w:rPr>
          <w:rFonts w:hint="eastAsia" w:ascii="宋体" w:hAnsi="宋体" w:cs="宋体"/>
          <w:b/>
          <w:sz w:val="28"/>
          <w:szCs w:val="28"/>
        </w:rPr>
        <w:t>陕西省政府采购供应商拒绝政府采购领域商业贿赂承诺书</w:t>
      </w:r>
    </w:p>
    <w:p>
      <w:pPr>
        <w:snapToGrid w:val="0"/>
        <w:spacing w:line="440" w:lineRule="exact"/>
        <w:ind w:left="482"/>
        <w:rPr>
          <w:rFonts w:ascii="宋体" w:hAnsi="宋体" w:cs="宋体"/>
          <w:sz w:val="24"/>
        </w:rPr>
      </w:pPr>
    </w:p>
    <w:p>
      <w:pPr>
        <w:snapToGrid w:val="0"/>
        <w:spacing w:line="480" w:lineRule="auto"/>
        <w:ind w:firstLine="480" w:firstLineChars="200"/>
        <w:rPr>
          <w:rFonts w:ascii="宋体" w:hAnsi="宋体" w:cs="宋体"/>
          <w:sz w:val="24"/>
        </w:rPr>
      </w:pPr>
      <w:r>
        <w:rPr>
          <w:rFonts w:hint="eastAsia" w:ascii="宋体" w:hAnsi="宋体" w:cs="宋体"/>
          <w:sz w:val="24"/>
        </w:rPr>
        <w:t>为响应党中央、国务院关于治理采购领域商业贿赂行为的号召，我公司再次承诺：</w:t>
      </w:r>
    </w:p>
    <w:p>
      <w:pPr>
        <w:suppressAutoHyphens/>
        <w:snapToGrid w:val="0"/>
        <w:spacing w:line="480" w:lineRule="auto"/>
        <w:ind w:firstLine="480" w:firstLineChars="200"/>
        <w:rPr>
          <w:rFonts w:ascii="宋体" w:hAnsi="宋体" w:cs="宋体"/>
          <w:sz w:val="24"/>
        </w:rPr>
      </w:pPr>
      <w:r>
        <w:rPr>
          <w:rFonts w:hint="eastAsia" w:ascii="宋体" w:hAnsi="宋体" w:cs="宋体"/>
          <w:sz w:val="24"/>
        </w:rPr>
        <w:t>1.在参与采购活动中遵纪守法、诚信经营、公平竞标。</w:t>
      </w:r>
    </w:p>
    <w:p>
      <w:pPr>
        <w:suppressAutoHyphens/>
        <w:snapToGrid w:val="0"/>
        <w:spacing w:line="480" w:lineRule="auto"/>
        <w:ind w:firstLine="480" w:firstLineChars="200"/>
        <w:rPr>
          <w:rFonts w:ascii="宋体" w:hAnsi="宋体" w:cs="宋体"/>
          <w:sz w:val="24"/>
        </w:rPr>
      </w:pPr>
      <w:r>
        <w:rPr>
          <w:rFonts w:hint="eastAsia" w:ascii="宋体" w:hAnsi="宋体" w:cs="宋体"/>
          <w:sz w:val="24"/>
        </w:rPr>
        <w:t>2.不向采购人、采购代理机构和采购评审专家进行任何形式的商业贿赂以谋取交易机会。</w:t>
      </w:r>
    </w:p>
    <w:p>
      <w:pPr>
        <w:suppressAutoHyphens/>
        <w:snapToGrid w:val="0"/>
        <w:spacing w:line="480" w:lineRule="auto"/>
        <w:ind w:firstLine="480" w:firstLineChars="200"/>
        <w:rPr>
          <w:rFonts w:ascii="宋体" w:hAnsi="宋体" w:cs="宋体"/>
          <w:sz w:val="24"/>
        </w:rPr>
      </w:pPr>
      <w:r>
        <w:rPr>
          <w:rFonts w:hint="eastAsia" w:ascii="宋体" w:hAnsi="宋体" w:cs="宋体"/>
          <w:sz w:val="24"/>
        </w:rPr>
        <w:t>3.不向采购代理机构和采购人提供虚假资质文件或采用虚假应标方式参与采购市场竞争并谋取中标、成交。</w:t>
      </w:r>
    </w:p>
    <w:p>
      <w:pPr>
        <w:suppressAutoHyphens/>
        <w:snapToGrid w:val="0"/>
        <w:spacing w:line="480" w:lineRule="auto"/>
        <w:ind w:firstLine="480" w:firstLineChars="200"/>
        <w:rPr>
          <w:rFonts w:ascii="宋体" w:hAnsi="宋体" w:cs="宋体"/>
          <w:sz w:val="24"/>
        </w:rPr>
      </w:pPr>
      <w:r>
        <w:rPr>
          <w:rFonts w:hint="eastAsia" w:ascii="宋体" w:hAnsi="宋体" w:cs="宋体"/>
          <w:sz w:val="24"/>
        </w:rPr>
        <w:t>4.不采取“围标、陪标”等商业欺诈手段获取采购订单。</w:t>
      </w:r>
    </w:p>
    <w:p>
      <w:pPr>
        <w:suppressAutoHyphens/>
        <w:snapToGrid w:val="0"/>
        <w:spacing w:line="480" w:lineRule="auto"/>
        <w:ind w:firstLine="480" w:firstLineChars="200"/>
        <w:rPr>
          <w:rFonts w:ascii="宋体" w:hAnsi="宋体" w:cs="宋体"/>
          <w:sz w:val="24"/>
        </w:rPr>
      </w:pPr>
      <w:r>
        <w:rPr>
          <w:rFonts w:hint="eastAsia" w:ascii="宋体" w:hAnsi="宋体" w:cs="宋体"/>
          <w:sz w:val="24"/>
        </w:rPr>
        <w:t>5.不采取不正当手段诋毁、排挤其他供应商。</w:t>
      </w:r>
    </w:p>
    <w:p>
      <w:pPr>
        <w:suppressAutoHyphens/>
        <w:snapToGrid w:val="0"/>
        <w:spacing w:line="480" w:lineRule="auto"/>
        <w:ind w:firstLine="480" w:firstLineChars="200"/>
        <w:rPr>
          <w:rFonts w:ascii="宋体" w:hAnsi="宋体" w:cs="宋体"/>
          <w:sz w:val="24"/>
        </w:rPr>
      </w:pPr>
      <w:r>
        <w:rPr>
          <w:rFonts w:hint="eastAsia" w:ascii="宋体" w:hAnsi="宋体" w:cs="宋体"/>
          <w:sz w:val="24"/>
        </w:rPr>
        <w:t>6.不在提供商品和服务时“偷梁换柱、以次充好”损害采购人的合法权益。</w:t>
      </w:r>
    </w:p>
    <w:p>
      <w:pPr>
        <w:suppressAutoHyphens/>
        <w:snapToGrid w:val="0"/>
        <w:spacing w:line="480" w:lineRule="auto"/>
        <w:ind w:firstLine="480" w:firstLineChars="200"/>
        <w:rPr>
          <w:rFonts w:ascii="宋体" w:hAnsi="宋体" w:cs="宋体"/>
          <w:sz w:val="24"/>
        </w:rPr>
      </w:pPr>
      <w:r>
        <w:rPr>
          <w:rFonts w:hint="eastAsia" w:ascii="宋体" w:hAnsi="宋体" w:cs="宋体"/>
          <w:sz w:val="24"/>
        </w:rPr>
        <w:t>7.不与采购人、采购代理机构、采购评审专家或其他供应商恶意串通，进行质疑和投诉，维护采购市场秩序。</w:t>
      </w:r>
    </w:p>
    <w:p>
      <w:pPr>
        <w:suppressAutoHyphens/>
        <w:snapToGrid w:val="0"/>
        <w:spacing w:line="480" w:lineRule="auto"/>
        <w:ind w:firstLine="480" w:firstLineChars="200"/>
        <w:rPr>
          <w:rFonts w:ascii="宋体" w:hAnsi="宋体" w:cs="宋体"/>
          <w:sz w:val="24"/>
        </w:rPr>
      </w:pPr>
      <w:r>
        <w:rPr>
          <w:rFonts w:hint="eastAsia" w:ascii="宋体" w:hAnsi="宋体" w:cs="宋体"/>
          <w:sz w:val="24"/>
        </w:rPr>
        <w:t>8.尊重和接受采购监督管理部门的监督和采购代理机构采购要求，承担因违约行为给采购人造成的损失。</w:t>
      </w:r>
    </w:p>
    <w:p>
      <w:pPr>
        <w:suppressAutoHyphens/>
        <w:snapToGrid w:val="0"/>
        <w:spacing w:line="480" w:lineRule="auto"/>
        <w:ind w:firstLine="480" w:firstLineChars="200"/>
        <w:rPr>
          <w:rFonts w:ascii="宋体" w:hAnsi="宋体" w:cs="宋体"/>
          <w:sz w:val="24"/>
        </w:rPr>
      </w:pPr>
      <w:r>
        <w:rPr>
          <w:rFonts w:hint="eastAsia" w:ascii="宋体" w:hAnsi="宋体" w:cs="宋体"/>
          <w:sz w:val="24"/>
        </w:rPr>
        <w:t>9.不发生其他有悖于政府采购公开、公平、公正和诚信原则的行为。</w:t>
      </w:r>
    </w:p>
    <w:p>
      <w:pPr>
        <w:snapToGrid w:val="0"/>
        <w:spacing w:line="480" w:lineRule="auto"/>
        <w:ind w:firstLine="480" w:firstLineChars="200"/>
        <w:rPr>
          <w:rFonts w:ascii="宋体" w:hAnsi="宋体" w:cs="宋体"/>
          <w:sz w:val="24"/>
        </w:rPr>
      </w:pPr>
    </w:p>
    <w:p>
      <w:pPr>
        <w:snapToGrid w:val="0"/>
        <w:spacing w:line="480" w:lineRule="auto"/>
        <w:ind w:left="482"/>
        <w:rPr>
          <w:rFonts w:ascii="宋体" w:hAnsi="宋体" w:cs="宋体"/>
          <w:sz w:val="24"/>
        </w:rPr>
      </w:pPr>
      <w:r>
        <w:rPr>
          <w:rFonts w:hint="eastAsia" w:ascii="宋体" w:hAnsi="宋体" w:cs="宋体"/>
          <w:sz w:val="24"/>
        </w:rPr>
        <w:t>承诺单位：（盖章）                  全权代表：（签字）</w:t>
      </w:r>
    </w:p>
    <w:p>
      <w:pPr>
        <w:snapToGrid w:val="0"/>
        <w:spacing w:line="480" w:lineRule="auto"/>
        <w:ind w:left="482"/>
        <w:rPr>
          <w:rFonts w:ascii="宋体" w:hAnsi="宋体" w:cs="宋体"/>
          <w:sz w:val="24"/>
        </w:rPr>
      </w:pPr>
      <w:r>
        <w:rPr>
          <w:rFonts w:hint="eastAsia" w:ascii="宋体" w:hAnsi="宋体" w:cs="宋体"/>
          <w:sz w:val="24"/>
        </w:rPr>
        <w:t>地址：                              邮编：</w:t>
      </w:r>
    </w:p>
    <w:p>
      <w:pPr>
        <w:snapToGrid w:val="0"/>
        <w:spacing w:line="480" w:lineRule="auto"/>
        <w:ind w:left="482"/>
        <w:rPr>
          <w:rFonts w:ascii="宋体" w:hAnsi="宋体" w:cs="宋体"/>
          <w:sz w:val="24"/>
        </w:rPr>
      </w:pPr>
      <w:r>
        <w:rPr>
          <w:rFonts w:hint="eastAsia" w:ascii="宋体" w:hAnsi="宋体" w:cs="宋体"/>
          <w:sz w:val="24"/>
        </w:rPr>
        <w:t xml:space="preserve">电话：       </w:t>
      </w:r>
    </w:p>
    <w:p>
      <w:pPr>
        <w:rPr>
          <w:rFonts w:ascii="宋体" w:hAnsi="宋体" w:cs="宋体"/>
        </w:rPr>
      </w:pPr>
    </w:p>
    <w:p>
      <w:pPr>
        <w:snapToGrid w:val="0"/>
        <w:spacing w:line="480" w:lineRule="auto"/>
        <w:rPr>
          <w:rFonts w:ascii="宋体" w:hAnsi="宋体" w:cs="宋体"/>
          <w:sz w:val="24"/>
        </w:rPr>
      </w:pPr>
      <w:r>
        <w:rPr>
          <w:rFonts w:hint="eastAsia" w:ascii="宋体" w:hAnsi="宋体" w:cs="宋体"/>
          <w:sz w:val="24"/>
        </w:rPr>
        <w:t xml:space="preserve">                                                       年    月    日</w:t>
      </w:r>
    </w:p>
    <w:p>
      <w:pPr>
        <w:snapToGrid w:val="0"/>
        <w:spacing w:line="480" w:lineRule="auto"/>
        <w:jc w:val="center"/>
        <w:rPr>
          <w:rFonts w:ascii="宋体" w:hAnsi="宋体" w:cs="宋体"/>
          <w:b/>
          <w:sz w:val="32"/>
          <w:szCs w:val="32"/>
        </w:rPr>
      </w:pPr>
      <w:r>
        <w:rPr>
          <w:rFonts w:hint="eastAsia" w:ascii="宋体" w:hAnsi="宋体" w:cs="宋体"/>
          <w:b/>
          <w:sz w:val="32"/>
          <w:szCs w:val="32"/>
        </w:rPr>
        <w:br w:type="page"/>
      </w:r>
      <w:r>
        <w:rPr>
          <w:rFonts w:hint="eastAsia" w:ascii="宋体" w:hAnsi="宋体" w:cs="宋体"/>
          <w:b/>
          <w:kern w:val="0"/>
          <w:sz w:val="32"/>
          <w:szCs w:val="32"/>
        </w:rPr>
        <w:t>九、其他证明材料（如有）</w:t>
      </w:r>
    </w:p>
    <w:p>
      <w:pPr>
        <w:snapToGrid w:val="0"/>
        <w:spacing w:line="480" w:lineRule="auto"/>
        <w:rPr>
          <w:rFonts w:ascii="宋体" w:hAnsi="宋体" w:cs="宋体"/>
          <w:b/>
          <w:sz w:val="24"/>
        </w:rPr>
      </w:pPr>
      <w:r>
        <w:rPr>
          <w:rFonts w:hint="eastAsia" w:ascii="宋体" w:hAnsi="宋体" w:cs="宋体"/>
          <w:b/>
          <w:sz w:val="24"/>
        </w:rPr>
        <w:br w:type="page"/>
      </w:r>
    </w:p>
    <w:p>
      <w:pPr>
        <w:snapToGrid w:val="0"/>
        <w:spacing w:line="480" w:lineRule="auto"/>
        <w:rPr>
          <w:rFonts w:ascii="宋体" w:hAnsi="宋体" w:cs="宋体"/>
          <w:b/>
          <w:sz w:val="28"/>
          <w:szCs w:val="28"/>
        </w:rPr>
      </w:pPr>
      <w:r>
        <w:rPr>
          <w:rFonts w:hint="eastAsia" w:ascii="宋体" w:hAnsi="宋体" w:cs="宋体"/>
          <w:b/>
          <w:sz w:val="28"/>
          <w:szCs w:val="28"/>
        </w:rPr>
        <w:t>附件一</w:t>
      </w:r>
    </w:p>
    <w:p>
      <w:pPr>
        <w:spacing w:line="360" w:lineRule="auto"/>
        <w:ind w:firstLine="211"/>
        <w:jc w:val="center"/>
        <w:rPr>
          <w:rFonts w:ascii="宋体" w:hAnsi="宋体" w:cs="宋体"/>
          <w:b/>
          <w:sz w:val="28"/>
          <w:szCs w:val="28"/>
        </w:rPr>
      </w:pPr>
      <w:r>
        <w:rPr>
          <w:rFonts w:hint="eastAsia" w:ascii="宋体" w:hAnsi="宋体" w:cs="宋体"/>
          <w:b/>
          <w:sz w:val="28"/>
          <w:szCs w:val="28"/>
        </w:rPr>
        <w:t>中小企业声明函（格式）</w:t>
      </w:r>
    </w:p>
    <w:p>
      <w:pPr>
        <w:widowControl/>
        <w:shd w:val="clear" w:color="auto" w:fill="FFFFFF"/>
        <w:spacing w:beforeLines="50" w:after="240" w:line="360" w:lineRule="auto"/>
        <w:jc w:val="left"/>
        <w:textAlignment w:val="baseline"/>
        <w:rPr>
          <w:rFonts w:ascii="宋体" w:hAnsi="宋体" w:cs="宋体"/>
          <w:kern w:val="0"/>
          <w:sz w:val="24"/>
        </w:rPr>
      </w:pPr>
      <w:r>
        <w:rPr>
          <w:rFonts w:hint="eastAsia" w:ascii="宋体" w:hAnsi="宋体" w:cs="宋体"/>
          <w:b/>
          <w:sz w:val="24"/>
        </w:rPr>
        <w:t>陕西盛世嘉和招标有限公司：</w:t>
      </w:r>
    </w:p>
    <w:p>
      <w:pPr>
        <w:widowControl/>
        <w:shd w:val="clear" w:color="auto" w:fill="FFFFFF"/>
        <w:spacing w:after="240" w:line="360" w:lineRule="auto"/>
        <w:ind w:firstLine="480"/>
        <w:jc w:val="left"/>
        <w:textAlignment w:val="baseline"/>
        <w:rPr>
          <w:rFonts w:ascii="宋体" w:hAnsi="宋体" w:cs="宋体"/>
          <w:kern w:val="0"/>
          <w:sz w:val="24"/>
        </w:rPr>
      </w:pPr>
      <w:r>
        <w:rPr>
          <w:rFonts w:hint="eastAsia" w:ascii="宋体" w:hAnsi="宋体" w:cs="宋体"/>
          <w:kern w:val="0"/>
          <w:sz w:val="24"/>
        </w:rPr>
        <w:t>本公司郑重声明，根据《政府采购促进中小企业发展暂行办法》（财库[2011]181号）的规定，本公司为______（请填写:中型、小型、微型）企业。即，本公司同时满足以下条件：</w:t>
      </w:r>
    </w:p>
    <w:p>
      <w:pPr>
        <w:widowControl/>
        <w:shd w:val="clear" w:color="auto" w:fill="FFFFFF"/>
        <w:spacing w:after="240" w:line="360" w:lineRule="auto"/>
        <w:ind w:firstLine="480"/>
        <w:jc w:val="left"/>
        <w:textAlignment w:val="baseline"/>
        <w:rPr>
          <w:rFonts w:ascii="宋体" w:hAnsi="宋体" w:cs="宋体"/>
          <w:kern w:val="0"/>
          <w:sz w:val="24"/>
        </w:rPr>
      </w:pPr>
      <w:r>
        <w:rPr>
          <w:rFonts w:hint="eastAsia" w:ascii="宋体" w:hAnsi="宋体" w:cs="宋体"/>
          <w:kern w:val="0"/>
          <w:sz w:val="24"/>
        </w:rPr>
        <w:t>1.根据《工业和信息化部、国家统计局、国家发展和改革委员会、财政部关于印发中小企业划型标准规定的通知》（工信部联企业[2011]300号）规定的划分标准，本公司为______（请填写:中型、小型、微型）企业。</w:t>
      </w:r>
    </w:p>
    <w:p>
      <w:pPr>
        <w:widowControl/>
        <w:shd w:val="clear" w:color="auto" w:fill="FFFFFF"/>
        <w:spacing w:after="240" w:line="360" w:lineRule="auto"/>
        <w:ind w:firstLine="480"/>
        <w:jc w:val="left"/>
        <w:textAlignment w:val="baseline"/>
        <w:rPr>
          <w:rFonts w:ascii="宋体" w:hAnsi="宋体" w:cs="宋体"/>
          <w:kern w:val="0"/>
          <w:sz w:val="24"/>
        </w:rPr>
      </w:pPr>
      <w:r>
        <w:rPr>
          <w:rFonts w:hint="eastAsia" w:ascii="宋体" w:hAnsi="宋体" w:cs="宋体"/>
          <w:kern w:val="0"/>
          <w:sz w:val="24"/>
        </w:rPr>
        <w:t>2.本公司参加______（采购人）的______项目采购活动提供本企业制造的货物，由本企业承担工程、提供服务，或者提供其他______（请填写：小型、微型）企业制造的货物。本条所称货物不包括使用大型企业注册商标的货物。</w:t>
      </w:r>
    </w:p>
    <w:p>
      <w:pPr>
        <w:widowControl/>
        <w:shd w:val="clear" w:color="auto" w:fill="FFFFFF"/>
        <w:spacing w:after="240" w:line="360" w:lineRule="auto"/>
        <w:ind w:firstLine="480"/>
        <w:jc w:val="left"/>
        <w:textAlignment w:val="baseline"/>
        <w:rPr>
          <w:rFonts w:ascii="宋体" w:hAnsi="宋体" w:cs="宋体"/>
          <w:kern w:val="0"/>
          <w:sz w:val="24"/>
        </w:rPr>
      </w:pPr>
      <w:r>
        <w:rPr>
          <w:rFonts w:hint="eastAsia" w:ascii="宋体" w:hAnsi="宋体" w:cs="宋体"/>
          <w:kern w:val="0"/>
          <w:sz w:val="24"/>
        </w:rPr>
        <w:t>本公司对上述声明的真实性负责。如有虚假，将依法承担相应责任。</w:t>
      </w:r>
    </w:p>
    <w:p>
      <w:pPr>
        <w:pStyle w:val="8"/>
        <w:spacing w:line="360" w:lineRule="auto"/>
        <w:ind w:firstLine="570"/>
        <w:rPr>
          <w:rFonts w:ascii="宋体" w:hAnsi="宋体" w:eastAsia="宋体" w:cs="宋体"/>
          <w:sz w:val="24"/>
          <w:szCs w:val="24"/>
        </w:rPr>
      </w:pPr>
      <w:r>
        <w:rPr>
          <w:rFonts w:hint="eastAsia" w:ascii="宋体" w:hAnsi="宋体" w:eastAsia="宋体" w:cs="宋体"/>
          <w:sz w:val="24"/>
          <w:szCs w:val="24"/>
        </w:rPr>
        <w:t>特此声明！</w:t>
      </w:r>
    </w:p>
    <w:p>
      <w:pPr>
        <w:pStyle w:val="8"/>
        <w:spacing w:line="480" w:lineRule="auto"/>
        <w:ind w:firstLine="573"/>
        <w:rPr>
          <w:rFonts w:ascii="宋体" w:hAnsi="宋体" w:eastAsia="宋体" w:cs="宋体"/>
          <w:sz w:val="24"/>
          <w:szCs w:val="24"/>
        </w:rPr>
      </w:pPr>
      <w:r>
        <w:rPr>
          <w:rFonts w:hint="eastAsia" w:ascii="宋体" w:hAnsi="宋体" w:eastAsia="宋体" w:cs="宋体"/>
          <w:sz w:val="24"/>
          <w:szCs w:val="24"/>
        </w:rPr>
        <w:t>声  明  人:(供应商名称、单位公章)</w:t>
      </w:r>
    </w:p>
    <w:p>
      <w:pPr>
        <w:pStyle w:val="8"/>
        <w:spacing w:line="480" w:lineRule="auto"/>
        <w:ind w:firstLine="573"/>
        <w:rPr>
          <w:rFonts w:ascii="宋体" w:hAnsi="宋体" w:eastAsia="宋体" w:cs="宋体"/>
          <w:sz w:val="24"/>
          <w:szCs w:val="24"/>
        </w:rPr>
      </w:pPr>
      <w:r>
        <w:rPr>
          <w:rFonts w:hint="eastAsia" w:ascii="宋体" w:hAnsi="宋体" w:eastAsia="宋体" w:cs="宋体"/>
          <w:sz w:val="24"/>
          <w:szCs w:val="24"/>
        </w:rPr>
        <w:t>法定代表人：（签名或盖章）</w:t>
      </w:r>
    </w:p>
    <w:p>
      <w:pPr>
        <w:pStyle w:val="8"/>
        <w:spacing w:line="480" w:lineRule="auto"/>
        <w:ind w:firstLine="573"/>
        <w:rPr>
          <w:rFonts w:ascii="宋体" w:hAnsi="宋体" w:eastAsia="宋体" w:cs="宋体"/>
          <w:sz w:val="24"/>
          <w:szCs w:val="24"/>
        </w:rPr>
      </w:pPr>
      <w:r>
        <w:rPr>
          <w:rFonts w:hint="eastAsia" w:ascii="宋体" w:hAnsi="宋体" w:eastAsia="宋体" w:cs="宋体"/>
          <w:sz w:val="24"/>
          <w:szCs w:val="24"/>
        </w:rPr>
        <w:t>日期：</w:t>
      </w:r>
    </w:p>
    <w:p>
      <w:pPr>
        <w:adjustRightInd w:val="0"/>
        <w:snapToGrid w:val="0"/>
        <w:spacing w:line="360" w:lineRule="exact"/>
        <w:rPr>
          <w:rFonts w:ascii="宋体" w:hAnsi="宋体" w:cs="宋体"/>
          <w:sz w:val="22"/>
          <w:szCs w:val="22"/>
        </w:rPr>
      </w:pPr>
    </w:p>
    <w:p>
      <w:pPr>
        <w:adjustRightInd w:val="0"/>
        <w:snapToGrid w:val="0"/>
        <w:spacing w:line="360" w:lineRule="exact"/>
        <w:rPr>
          <w:rFonts w:ascii="宋体" w:hAnsi="宋体" w:cs="宋体"/>
          <w:b/>
          <w:bCs/>
          <w:sz w:val="32"/>
          <w:szCs w:val="32"/>
        </w:rPr>
      </w:pPr>
    </w:p>
    <w:p>
      <w:pPr>
        <w:adjustRightInd w:val="0"/>
        <w:snapToGrid w:val="0"/>
        <w:spacing w:line="360" w:lineRule="exact"/>
        <w:rPr>
          <w:rFonts w:ascii="宋体" w:hAnsi="宋体" w:cs="宋体"/>
          <w:b/>
          <w:bCs/>
          <w:sz w:val="32"/>
          <w:szCs w:val="32"/>
        </w:rPr>
      </w:pPr>
      <w:r>
        <w:rPr>
          <w:rFonts w:hint="eastAsia" w:ascii="宋体" w:hAnsi="宋体" w:cs="宋体"/>
          <w:b/>
          <w:bCs/>
          <w:sz w:val="32"/>
          <w:szCs w:val="32"/>
        </w:rPr>
        <w:t>说明：</w:t>
      </w:r>
    </w:p>
    <w:p>
      <w:pPr>
        <w:adjustRightInd w:val="0"/>
        <w:snapToGrid w:val="0"/>
        <w:spacing w:line="360" w:lineRule="exact"/>
        <w:ind w:firstLine="480" w:firstLineChars="200"/>
        <w:rPr>
          <w:rFonts w:ascii="宋体" w:hAnsi="宋体" w:cs="宋体"/>
          <w:sz w:val="24"/>
        </w:rPr>
      </w:pPr>
      <w:r>
        <w:rPr>
          <w:rFonts w:hint="eastAsia" w:ascii="宋体" w:hAnsi="宋体" w:cs="宋体"/>
          <w:sz w:val="24"/>
        </w:rPr>
        <w:t>1.填写前请认真阅读</w:t>
      </w:r>
      <w:r>
        <w:rPr>
          <w:rFonts w:hint="eastAsia" w:ascii="宋体" w:hAnsi="宋体" w:cs="宋体"/>
          <w:spacing w:val="6"/>
          <w:kern w:val="0"/>
          <w:sz w:val="24"/>
        </w:rPr>
        <w:t>《工业和信息化部、国家统计局、国家发展和改革委员会、财政部关于印发中小企业划型标准规定的通知》（工信部联企业[2011]300号）和</w:t>
      </w:r>
      <w:r>
        <w:rPr>
          <w:rFonts w:hint="eastAsia" w:ascii="宋体" w:hAnsi="宋体" w:cs="宋体"/>
          <w:spacing w:val="6"/>
          <w:sz w:val="24"/>
        </w:rPr>
        <w:t>《财政部工业和信息化部</w:t>
      </w:r>
      <w:r>
        <w:rPr>
          <w:rFonts w:hint="eastAsia" w:ascii="宋体" w:hAnsi="宋体" w:cs="宋体"/>
          <w:bCs/>
          <w:sz w:val="24"/>
        </w:rPr>
        <w:t>关于印发＜政府采购促进中小企业发展暂行办法＞的通知》(</w:t>
      </w:r>
      <w:r>
        <w:rPr>
          <w:rFonts w:hint="eastAsia" w:ascii="宋体" w:hAnsi="宋体" w:cs="宋体"/>
          <w:sz w:val="24"/>
        </w:rPr>
        <w:t>财库[2011]181号)相关规定。</w:t>
      </w:r>
    </w:p>
    <w:p>
      <w:pPr>
        <w:adjustRightInd w:val="0"/>
        <w:snapToGrid w:val="0"/>
        <w:spacing w:line="360" w:lineRule="exact"/>
        <w:ind w:firstLine="480" w:firstLineChars="200"/>
        <w:rPr>
          <w:rFonts w:ascii="宋体" w:hAnsi="宋体" w:cs="宋体"/>
          <w:sz w:val="24"/>
        </w:rPr>
      </w:pPr>
      <w:r>
        <w:rPr>
          <w:rFonts w:hint="eastAsia" w:ascii="宋体" w:hAnsi="宋体" w:cs="宋体"/>
          <w:sz w:val="24"/>
        </w:rPr>
        <w:t>2.</w:t>
      </w:r>
      <w:r>
        <w:rPr>
          <w:rFonts w:hint="eastAsia" w:ascii="宋体" w:hAnsi="宋体" w:cs="宋体"/>
          <w:bCs/>
          <w:sz w:val="24"/>
        </w:rPr>
        <w:t>未按上述要求提供证明材料及</w:t>
      </w:r>
      <w:r>
        <w:rPr>
          <w:rFonts w:hint="eastAsia" w:ascii="宋体" w:hAnsi="宋体" w:cs="宋体"/>
          <w:sz w:val="24"/>
        </w:rPr>
        <w:t>填写</w:t>
      </w:r>
      <w:r>
        <w:rPr>
          <w:rFonts w:hint="eastAsia" w:ascii="宋体" w:hAnsi="宋体" w:cs="宋体"/>
          <w:bCs/>
          <w:sz w:val="24"/>
        </w:rPr>
        <w:t>的，评审时不予以考虑。</w:t>
      </w:r>
    </w:p>
    <w:p>
      <w:pPr>
        <w:snapToGrid w:val="0"/>
        <w:spacing w:line="480" w:lineRule="auto"/>
        <w:rPr>
          <w:rFonts w:ascii="宋体" w:hAnsi="宋体" w:cs="宋体"/>
          <w:b/>
          <w:sz w:val="24"/>
        </w:rPr>
      </w:pPr>
      <w:bookmarkStart w:id="224" w:name="_Toc499739990"/>
      <w:bookmarkStart w:id="225" w:name="_Toc27928"/>
      <w:bookmarkStart w:id="226" w:name="_Toc10340"/>
    </w:p>
    <w:p>
      <w:pPr>
        <w:snapToGrid w:val="0"/>
        <w:spacing w:line="480" w:lineRule="auto"/>
        <w:rPr>
          <w:rFonts w:ascii="宋体" w:hAnsi="宋体" w:cs="宋体"/>
          <w:b/>
          <w:sz w:val="24"/>
        </w:rPr>
      </w:pPr>
    </w:p>
    <w:p>
      <w:pPr>
        <w:pStyle w:val="2"/>
        <w:ind w:firstLine="210"/>
        <w:rPr>
          <w:rFonts w:ascii="宋体" w:hAnsi="宋体" w:cs="宋体"/>
        </w:rPr>
      </w:pPr>
    </w:p>
    <w:p>
      <w:pPr>
        <w:snapToGrid w:val="0"/>
        <w:spacing w:line="480" w:lineRule="auto"/>
        <w:rPr>
          <w:rFonts w:ascii="宋体" w:hAnsi="宋体" w:cs="宋体"/>
          <w:b/>
          <w:sz w:val="28"/>
          <w:szCs w:val="28"/>
        </w:rPr>
      </w:pPr>
      <w:r>
        <w:rPr>
          <w:rFonts w:hint="eastAsia" w:ascii="宋体" w:hAnsi="宋体" w:cs="宋体"/>
          <w:b/>
          <w:sz w:val="28"/>
          <w:szCs w:val="28"/>
        </w:rPr>
        <w:t>附件二</w:t>
      </w:r>
      <w:bookmarkEnd w:id="224"/>
      <w:bookmarkEnd w:id="225"/>
      <w:bookmarkEnd w:id="226"/>
    </w:p>
    <w:p>
      <w:pPr>
        <w:widowControl/>
        <w:spacing w:after="240" w:line="360" w:lineRule="auto"/>
        <w:jc w:val="center"/>
        <w:rPr>
          <w:rFonts w:ascii="宋体" w:hAnsi="宋体" w:cs="宋体"/>
          <w:b/>
          <w:kern w:val="0"/>
          <w:sz w:val="28"/>
          <w:szCs w:val="28"/>
        </w:rPr>
      </w:pPr>
      <w:r>
        <w:rPr>
          <w:rFonts w:hint="eastAsia" w:ascii="宋体" w:hAnsi="宋体" w:cs="宋体"/>
          <w:b/>
          <w:kern w:val="0"/>
          <w:sz w:val="28"/>
          <w:szCs w:val="28"/>
        </w:rPr>
        <w:t>监狱企业证明文件</w:t>
      </w:r>
    </w:p>
    <w:p>
      <w:pPr>
        <w:widowControl/>
        <w:spacing w:before="100" w:beforeAutospacing="1" w:after="100" w:afterAutospacing="1" w:line="360" w:lineRule="auto"/>
        <w:ind w:firstLine="504" w:firstLineChars="200"/>
        <w:jc w:val="left"/>
        <w:rPr>
          <w:rFonts w:ascii="宋体" w:hAnsi="宋体" w:cs="宋体"/>
          <w:kern w:val="0"/>
          <w:sz w:val="28"/>
          <w:szCs w:val="28"/>
        </w:rPr>
      </w:pPr>
      <w:r>
        <w:rPr>
          <w:rFonts w:hint="eastAsia" w:ascii="宋体" w:hAnsi="宋体" w:cs="宋体"/>
          <w:spacing w:val="6"/>
          <w:kern w:val="0"/>
          <w:sz w:val="24"/>
        </w:rPr>
        <w:t>说明根据《关于政府采购支持监狱企业发展有关问题的通知》(财库[2014]68号)规定，监狱企业参加政府采购活动时，应当提供由省级以上监狱管理局、戒毒管理局(含新疆生产建设兵团)出具的属于监狱企业的证明文件。</w:t>
      </w:r>
    </w:p>
    <w:p>
      <w:pPr>
        <w:widowControl/>
        <w:spacing w:before="100" w:beforeAutospacing="1" w:after="100" w:afterAutospacing="1" w:line="360" w:lineRule="auto"/>
        <w:ind w:firstLine="504" w:firstLineChars="200"/>
        <w:jc w:val="center"/>
        <w:rPr>
          <w:rFonts w:ascii="宋体" w:hAnsi="宋体" w:cs="宋体"/>
          <w:spacing w:val="6"/>
          <w:kern w:val="0"/>
          <w:sz w:val="24"/>
        </w:rPr>
      </w:pPr>
      <w:bookmarkStart w:id="227" w:name="_Toc499739991"/>
      <w:r>
        <w:rPr>
          <w:rFonts w:hint="eastAsia" w:ascii="宋体" w:hAnsi="宋体" w:cs="宋体"/>
          <w:spacing w:val="6"/>
          <w:kern w:val="0"/>
          <w:sz w:val="24"/>
        </w:rPr>
        <w:t xml:space="preserve">                                       </w:t>
      </w:r>
    </w:p>
    <w:p>
      <w:pPr>
        <w:widowControl/>
        <w:spacing w:before="100" w:beforeAutospacing="1" w:after="100" w:afterAutospacing="1" w:line="360" w:lineRule="auto"/>
        <w:rPr>
          <w:rFonts w:ascii="宋体" w:hAnsi="宋体" w:cs="宋体"/>
          <w:spacing w:val="6"/>
          <w:kern w:val="0"/>
          <w:sz w:val="24"/>
        </w:rPr>
      </w:pPr>
    </w:p>
    <w:p>
      <w:pPr>
        <w:widowControl/>
        <w:spacing w:before="100" w:beforeAutospacing="1" w:after="100" w:afterAutospacing="1" w:line="360" w:lineRule="auto"/>
        <w:ind w:firstLine="6552" w:firstLineChars="2600"/>
        <w:rPr>
          <w:rFonts w:ascii="宋体" w:hAnsi="宋体" w:cs="宋体"/>
          <w:spacing w:val="6"/>
          <w:kern w:val="0"/>
          <w:sz w:val="24"/>
        </w:rPr>
      </w:pPr>
      <w:r>
        <w:rPr>
          <w:rFonts w:hint="eastAsia" w:ascii="宋体" w:hAnsi="宋体" w:cs="宋体"/>
          <w:spacing w:val="6"/>
          <w:kern w:val="0"/>
          <w:sz w:val="24"/>
        </w:rPr>
        <w:t>单位名称：（盖章）</w:t>
      </w:r>
    </w:p>
    <w:p>
      <w:pPr>
        <w:pStyle w:val="14"/>
        <w:jc w:val="center"/>
      </w:pPr>
      <w:r>
        <w:rPr>
          <w:rFonts w:hint="eastAsia" w:ascii="宋体" w:hAnsi="宋体" w:cs="宋体"/>
          <w:kern w:val="0"/>
          <w:sz w:val="24"/>
        </w:rPr>
        <w:t xml:space="preserve">                                  日期：</w:t>
      </w:r>
    </w:p>
    <w:p>
      <w:pPr>
        <w:spacing w:line="360" w:lineRule="auto"/>
        <w:rPr>
          <w:rFonts w:ascii="宋体" w:hAnsi="宋体" w:cs="宋体"/>
          <w:b/>
          <w:sz w:val="36"/>
          <w:szCs w:val="36"/>
        </w:rPr>
      </w:pPr>
    </w:p>
    <w:p>
      <w:pPr>
        <w:pStyle w:val="2"/>
        <w:ind w:firstLine="361"/>
        <w:rPr>
          <w:rFonts w:ascii="宋体" w:hAnsi="宋体" w:cs="宋体"/>
          <w:b/>
          <w:sz w:val="36"/>
          <w:szCs w:val="36"/>
        </w:rPr>
      </w:pPr>
    </w:p>
    <w:p>
      <w:pPr>
        <w:pStyle w:val="2"/>
        <w:ind w:firstLine="361"/>
        <w:rPr>
          <w:rFonts w:ascii="宋体" w:hAnsi="宋体" w:cs="宋体"/>
          <w:b/>
          <w:sz w:val="36"/>
          <w:szCs w:val="36"/>
        </w:rPr>
      </w:pPr>
    </w:p>
    <w:p>
      <w:pPr>
        <w:pStyle w:val="2"/>
        <w:ind w:firstLine="361"/>
        <w:rPr>
          <w:rFonts w:ascii="宋体" w:hAnsi="宋体" w:cs="宋体"/>
          <w:b/>
          <w:sz w:val="36"/>
          <w:szCs w:val="36"/>
        </w:rPr>
      </w:pPr>
    </w:p>
    <w:p>
      <w:pPr>
        <w:pStyle w:val="2"/>
        <w:ind w:firstLine="361"/>
        <w:rPr>
          <w:rFonts w:ascii="宋体" w:hAnsi="宋体" w:cs="宋体"/>
          <w:b/>
          <w:sz w:val="36"/>
          <w:szCs w:val="36"/>
        </w:rPr>
      </w:pPr>
    </w:p>
    <w:p>
      <w:pPr>
        <w:pStyle w:val="2"/>
        <w:ind w:firstLine="361"/>
        <w:rPr>
          <w:rFonts w:ascii="宋体" w:hAnsi="宋体" w:cs="宋体"/>
          <w:b/>
          <w:sz w:val="36"/>
          <w:szCs w:val="36"/>
        </w:rPr>
      </w:pPr>
    </w:p>
    <w:p>
      <w:pPr>
        <w:pStyle w:val="2"/>
        <w:ind w:firstLine="361"/>
        <w:rPr>
          <w:rFonts w:ascii="宋体" w:hAnsi="宋体" w:cs="宋体"/>
          <w:b/>
          <w:sz w:val="36"/>
          <w:szCs w:val="36"/>
        </w:rPr>
      </w:pPr>
    </w:p>
    <w:p>
      <w:pPr>
        <w:pStyle w:val="2"/>
        <w:ind w:firstLine="361"/>
        <w:rPr>
          <w:rFonts w:ascii="宋体" w:hAnsi="宋体" w:cs="宋体"/>
          <w:b/>
          <w:sz w:val="36"/>
          <w:szCs w:val="36"/>
        </w:rPr>
      </w:pPr>
    </w:p>
    <w:p>
      <w:pPr>
        <w:pStyle w:val="2"/>
        <w:ind w:firstLine="361"/>
        <w:rPr>
          <w:rFonts w:ascii="宋体" w:hAnsi="宋体" w:cs="宋体"/>
          <w:b/>
          <w:sz w:val="36"/>
          <w:szCs w:val="36"/>
        </w:rPr>
      </w:pPr>
    </w:p>
    <w:p>
      <w:pPr>
        <w:pStyle w:val="2"/>
        <w:ind w:firstLine="361"/>
        <w:rPr>
          <w:rFonts w:ascii="宋体" w:hAnsi="宋体" w:cs="宋体"/>
          <w:b/>
          <w:sz w:val="36"/>
          <w:szCs w:val="36"/>
        </w:rPr>
      </w:pPr>
    </w:p>
    <w:p>
      <w:pPr>
        <w:pStyle w:val="2"/>
        <w:ind w:firstLine="361"/>
        <w:rPr>
          <w:rFonts w:ascii="宋体" w:hAnsi="宋体" w:cs="宋体"/>
          <w:b/>
          <w:sz w:val="36"/>
          <w:szCs w:val="36"/>
        </w:rPr>
      </w:pPr>
    </w:p>
    <w:p>
      <w:pPr>
        <w:pStyle w:val="2"/>
        <w:ind w:firstLine="361"/>
        <w:rPr>
          <w:rFonts w:ascii="宋体" w:hAnsi="宋体" w:cs="宋体"/>
          <w:b/>
          <w:sz w:val="36"/>
          <w:szCs w:val="36"/>
        </w:rPr>
      </w:pPr>
    </w:p>
    <w:p>
      <w:pPr>
        <w:snapToGrid w:val="0"/>
        <w:spacing w:line="480" w:lineRule="auto"/>
        <w:rPr>
          <w:rFonts w:ascii="宋体" w:hAnsi="宋体" w:cs="宋体"/>
          <w:b/>
          <w:sz w:val="28"/>
          <w:szCs w:val="28"/>
        </w:rPr>
      </w:pPr>
      <w:bookmarkStart w:id="228" w:name="_Toc22304"/>
      <w:bookmarkStart w:id="229" w:name="_Toc14450"/>
      <w:r>
        <w:rPr>
          <w:rFonts w:hint="eastAsia" w:ascii="宋体" w:hAnsi="宋体" w:cs="宋体"/>
          <w:b/>
          <w:sz w:val="28"/>
          <w:szCs w:val="28"/>
        </w:rPr>
        <w:t>附件三</w:t>
      </w:r>
      <w:bookmarkEnd w:id="227"/>
      <w:bookmarkEnd w:id="228"/>
      <w:bookmarkEnd w:id="229"/>
    </w:p>
    <w:p>
      <w:pPr>
        <w:widowControl/>
        <w:spacing w:after="240" w:line="360" w:lineRule="auto"/>
        <w:jc w:val="center"/>
        <w:rPr>
          <w:rFonts w:ascii="宋体" w:hAnsi="宋体" w:cs="宋体"/>
          <w:b/>
          <w:kern w:val="0"/>
          <w:sz w:val="28"/>
          <w:szCs w:val="28"/>
        </w:rPr>
      </w:pPr>
      <w:r>
        <w:rPr>
          <w:rFonts w:hint="eastAsia" w:ascii="宋体" w:hAnsi="宋体" w:cs="宋体"/>
          <w:b/>
          <w:kern w:val="0"/>
          <w:sz w:val="28"/>
          <w:szCs w:val="28"/>
        </w:rPr>
        <w:t>残疾人福利性单位声明函</w:t>
      </w:r>
    </w:p>
    <w:p>
      <w:pPr>
        <w:widowControl/>
        <w:spacing w:before="100" w:beforeAutospacing="1" w:after="100" w:afterAutospacing="1" w:line="360" w:lineRule="auto"/>
        <w:ind w:firstLine="504" w:firstLineChars="200"/>
        <w:jc w:val="left"/>
        <w:rPr>
          <w:rFonts w:ascii="宋体" w:hAnsi="宋体" w:cs="宋体"/>
          <w:spacing w:val="6"/>
          <w:kern w:val="0"/>
          <w:sz w:val="24"/>
        </w:rPr>
      </w:pPr>
      <w:r>
        <w:rPr>
          <w:rFonts w:hint="eastAsia" w:ascii="宋体" w:hAnsi="宋体" w:cs="宋体"/>
          <w:spacing w:val="6"/>
          <w:kern w:val="0"/>
          <w:sz w:val="24"/>
        </w:rPr>
        <w:t>本单位郑重声明，根据《财政部 民政部 中国残疾人联合会关于促进残疾人就业政府采购政策的通知》（财库〔2017〕 141号）的规定，本单位为符合条件的残疾人福利性单位，且本单位参加    单位的            项目采购活动提供本单位制造的货物（由本单位承担工程/提供服务），或者提供其他残疾人福利性单位制造的货物（不包括使用非残疾人福利性单位注册商标的货物）。</w:t>
      </w:r>
    </w:p>
    <w:p>
      <w:pPr>
        <w:widowControl/>
        <w:spacing w:before="100" w:beforeAutospacing="1" w:after="100" w:afterAutospacing="1" w:line="360" w:lineRule="auto"/>
        <w:ind w:firstLine="504" w:firstLineChars="200"/>
        <w:jc w:val="left"/>
        <w:rPr>
          <w:rFonts w:ascii="宋体" w:hAnsi="宋体" w:cs="宋体"/>
          <w:spacing w:val="6"/>
          <w:kern w:val="0"/>
          <w:sz w:val="24"/>
        </w:rPr>
      </w:pPr>
      <w:r>
        <w:rPr>
          <w:rFonts w:hint="eastAsia" w:ascii="宋体" w:hAnsi="宋体" w:cs="宋体"/>
          <w:spacing w:val="6"/>
          <w:kern w:val="0"/>
          <w:sz w:val="24"/>
        </w:rPr>
        <w:t>本单位对上述声明的真实性负责，如有虚假，将依法承担相应责任。</w:t>
      </w:r>
    </w:p>
    <w:p>
      <w:pPr>
        <w:widowControl/>
        <w:spacing w:before="100" w:beforeAutospacing="1" w:after="100" w:afterAutospacing="1" w:line="360" w:lineRule="auto"/>
        <w:ind w:firstLine="504" w:firstLineChars="200"/>
        <w:jc w:val="left"/>
        <w:rPr>
          <w:rFonts w:ascii="宋体" w:hAnsi="宋体" w:cs="宋体"/>
          <w:spacing w:val="6"/>
          <w:kern w:val="0"/>
          <w:sz w:val="24"/>
        </w:rPr>
      </w:pPr>
      <w:r>
        <w:rPr>
          <w:rFonts w:hint="eastAsia" w:ascii="宋体" w:hAnsi="宋体" w:cs="宋体"/>
          <w:spacing w:val="6"/>
          <w:kern w:val="0"/>
          <w:sz w:val="24"/>
        </w:rPr>
        <w:t xml:space="preserve">   </w:t>
      </w:r>
    </w:p>
    <w:p>
      <w:pPr>
        <w:widowControl/>
        <w:spacing w:before="100" w:beforeAutospacing="1" w:after="100" w:afterAutospacing="1" w:line="360" w:lineRule="auto"/>
        <w:ind w:firstLine="504" w:firstLineChars="200"/>
        <w:jc w:val="left"/>
        <w:rPr>
          <w:rFonts w:ascii="宋体" w:hAnsi="宋体" w:cs="宋体"/>
          <w:spacing w:val="6"/>
          <w:kern w:val="0"/>
          <w:sz w:val="24"/>
        </w:rPr>
      </w:pPr>
    </w:p>
    <w:p>
      <w:pPr>
        <w:widowControl/>
        <w:spacing w:before="100" w:beforeAutospacing="1" w:after="100" w:afterAutospacing="1" w:line="360" w:lineRule="auto"/>
        <w:ind w:firstLine="504" w:firstLineChars="200"/>
        <w:jc w:val="left"/>
        <w:rPr>
          <w:rFonts w:ascii="宋体" w:hAnsi="宋体" w:cs="宋体"/>
          <w:spacing w:val="6"/>
          <w:kern w:val="0"/>
          <w:sz w:val="24"/>
        </w:rPr>
      </w:pPr>
      <w:r>
        <w:rPr>
          <w:rFonts w:hint="eastAsia" w:ascii="宋体" w:hAnsi="宋体" w:cs="宋体"/>
          <w:spacing w:val="6"/>
          <w:kern w:val="0"/>
          <w:sz w:val="24"/>
        </w:rPr>
        <w:t xml:space="preserve">                                             单位名称：（盖章）</w:t>
      </w:r>
    </w:p>
    <w:p>
      <w:pPr>
        <w:pStyle w:val="14"/>
        <w:jc w:val="center"/>
      </w:pPr>
      <w:r>
        <w:rPr>
          <w:rFonts w:hint="eastAsia" w:ascii="宋体" w:hAnsi="宋体" w:cs="宋体"/>
          <w:kern w:val="0"/>
          <w:sz w:val="24"/>
        </w:rPr>
        <w:t xml:space="preserve">                                 日期：</w:t>
      </w:r>
    </w:p>
    <w:p>
      <w:pPr>
        <w:tabs>
          <w:tab w:val="left" w:pos="4860"/>
        </w:tabs>
        <w:spacing w:line="360" w:lineRule="auto"/>
        <w:ind w:right="1560" w:firstLine="480" w:firstLineChars="200"/>
        <w:jc w:val="center"/>
        <w:rPr>
          <w:rFonts w:ascii="宋体" w:hAnsi="宋体" w:cs="宋体"/>
          <w:kern w:val="0"/>
          <w:sz w:val="24"/>
        </w:rPr>
      </w:pPr>
    </w:p>
    <w:p>
      <w:pPr>
        <w:tabs>
          <w:tab w:val="left" w:pos="4860"/>
        </w:tabs>
        <w:spacing w:line="360" w:lineRule="auto"/>
        <w:ind w:right="1560" w:firstLine="480" w:firstLineChars="200"/>
        <w:jc w:val="center"/>
        <w:rPr>
          <w:rFonts w:ascii="宋体" w:hAnsi="宋体" w:cs="宋体"/>
          <w:kern w:val="0"/>
          <w:sz w:val="24"/>
        </w:rPr>
      </w:pPr>
    </w:p>
    <w:p>
      <w:pPr>
        <w:tabs>
          <w:tab w:val="left" w:pos="4860"/>
        </w:tabs>
        <w:spacing w:line="360" w:lineRule="auto"/>
        <w:ind w:right="1560" w:firstLine="480" w:firstLineChars="200"/>
        <w:jc w:val="center"/>
        <w:rPr>
          <w:rFonts w:ascii="宋体" w:hAnsi="宋体" w:cs="宋体"/>
          <w:kern w:val="0"/>
          <w:sz w:val="24"/>
        </w:rPr>
      </w:pPr>
    </w:p>
    <w:p>
      <w:pPr>
        <w:spacing w:line="360" w:lineRule="auto"/>
        <w:rPr>
          <w:rFonts w:ascii="宋体" w:hAnsi="宋体" w:cs="宋体"/>
          <w:b/>
          <w:sz w:val="32"/>
          <w:szCs w:val="32"/>
        </w:rPr>
      </w:pPr>
    </w:p>
    <w:p>
      <w:pPr>
        <w:jc w:val="center"/>
        <w:rPr>
          <w:rFonts w:hAnsi="宋体" w:cs="宋体"/>
          <w:b/>
          <w:sz w:val="30"/>
          <w:szCs w:val="30"/>
        </w:rPr>
      </w:pPr>
    </w:p>
    <w:p>
      <w:pPr>
        <w:jc w:val="center"/>
        <w:rPr>
          <w:rFonts w:hAnsi="宋体" w:cs="宋体"/>
          <w:b/>
          <w:sz w:val="30"/>
          <w:szCs w:val="30"/>
        </w:rPr>
      </w:pPr>
    </w:p>
    <w:p>
      <w:pPr>
        <w:jc w:val="center"/>
        <w:rPr>
          <w:rFonts w:hAnsi="宋体" w:cs="宋体"/>
          <w:b/>
          <w:sz w:val="30"/>
          <w:szCs w:val="30"/>
        </w:rPr>
      </w:pPr>
    </w:p>
    <w:p>
      <w:pPr>
        <w:jc w:val="center"/>
        <w:rPr>
          <w:rFonts w:hAnsi="宋体" w:cs="宋体"/>
          <w:b/>
          <w:sz w:val="30"/>
          <w:szCs w:val="30"/>
        </w:rPr>
      </w:pPr>
    </w:p>
    <w:p>
      <w:pPr>
        <w:jc w:val="center"/>
        <w:rPr>
          <w:rFonts w:hAnsi="宋体" w:cs="宋体"/>
          <w:b/>
          <w:sz w:val="30"/>
          <w:szCs w:val="30"/>
        </w:rPr>
      </w:pPr>
      <w:r>
        <w:rPr>
          <w:rFonts w:hint="eastAsia" w:hAnsi="宋体" w:cs="宋体"/>
          <w:b/>
          <w:sz w:val="30"/>
          <w:szCs w:val="30"/>
        </w:rPr>
        <w:t>磋商分项报价表（二次）</w:t>
      </w:r>
    </w:p>
    <w:p>
      <w:pPr>
        <w:rPr>
          <w:rFonts w:hAnsi="宋体" w:cs="宋体"/>
        </w:rPr>
      </w:pPr>
    </w:p>
    <w:p>
      <w:pPr>
        <w:rPr>
          <w:rFonts w:hAnsi="宋体" w:cs="宋体"/>
        </w:rPr>
      </w:pPr>
      <w:r>
        <w:rPr>
          <w:rFonts w:hint="eastAsia" w:hAnsi="宋体" w:cs="宋体"/>
        </w:rPr>
        <w:t xml:space="preserve">项目名称： </w:t>
      </w:r>
    </w:p>
    <w:p>
      <w:pPr>
        <w:rPr>
          <w:rFonts w:hAnsi="宋体" w:cs="宋体"/>
        </w:rPr>
      </w:pPr>
      <w:r>
        <w:rPr>
          <w:rFonts w:hint="eastAsia" w:hAnsi="宋体" w:cs="宋体"/>
        </w:rPr>
        <w:t xml:space="preserve">项目编号：                                                      </w:t>
      </w:r>
    </w:p>
    <w:tbl>
      <w:tblPr>
        <w:tblStyle w:val="19"/>
        <w:tblW w:w="0" w:type="auto"/>
        <w:jc w:val="center"/>
        <w:tblLayout w:type="fixed"/>
        <w:tblCellMar>
          <w:top w:w="0" w:type="dxa"/>
          <w:left w:w="28" w:type="dxa"/>
          <w:bottom w:w="0" w:type="dxa"/>
          <w:right w:w="28" w:type="dxa"/>
        </w:tblCellMar>
      </w:tblPr>
      <w:tblGrid>
        <w:gridCol w:w="875"/>
        <w:gridCol w:w="536"/>
        <w:gridCol w:w="797"/>
        <w:gridCol w:w="1572"/>
        <w:gridCol w:w="1588"/>
        <w:gridCol w:w="762"/>
        <w:gridCol w:w="705"/>
        <w:gridCol w:w="886"/>
        <w:gridCol w:w="1178"/>
      </w:tblGrid>
      <w:tr>
        <w:tblPrEx>
          <w:tblCellMar>
            <w:top w:w="0" w:type="dxa"/>
            <w:left w:w="28" w:type="dxa"/>
            <w:bottom w:w="0" w:type="dxa"/>
            <w:right w:w="28" w:type="dxa"/>
          </w:tblCellMar>
        </w:tblPrEx>
        <w:trPr>
          <w:trHeight w:val="598" w:hRule="atLeast"/>
          <w:jc w:val="center"/>
        </w:trPr>
        <w:tc>
          <w:tcPr>
            <w:tcW w:w="875" w:type="dxa"/>
            <w:vMerge w:val="restart"/>
            <w:tcBorders>
              <w:top w:val="single" w:color="auto" w:sz="6" w:space="0"/>
              <w:left w:val="single" w:color="auto" w:sz="6" w:space="0"/>
              <w:right w:val="single" w:color="auto" w:sz="4" w:space="0"/>
            </w:tcBorders>
            <w:vAlign w:val="center"/>
          </w:tcPr>
          <w:p>
            <w:pPr>
              <w:spacing w:after="120"/>
              <w:jc w:val="center"/>
              <w:rPr>
                <w:rFonts w:hAnsi="宋体" w:cs="宋体"/>
              </w:rPr>
            </w:pPr>
            <w:r>
              <w:rPr>
                <w:rFonts w:hint="eastAsia" w:hAnsi="宋体" w:cs="宋体"/>
              </w:rPr>
              <w:t xml:space="preserve">                           产品</w:t>
            </w:r>
          </w:p>
          <w:p>
            <w:pPr>
              <w:spacing w:after="120"/>
              <w:jc w:val="center"/>
              <w:rPr>
                <w:rFonts w:hAnsi="宋体" w:cs="宋体"/>
              </w:rPr>
            </w:pPr>
            <w:r>
              <w:rPr>
                <w:rFonts w:hint="eastAsia" w:hAnsi="宋体" w:cs="宋体"/>
              </w:rPr>
              <w:t>费用</w:t>
            </w:r>
          </w:p>
        </w:tc>
        <w:tc>
          <w:tcPr>
            <w:tcW w:w="536" w:type="dxa"/>
            <w:tcBorders>
              <w:top w:val="single" w:color="auto" w:sz="6" w:space="0"/>
              <w:left w:val="single" w:color="auto" w:sz="4" w:space="0"/>
              <w:bottom w:val="single" w:color="auto" w:sz="6" w:space="0"/>
            </w:tcBorders>
            <w:vAlign w:val="center"/>
          </w:tcPr>
          <w:p>
            <w:pPr>
              <w:spacing w:after="120"/>
              <w:jc w:val="center"/>
              <w:rPr>
                <w:rFonts w:hAnsi="宋体" w:cs="宋体"/>
              </w:rPr>
            </w:pPr>
            <w:r>
              <w:rPr>
                <w:rFonts w:hint="eastAsia" w:hAnsi="宋体" w:cs="宋体"/>
              </w:rPr>
              <w:t>序号</w:t>
            </w:r>
          </w:p>
        </w:tc>
        <w:tc>
          <w:tcPr>
            <w:tcW w:w="797" w:type="dxa"/>
            <w:tcBorders>
              <w:top w:val="single" w:color="auto" w:sz="6" w:space="0"/>
              <w:left w:val="single" w:color="auto" w:sz="6" w:space="0"/>
              <w:bottom w:val="single" w:color="auto" w:sz="6" w:space="0"/>
              <w:right w:val="single" w:color="auto" w:sz="6" w:space="0"/>
            </w:tcBorders>
            <w:vAlign w:val="center"/>
          </w:tcPr>
          <w:p>
            <w:pPr>
              <w:spacing w:after="120"/>
              <w:jc w:val="center"/>
              <w:rPr>
                <w:rFonts w:hAnsi="宋体" w:cs="宋体"/>
              </w:rPr>
            </w:pPr>
            <w:r>
              <w:rPr>
                <w:rFonts w:hint="eastAsia" w:hAnsi="宋体" w:cs="宋体"/>
              </w:rPr>
              <w:t>名称</w:t>
            </w:r>
          </w:p>
        </w:tc>
        <w:tc>
          <w:tcPr>
            <w:tcW w:w="1572" w:type="dxa"/>
            <w:tcBorders>
              <w:top w:val="single" w:color="auto" w:sz="6" w:space="0"/>
              <w:left w:val="single" w:color="auto" w:sz="6" w:space="0"/>
              <w:bottom w:val="single" w:color="auto" w:sz="6" w:space="0"/>
              <w:right w:val="single" w:color="auto" w:sz="6" w:space="0"/>
            </w:tcBorders>
            <w:vAlign w:val="center"/>
          </w:tcPr>
          <w:p>
            <w:pPr>
              <w:spacing w:after="120"/>
              <w:jc w:val="center"/>
              <w:rPr>
                <w:rFonts w:hAnsi="宋体" w:cs="宋体"/>
              </w:rPr>
            </w:pPr>
            <w:r>
              <w:rPr>
                <w:rFonts w:hint="eastAsia" w:hAnsi="宋体" w:cs="宋体"/>
              </w:rPr>
              <w:t>品牌、型号和规格</w:t>
            </w:r>
          </w:p>
        </w:tc>
        <w:tc>
          <w:tcPr>
            <w:tcW w:w="1588" w:type="dxa"/>
            <w:tcBorders>
              <w:top w:val="single" w:color="auto" w:sz="6" w:space="0"/>
              <w:left w:val="single" w:color="auto" w:sz="6" w:space="0"/>
              <w:bottom w:val="single" w:color="auto" w:sz="6" w:space="0"/>
              <w:right w:val="single" w:color="auto" w:sz="6" w:space="0"/>
            </w:tcBorders>
            <w:vAlign w:val="center"/>
          </w:tcPr>
          <w:p>
            <w:pPr>
              <w:spacing w:beforeLines="50" w:after="120"/>
              <w:jc w:val="center"/>
              <w:rPr>
                <w:rFonts w:hAnsi="宋体" w:cs="宋体"/>
              </w:rPr>
            </w:pPr>
            <w:r>
              <w:rPr>
                <w:rFonts w:hint="eastAsia" w:hAnsi="宋体" w:cs="宋体"/>
              </w:rPr>
              <w:t>原产地及制造厂名</w:t>
            </w:r>
          </w:p>
        </w:tc>
        <w:tc>
          <w:tcPr>
            <w:tcW w:w="762" w:type="dxa"/>
            <w:tcBorders>
              <w:top w:val="single" w:color="auto" w:sz="6" w:space="0"/>
              <w:left w:val="single" w:color="auto" w:sz="6" w:space="0"/>
              <w:bottom w:val="single" w:color="auto" w:sz="6" w:space="0"/>
              <w:right w:val="single" w:color="auto" w:sz="4" w:space="0"/>
            </w:tcBorders>
            <w:vAlign w:val="center"/>
          </w:tcPr>
          <w:p>
            <w:pPr>
              <w:spacing w:after="120"/>
              <w:jc w:val="center"/>
              <w:rPr>
                <w:rFonts w:hAnsi="宋体" w:cs="宋体"/>
              </w:rPr>
            </w:pPr>
            <w:r>
              <w:rPr>
                <w:rFonts w:hint="eastAsia" w:hAnsi="宋体" w:cs="宋体"/>
              </w:rPr>
              <w:t>数量</w:t>
            </w:r>
          </w:p>
        </w:tc>
        <w:tc>
          <w:tcPr>
            <w:tcW w:w="705" w:type="dxa"/>
            <w:tcBorders>
              <w:top w:val="single" w:color="auto" w:sz="6" w:space="0"/>
              <w:left w:val="single" w:color="auto" w:sz="4" w:space="0"/>
              <w:bottom w:val="single" w:color="auto" w:sz="6" w:space="0"/>
              <w:right w:val="single" w:color="auto" w:sz="6" w:space="0"/>
            </w:tcBorders>
            <w:vAlign w:val="center"/>
          </w:tcPr>
          <w:p>
            <w:pPr>
              <w:spacing w:after="120"/>
              <w:jc w:val="center"/>
              <w:rPr>
                <w:rFonts w:hAnsi="宋体" w:cs="宋体"/>
              </w:rPr>
            </w:pPr>
            <w:r>
              <w:rPr>
                <w:rFonts w:hint="eastAsia" w:hAnsi="宋体" w:cs="宋体"/>
              </w:rPr>
              <w:t>单位</w:t>
            </w:r>
          </w:p>
        </w:tc>
        <w:tc>
          <w:tcPr>
            <w:tcW w:w="886" w:type="dxa"/>
            <w:tcBorders>
              <w:top w:val="single" w:color="auto" w:sz="6" w:space="0"/>
              <w:left w:val="single" w:color="auto" w:sz="6" w:space="0"/>
              <w:bottom w:val="single" w:color="auto" w:sz="6" w:space="0"/>
              <w:right w:val="single" w:color="auto" w:sz="6" w:space="0"/>
            </w:tcBorders>
            <w:vAlign w:val="center"/>
          </w:tcPr>
          <w:p>
            <w:pPr>
              <w:spacing w:after="120"/>
              <w:jc w:val="center"/>
              <w:rPr>
                <w:rFonts w:hAnsi="宋体" w:cs="宋体"/>
              </w:rPr>
            </w:pPr>
            <w:r>
              <w:rPr>
                <w:rFonts w:hint="eastAsia" w:hAnsi="宋体" w:cs="宋体"/>
              </w:rPr>
              <w:t>单价</w:t>
            </w:r>
          </w:p>
          <w:p>
            <w:pPr>
              <w:spacing w:after="120"/>
              <w:jc w:val="center"/>
              <w:rPr>
                <w:rFonts w:hAnsi="宋体" w:cs="宋体"/>
                <w:bCs/>
              </w:rPr>
            </w:pPr>
            <w:r>
              <w:rPr>
                <w:rFonts w:hint="eastAsia" w:hAnsi="宋体" w:cs="宋体"/>
              </w:rPr>
              <w:t>（元）</w:t>
            </w:r>
          </w:p>
        </w:tc>
        <w:tc>
          <w:tcPr>
            <w:tcW w:w="1178" w:type="dxa"/>
            <w:tcBorders>
              <w:top w:val="single" w:color="auto" w:sz="6" w:space="0"/>
              <w:left w:val="single" w:color="auto" w:sz="6" w:space="0"/>
              <w:bottom w:val="single" w:color="auto" w:sz="6" w:space="0"/>
              <w:right w:val="single" w:color="auto" w:sz="6" w:space="0"/>
            </w:tcBorders>
            <w:vAlign w:val="center"/>
          </w:tcPr>
          <w:p>
            <w:pPr>
              <w:spacing w:after="120"/>
              <w:jc w:val="center"/>
              <w:rPr>
                <w:rFonts w:hAnsi="宋体" w:cs="宋体"/>
                <w:bCs/>
              </w:rPr>
            </w:pPr>
            <w:r>
              <w:rPr>
                <w:rFonts w:hint="eastAsia" w:hAnsi="宋体" w:cs="宋体"/>
                <w:bCs/>
              </w:rPr>
              <w:t>总价</w:t>
            </w:r>
          </w:p>
          <w:p>
            <w:pPr>
              <w:spacing w:after="120"/>
              <w:jc w:val="center"/>
              <w:rPr>
                <w:rFonts w:hAnsi="宋体" w:cs="宋体"/>
                <w:bCs/>
              </w:rPr>
            </w:pPr>
            <w:r>
              <w:rPr>
                <w:rFonts w:hint="eastAsia" w:hAnsi="宋体" w:cs="宋体"/>
                <w:bCs/>
              </w:rPr>
              <w:t>（元）</w:t>
            </w:r>
          </w:p>
        </w:tc>
      </w:tr>
      <w:tr>
        <w:tblPrEx>
          <w:tblCellMar>
            <w:top w:w="0" w:type="dxa"/>
            <w:left w:w="28" w:type="dxa"/>
            <w:bottom w:w="0" w:type="dxa"/>
            <w:right w:w="28" w:type="dxa"/>
          </w:tblCellMar>
        </w:tblPrEx>
        <w:trPr>
          <w:trHeight w:val="531" w:hRule="atLeast"/>
          <w:jc w:val="center"/>
        </w:trPr>
        <w:tc>
          <w:tcPr>
            <w:tcW w:w="875" w:type="dxa"/>
            <w:vMerge w:val="continue"/>
            <w:tcBorders>
              <w:left w:val="single" w:color="auto" w:sz="6" w:space="0"/>
              <w:right w:val="single" w:color="auto" w:sz="4" w:space="0"/>
            </w:tcBorders>
            <w:vAlign w:val="center"/>
          </w:tcPr>
          <w:p>
            <w:pPr>
              <w:spacing w:beforeLines="100"/>
              <w:jc w:val="center"/>
              <w:rPr>
                <w:rFonts w:hAnsi="宋体" w:cs="宋体"/>
              </w:rPr>
            </w:pPr>
          </w:p>
        </w:tc>
        <w:tc>
          <w:tcPr>
            <w:tcW w:w="536" w:type="dxa"/>
            <w:tcBorders>
              <w:top w:val="single" w:color="auto" w:sz="6" w:space="0"/>
              <w:left w:val="single" w:color="auto" w:sz="4" w:space="0"/>
              <w:bottom w:val="single" w:color="auto" w:sz="4" w:space="0"/>
            </w:tcBorders>
            <w:vAlign w:val="center"/>
          </w:tcPr>
          <w:p>
            <w:pPr>
              <w:spacing w:beforeLines="100"/>
              <w:jc w:val="center"/>
              <w:rPr>
                <w:rFonts w:hAnsi="宋体" w:cs="宋体"/>
              </w:rPr>
            </w:pPr>
            <w:r>
              <w:rPr>
                <w:rFonts w:hint="eastAsia" w:hAnsi="宋体" w:cs="宋体"/>
              </w:rPr>
              <w:t>1</w:t>
            </w:r>
          </w:p>
        </w:tc>
        <w:tc>
          <w:tcPr>
            <w:tcW w:w="797" w:type="dxa"/>
            <w:tcBorders>
              <w:top w:val="single" w:color="auto" w:sz="6" w:space="0"/>
              <w:left w:val="single" w:color="auto" w:sz="6" w:space="0"/>
              <w:bottom w:val="single" w:color="auto" w:sz="4" w:space="0"/>
              <w:right w:val="single" w:color="auto" w:sz="6" w:space="0"/>
            </w:tcBorders>
            <w:vAlign w:val="center"/>
          </w:tcPr>
          <w:p>
            <w:pPr>
              <w:spacing w:beforeLines="50"/>
              <w:jc w:val="center"/>
              <w:rPr>
                <w:rFonts w:hAnsi="宋体" w:cs="宋体"/>
              </w:rPr>
            </w:pPr>
          </w:p>
        </w:tc>
        <w:tc>
          <w:tcPr>
            <w:tcW w:w="1572" w:type="dxa"/>
            <w:tcBorders>
              <w:top w:val="single" w:color="auto" w:sz="6" w:space="0"/>
              <w:left w:val="single" w:color="auto" w:sz="6" w:space="0"/>
              <w:bottom w:val="single" w:color="auto" w:sz="4" w:space="0"/>
              <w:right w:val="single" w:color="auto" w:sz="6" w:space="0"/>
            </w:tcBorders>
            <w:vAlign w:val="center"/>
          </w:tcPr>
          <w:p>
            <w:pPr>
              <w:spacing w:beforeLines="50"/>
              <w:jc w:val="center"/>
              <w:rPr>
                <w:rFonts w:hAnsi="宋体" w:cs="宋体"/>
              </w:rPr>
            </w:pPr>
          </w:p>
        </w:tc>
        <w:tc>
          <w:tcPr>
            <w:tcW w:w="1588" w:type="dxa"/>
            <w:tcBorders>
              <w:top w:val="single" w:color="auto" w:sz="6" w:space="0"/>
              <w:left w:val="single" w:color="auto" w:sz="6" w:space="0"/>
              <w:bottom w:val="single" w:color="auto" w:sz="4" w:space="0"/>
              <w:right w:val="single" w:color="auto" w:sz="6" w:space="0"/>
            </w:tcBorders>
            <w:vAlign w:val="center"/>
          </w:tcPr>
          <w:p>
            <w:pPr>
              <w:spacing w:beforeLines="50"/>
              <w:jc w:val="center"/>
              <w:rPr>
                <w:rFonts w:hAnsi="宋体" w:cs="宋体"/>
              </w:rPr>
            </w:pPr>
          </w:p>
        </w:tc>
        <w:tc>
          <w:tcPr>
            <w:tcW w:w="762" w:type="dxa"/>
            <w:tcBorders>
              <w:top w:val="single" w:color="auto" w:sz="6" w:space="0"/>
              <w:left w:val="single" w:color="auto" w:sz="6" w:space="0"/>
              <w:bottom w:val="single" w:color="auto" w:sz="4" w:space="0"/>
              <w:right w:val="single" w:color="auto" w:sz="4" w:space="0"/>
            </w:tcBorders>
            <w:vAlign w:val="center"/>
          </w:tcPr>
          <w:p>
            <w:pPr>
              <w:spacing w:beforeLines="50"/>
              <w:jc w:val="center"/>
              <w:rPr>
                <w:rFonts w:hAnsi="宋体" w:cs="宋体"/>
              </w:rPr>
            </w:pPr>
          </w:p>
        </w:tc>
        <w:tc>
          <w:tcPr>
            <w:tcW w:w="705" w:type="dxa"/>
            <w:tcBorders>
              <w:top w:val="single" w:color="auto" w:sz="6" w:space="0"/>
              <w:left w:val="single" w:color="auto" w:sz="4" w:space="0"/>
              <w:bottom w:val="single" w:color="auto" w:sz="4" w:space="0"/>
              <w:right w:val="single" w:color="auto" w:sz="6" w:space="0"/>
            </w:tcBorders>
            <w:vAlign w:val="center"/>
          </w:tcPr>
          <w:p>
            <w:pPr>
              <w:spacing w:beforeLines="50"/>
              <w:jc w:val="center"/>
              <w:rPr>
                <w:rFonts w:hAnsi="宋体" w:cs="宋体"/>
              </w:rPr>
            </w:pPr>
          </w:p>
        </w:tc>
        <w:tc>
          <w:tcPr>
            <w:tcW w:w="886" w:type="dxa"/>
            <w:tcBorders>
              <w:top w:val="single" w:color="auto" w:sz="6" w:space="0"/>
              <w:left w:val="single" w:color="auto" w:sz="6" w:space="0"/>
              <w:bottom w:val="single" w:color="auto" w:sz="4" w:space="0"/>
              <w:right w:val="single" w:color="auto" w:sz="6" w:space="0"/>
            </w:tcBorders>
            <w:vAlign w:val="center"/>
          </w:tcPr>
          <w:p>
            <w:pPr>
              <w:spacing w:beforeLines="50"/>
              <w:jc w:val="center"/>
              <w:rPr>
                <w:rFonts w:hAnsi="宋体" w:cs="宋体"/>
              </w:rPr>
            </w:pPr>
          </w:p>
        </w:tc>
        <w:tc>
          <w:tcPr>
            <w:tcW w:w="1178" w:type="dxa"/>
            <w:tcBorders>
              <w:top w:val="single" w:color="auto" w:sz="6" w:space="0"/>
              <w:left w:val="single" w:color="auto" w:sz="6" w:space="0"/>
              <w:bottom w:val="single" w:color="auto" w:sz="4" w:space="0"/>
              <w:right w:val="single" w:color="auto" w:sz="6" w:space="0"/>
            </w:tcBorders>
            <w:vAlign w:val="center"/>
          </w:tcPr>
          <w:p>
            <w:pPr>
              <w:spacing w:beforeLines="50"/>
              <w:jc w:val="center"/>
              <w:rPr>
                <w:rFonts w:hAnsi="宋体" w:cs="宋体"/>
              </w:rPr>
            </w:pPr>
          </w:p>
        </w:tc>
      </w:tr>
      <w:tr>
        <w:tblPrEx>
          <w:tblCellMar>
            <w:top w:w="0" w:type="dxa"/>
            <w:left w:w="28" w:type="dxa"/>
            <w:bottom w:w="0" w:type="dxa"/>
            <w:right w:w="28" w:type="dxa"/>
          </w:tblCellMar>
        </w:tblPrEx>
        <w:trPr>
          <w:trHeight w:val="531" w:hRule="atLeast"/>
          <w:jc w:val="center"/>
        </w:trPr>
        <w:tc>
          <w:tcPr>
            <w:tcW w:w="875" w:type="dxa"/>
            <w:vMerge w:val="continue"/>
            <w:tcBorders>
              <w:left w:val="single" w:color="auto" w:sz="6" w:space="0"/>
              <w:right w:val="single" w:color="auto" w:sz="4" w:space="0"/>
            </w:tcBorders>
            <w:vAlign w:val="center"/>
          </w:tcPr>
          <w:p>
            <w:pPr>
              <w:spacing w:beforeLines="100"/>
              <w:jc w:val="center"/>
              <w:rPr>
                <w:rFonts w:hAnsi="宋体" w:cs="宋体"/>
              </w:rPr>
            </w:pPr>
          </w:p>
        </w:tc>
        <w:tc>
          <w:tcPr>
            <w:tcW w:w="536" w:type="dxa"/>
            <w:tcBorders>
              <w:top w:val="single" w:color="auto" w:sz="4" w:space="0"/>
              <w:left w:val="single" w:color="auto" w:sz="4" w:space="0"/>
              <w:bottom w:val="single" w:color="auto" w:sz="6" w:space="0"/>
            </w:tcBorders>
            <w:vAlign w:val="center"/>
          </w:tcPr>
          <w:p>
            <w:pPr>
              <w:spacing w:beforeLines="100"/>
              <w:jc w:val="center"/>
              <w:rPr>
                <w:rFonts w:hAnsi="宋体" w:cs="宋体"/>
              </w:rPr>
            </w:pPr>
            <w:r>
              <w:rPr>
                <w:rFonts w:hint="eastAsia" w:hAnsi="宋体" w:cs="宋体"/>
              </w:rPr>
              <w:t>2</w:t>
            </w:r>
          </w:p>
        </w:tc>
        <w:tc>
          <w:tcPr>
            <w:tcW w:w="797" w:type="dxa"/>
            <w:tcBorders>
              <w:top w:val="single" w:color="auto" w:sz="4" w:space="0"/>
              <w:left w:val="single" w:color="auto" w:sz="6" w:space="0"/>
              <w:bottom w:val="single" w:color="auto" w:sz="6" w:space="0"/>
              <w:right w:val="single" w:color="auto" w:sz="6" w:space="0"/>
            </w:tcBorders>
            <w:vAlign w:val="center"/>
          </w:tcPr>
          <w:p>
            <w:pPr>
              <w:spacing w:beforeLines="100"/>
              <w:jc w:val="center"/>
              <w:rPr>
                <w:rFonts w:hAnsi="宋体" w:cs="宋体"/>
              </w:rPr>
            </w:pPr>
          </w:p>
        </w:tc>
        <w:tc>
          <w:tcPr>
            <w:tcW w:w="1572" w:type="dxa"/>
            <w:tcBorders>
              <w:top w:val="single" w:color="auto" w:sz="4" w:space="0"/>
              <w:left w:val="single" w:color="auto" w:sz="6" w:space="0"/>
              <w:bottom w:val="single" w:color="auto" w:sz="6" w:space="0"/>
              <w:right w:val="single" w:color="auto" w:sz="6" w:space="0"/>
            </w:tcBorders>
            <w:vAlign w:val="center"/>
          </w:tcPr>
          <w:p>
            <w:pPr>
              <w:spacing w:beforeLines="50"/>
              <w:jc w:val="center"/>
              <w:rPr>
                <w:rFonts w:hAnsi="宋体" w:cs="宋体"/>
              </w:rPr>
            </w:pPr>
          </w:p>
        </w:tc>
        <w:tc>
          <w:tcPr>
            <w:tcW w:w="1588" w:type="dxa"/>
            <w:tcBorders>
              <w:top w:val="single" w:color="auto" w:sz="4" w:space="0"/>
              <w:left w:val="single" w:color="auto" w:sz="6" w:space="0"/>
              <w:bottom w:val="single" w:color="auto" w:sz="6" w:space="0"/>
              <w:right w:val="single" w:color="auto" w:sz="6" w:space="0"/>
            </w:tcBorders>
            <w:vAlign w:val="center"/>
          </w:tcPr>
          <w:p>
            <w:pPr>
              <w:spacing w:beforeLines="50"/>
              <w:jc w:val="center"/>
              <w:rPr>
                <w:rFonts w:hAnsi="宋体" w:cs="宋体"/>
              </w:rPr>
            </w:pPr>
          </w:p>
        </w:tc>
        <w:tc>
          <w:tcPr>
            <w:tcW w:w="762" w:type="dxa"/>
            <w:tcBorders>
              <w:top w:val="single" w:color="auto" w:sz="4" w:space="0"/>
              <w:left w:val="single" w:color="auto" w:sz="6" w:space="0"/>
              <w:bottom w:val="single" w:color="auto" w:sz="6" w:space="0"/>
              <w:right w:val="single" w:color="auto" w:sz="4" w:space="0"/>
            </w:tcBorders>
            <w:vAlign w:val="center"/>
          </w:tcPr>
          <w:p>
            <w:pPr>
              <w:spacing w:beforeLines="50"/>
              <w:jc w:val="center"/>
              <w:rPr>
                <w:rFonts w:hAnsi="宋体" w:cs="宋体"/>
              </w:rPr>
            </w:pPr>
          </w:p>
        </w:tc>
        <w:tc>
          <w:tcPr>
            <w:tcW w:w="705" w:type="dxa"/>
            <w:tcBorders>
              <w:top w:val="single" w:color="auto" w:sz="4" w:space="0"/>
              <w:left w:val="single" w:color="auto" w:sz="4" w:space="0"/>
              <w:bottom w:val="single" w:color="auto" w:sz="6" w:space="0"/>
              <w:right w:val="single" w:color="auto" w:sz="6" w:space="0"/>
            </w:tcBorders>
            <w:vAlign w:val="center"/>
          </w:tcPr>
          <w:p>
            <w:pPr>
              <w:spacing w:beforeLines="50"/>
              <w:jc w:val="center"/>
              <w:rPr>
                <w:rFonts w:hAnsi="宋体" w:cs="宋体"/>
              </w:rPr>
            </w:pPr>
          </w:p>
        </w:tc>
        <w:tc>
          <w:tcPr>
            <w:tcW w:w="886" w:type="dxa"/>
            <w:tcBorders>
              <w:top w:val="single" w:color="auto" w:sz="4" w:space="0"/>
              <w:left w:val="single" w:color="auto" w:sz="6" w:space="0"/>
              <w:bottom w:val="single" w:color="auto" w:sz="6" w:space="0"/>
              <w:right w:val="single" w:color="auto" w:sz="6" w:space="0"/>
            </w:tcBorders>
            <w:vAlign w:val="center"/>
          </w:tcPr>
          <w:p>
            <w:pPr>
              <w:spacing w:beforeLines="50"/>
              <w:jc w:val="center"/>
              <w:rPr>
                <w:rFonts w:hAnsi="宋体" w:cs="宋体"/>
              </w:rPr>
            </w:pPr>
          </w:p>
        </w:tc>
        <w:tc>
          <w:tcPr>
            <w:tcW w:w="1178" w:type="dxa"/>
            <w:tcBorders>
              <w:top w:val="single" w:color="auto" w:sz="4" w:space="0"/>
              <w:left w:val="single" w:color="auto" w:sz="6" w:space="0"/>
              <w:bottom w:val="single" w:color="auto" w:sz="6" w:space="0"/>
              <w:right w:val="single" w:color="auto" w:sz="6" w:space="0"/>
            </w:tcBorders>
            <w:vAlign w:val="center"/>
          </w:tcPr>
          <w:p>
            <w:pPr>
              <w:spacing w:beforeLines="50"/>
              <w:jc w:val="center"/>
              <w:rPr>
                <w:rFonts w:hAnsi="宋体" w:cs="宋体"/>
              </w:rPr>
            </w:pPr>
          </w:p>
        </w:tc>
      </w:tr>
      <w:tr>
        <w:tblPrEx>
          <w:tblCellMar>
            <w:top w:w="0" w:type="dxa"/>
            <w:left w:w="28" w:type="dxa"/>
            <w:bottom w:w="0" w:type="dxa"/>
            <w:right w:w="28" w:type="dxa"/>
          </w:tblCellMar>
        </w:tblPrEx>
        <w:trPr>
          <w:trHeight w:val="531" w:hRule="atLeast"/>
          <w:jc w:val="center"/>
        </w:trPr>
        <w:tc>
          <w:tcPr>
            <w:tcW w:w="875" w:type="dxa"/>
            <w:vMerge w:val="continue"/>
            <w:tcBorders>
              <w:left w:val="single" w:color="auto" w:sz="6" w:space="0"/>
              <w:right w:val="single" w:color="auto" w:sz="4" w:space="0"/>
            </w:tcBorders>
            <w:vAlign w:val="center"/>
          </w:tcPr>
          <w:p>
            <w:pPr>
              <w:spacing w:beforeLines="100"/>
              <w:jc w:val="center"/>
              <w:rPr>
                <w:rFonts w:hAnsi="宋体" w:cs="宋体"/>
              </w:rPr>
            </w:pPr>
          </w:p>
        </w:tc>
        <w:tc>
          <w:tcPr>
            <w:tcW w:w="536" w:type="dxa"/>
            <w:tcBorders>
              <w:top w:val="single" w:color="auto" w:sz="4" w:space="0"/>
              <w:left w:val="single" w:color="auto" w:sz="4" w:space="0"/>
              <w:bottom w:val="single" w:color="auto" w:sz="6" w:space="0"/>
            </w:tcBorders>
            <w:vAlign w:val="center"/>
          </w:tcPr>
          <w:p>
            <w:pPr>
              <w:spacing w:beforeLines="100"/>
              <w:jc w:val="center"/>
              <w:rPr>
                <w:rFonts w:hAnsi="宋体" w:cs="宋体"/>
              </w:rPr>
            </w:pPr>
            <w:r>
              <w:rPr>
                <w:rFonts w:hint="eastAsia" w:hAnsi="宋体" w:cs="宋体"/>
              </w:rPr>
              <w:t>3</w:t>
            </w:r>
          </w:p>
        </w:tc>
        <w:tc>
          <w:tcPr>
            <w:tcW w:w="797" w:type="dxa"/>
            <w:tcBorders>
              <w:top w:val="single" w:color="auto" w:sz="4" w:space="0"/>
              <w:left w:val="single" w:color="auto" w:sz="6" w:space="0"/>
              <w:bottom w:val="single" w:color="auto" w:sz="6" w:space="0"/>
              <w:right w:val="single" w:color="auto" w:sz="6" w:space="0"/>
            </w:tcBorders>
            <w:vAlign w:val="center"/>
          </w:tcPr>
          <w:p>
            <w:pPr>
              <w:spacing w:beforeLines="100"/>
              <w:jc w:val="center"/>
              <w:rPr>
                <w:rFonts w:hAnsi="宋体" w:cs="宋体"/>
              </w:rPr>
            </w:pPr>
          </w:p>
        </w:tc>
        <w:tc>
          <w:tcPr>
            <w:tcW w:w="1572" w:type="dxa"/>
            <w:tcBorders>
              <w:top w:val="single" w:color="auto" w:sz="4" w:space="0"/>
              <w:left w:val="single" w:color="auto" w:sz="6" w:space="0"/>
              <w:bottom w:val="single" w:color="auto" w:sz="6" w:space="0"/>
              <w:right w:val="single" w:color="auto" w:sz="6" w:space="0"/>
            </w:tcBorders>
            <w:vAlign w:val="center"/>
          </w:tcPr>
          <w:p>
            <w:pPr>
              <w:spacing w:beforeLines="50"/>
              <w:jc w:val="center"/>
              <w:rPr>
                <w:rFonts w:hAnsi="宋体" w:cs="宋体"/>
              </w:rPr>
            </w:pPr>
          </w:p>
        </w:tc>
        <w:tc>
          <w:tcPr>
            <w:tcW w:w="1588" w:type="dxa"/>
            <w:tcBorders>
              <w:top w:val="single" w:color="auto" w:sz="4" w:space="0"/>
              <w:left w:val="single" w:color="auto" w:sz="6" w:space="0"/>
              <w:bottom w:val="single" w:color="auto" w:sz="6" w:space="0"/>
              <w:right w:val="single" w:color="auto" w:sz="6" w:space="0"/>
            </w:tcBorders>
            <w:vAlign w:val="center"/>
          </w:tcPr>
          <w:p>
            <w:pPr>
              <w:spacing w:beforeLines="50"/>
              <w:jc w:val="center"/>
              <w:rPr>
                <w:rFonts w:hAnsi="宋体" w:cs="宋体"/>
              </w:rPr>
            </w:pPr>
          </w:p>
        </w:tc>
        <w:tc>
          <w:tcPr>
            <w:tcW w:w="762" w:type="dxa"/>
            <w:tcBorders>
              <w:top w:val="single" w:color="auto" w:sz="4" w:space="0"/>
              <w:left w:val="single" w:color="auto" w:sz="6" w:space="0"/>
              <w:bottom w:val="single" w:color="auto" w:sz="6" w:space="0"/>
              <w:right w:val="single" w:color="auto" w:sz="4" w:space="0"/>
            </w:tcBorders>
            <w:vAlign w:val="center"/>
          </w:tcPr>
          <w:p>
            <w:pPr>
              <w:spacing w:beforeLines="50"/>
              <w:jc w:val="center"/>
              <w:rPr>
                <w:rFonts w:hAnsi="宋体" w:cs="宋体"/>
              </w:rPr>
            </w:pPr>
          </w:p>
        </w:tc>
        <w:tc>
          <w:tcPr>
            <w:tcW w:w="705" w:type="dxa"/>
            <w:tcBorders>
              <w:top w:val="single" w:color="auto" w:sz="4" w:space="0"/>
              <w:left w:val="single" w:color="auto" w:sz="4" w:space="0"/>
              <w:bottom w:val="single" w:color="auto" w:sz="6" w:space="0"/>
              <w:right w:val="single" w:color="auto" w:sz="6" w:space="0"/>
            </w:tcBorders>
            <w:vAlign w:val="center"/>
          </w:tcPr>
          <w:p>
            <w:pPr>
              <w:spacing w:beforeLines="50"/>
              <w:jc w:val="center"/>
              <w:rPr>
                <w:rFonts w:hAnsi="宋体" w:cs="宋体"/>
              </w:rPr>
            </w:pPr>
          </w:p>
        </w:tc>
        <w:tc>
          <w:tcPr>
            <w:tcW w:w="886" w:type="dxa"/>
            <w:tcBorders>
              <w:top w:val="single" w:color="auto" w:sz="4" w:space="0"/>
              <w:left w:val="single" w:color="auto" w:sz="6" w:space="0"/>
              <w:bottom w:val="single" w:color="auto" w:sz="6" w:space="0"/>
              <w:right w:val="single" w:color="auto" w:sz="6" w:space="0"/>
            </w:tcBorders>
            <w:vAlign w:val="center"/>
          </w:tcPr>
          <w:p>
            <w:pPr>
              <w:spacing w:beforeLines="50"/>
              <w:jc w:val="center"/>
              <w:rPr>
                <w:rFonts w:hAnsi="宋体" w:cs="宋体"/>
              </w:rPr>
            </w:pPr>
          </w:p>
        </w:tc>
        <w:tc>
          <w:tcPr>
            <w:tcW w:w="1178" w:type="dxa"/>
            <w:tcBorders>
              <w:top w:val="single" w:color="auto" w:sz="4" w:space="0"/>
              <w:left w:val="single" w:color="auto" w:sz="6" w:space="0"/>
              <w:bottom w:val="single" w:color="auto" w:sz="6" w:space="0"/>
              <w:right w:val="single" w:color="auto" w:sz="6" w:space="0"/>
            </w:tcBorders>
            <w:vAlign w:val="center"/>
          </w:tcPr>
          <w:p>
            <w:pPr>
              <w:spacing w:beforeLines="50"/>
              <w:jc w:val="center"/>
              <w:rPr>
                <w:rFonts w:hAnsi="宋体" w:cs="宋体"/>
              </w:rPr>
            </w:pPr>
          </w:p>
        </w:tc>
      </w:tr>
      <w:tr>
        <w:tblPrEx>
          <w:tblCellMar>
            <w:top w:w="0" w:type="dxa"/>
            <w:left w:w="28" w:type="dxa"/>
            <w:bottom w:w="0" w:type="dxa"/>
            <w:right w:w="28" w:type="dxa"/>
          </w:tblCellMar>
        </w:tblPrEx>
        <w:trPr>
          <w:trHeight w:val="531" w:hRule="atLeast"/>
          <w:jc w:val="center"/>
        </w:trPr>
        <w:tc>
          <w:tcPr>
            <w:tcW w:w="875" w:type="dxa"/>
            <w:vMerge w:val="continue"/>
            <w:tcBorders>
              <w:left w:val="single" w:color="auto" w:sz="6" w:space="0"/>
              <w:right w:val="single" w:color="auto" w:sz="4" w:space="0"/>
            </w:tcBorders>
            <w:vAlign w:val="center"/>
          </w:tcPr>
          <w:p>
            <w:pPr>
              <w:spacing w:beforeLines="100"/>
              <w:jc w:val="center"/>
              <w:rPr>
                <w:rFonts w:hAnsi="宋体" w:cs="宋体"/>
              </w:rPr>
            </w:pPr>
          </w:p>
        </w:tc>
        <w:tc>
          <w:tcPr>
            <w:tcW w:w="536" w:type="dxa"/>
            <w:tcBorders>
              <w:top w:val="single" w:color="auto" w:sz="4" w:space="0"/>
              <w:left w:val="single" w:color="auto" w:sz="4" w:space="0"/>
              <w:bottom w:val="single" w:color="auto" w:sz="6" w:space="0"/>
            </w:tcBorders>
            <w:vAlign w:val="center"/>
          </w:tcPr>
          <w:p>
            <w:pPr>
              <w:spacing w:beforeLines="100"/>
              <w:jc w:val="center"/>
              <w:rPr>
                <w:rFonts w:hAnsi="宋体" w:cs="宋体"/>
              </w:rPr>
            </w:pPr>
            <w:r>
              <w:rPr>
                <w:rFonts w:hint="eastAsia" w:hAnsi="宋体" w:cs="宋体"/>
              </w:rPr>
              <w:t>……</w:t>
            </w:r>
          </w:p>
        </w:tc>
        <w:tc>
          <w:tcPr>
            <w:tcW w:w="797" w:type="dxa"/>
            <w:tcBorders>
              <w:top w:val="single" w:color="auto" w:sz="4" w:space="0"/>
              <w:left w:val="single" w:color="auto" w:sz="6" w:space="0"/>
              <w:bottom w:val="single" w:color="auto" w:sz="6" w:space="0"/>
              <w:right w:val="single" w:color="auto" w:sz="6" w:space="0"/>
            </w:tcBorders>
            <w:vAlign w:val="center"/>
          </w:tcPr>
          <w:p>
            <w:pPr>
              <w:spacing w:beforeLines="50"/>
              <w:jc w:val="center"/>
              <w:rPr>
                <w:rFonts w:hAnsi="宋体" w:cs="宋体"/>
              </w:rPr>
            </w:pPr>
          </w:p>
        </w:tc>
        <w:tc>
          <w:tcPr>
            <w:tcW w:w="1572" w:type="dxa"/>
            <w:tcBorders>
              <w:top w:val="single" w:color="auto" w:sz="4" w:space="0"/>
              <w:left w:val="single" w:color="auto" w:sz="6" w:space="0"/>
              <w:bottom w:val="single" w:color="auto" w:sz="6" w:space="0"/>
              <w:right w:val="single" w:color="auto" w:sz="6" w:space="0"/>
            </w:tcBorders>
            <w:vAlign w:val="center"/>
          </w:tcPr>
          <w:p>
            <w:pPr>
              <w:spacing w:beforeLines="50"/>
              <w:jc w:val="center"/>
              <w:rPr>
                <w:rFonts w:hAnsi="宋体" w:cs="宋体"/>
              </w:rPr>
            </w:pPr>
          </w:p>
        </w:tc>
        <w:tc>
          <w:tcPr>
            <w:tcW w:w="1588" w:type="dxa"/>
            <w:tcBorders>
              <w:top w:val="single" w:color="auto" w:sz="4" w:space="0"/>
              <w:left w:val="single" w:color="auto" w:sz="6" w:space="0"/>
              <w:bottom w:val="single" w:color="auto" w:sz="6" w:space="0"/>
              <w:right w:val="single" w:color="auto" w:sz="6" w:space="0"/>
            </w:tcBorders>
            <w:vAlign w:val="center"/>
          </w:tcPr>
          <w:p>
            <w:pPr>
              <w:spacing w:beforeLines="50"/>
              <w:jc w:val="center"/>
              <w:rPr>
                <w:rFonts w:hAnsi="宋体" w:cs="宋体"/>
              </w:rPr>
            </w:pPr>
          </w:p>
        </w:tc>
        <w:tc>
          <w:tcPr>
            <w:tcW w:w="762" w:type="dxa"/>
            <w:tcBorders>
              <w:top w:val="single" w:color="auto" w:sz="4" w:space="0"/>
              <w:left w:val="single" w:color="auto" w:sz="6" w:space="0"/>
              <w:bottom w:val="single" w:color="auto" w:sz="6" w:space="0"/>
              <w:right w:val="single" w:color="auto" w:sz="4" w:space="0"/>
            </w:tcBorders>
            <w:vAlign w:val="center"/>
          </w:tcPr>
          <w:p>
            <w:pPr>
              <w:spacing w:beforeLines="50"/>
              <w:jc w:val="center"/>
              <w:rPr>
                <w:rFonts w:hAnsi="宋体" w:cs="宋体"/>
              </w:rPr>
            </w:pPr>
          </w:p>
        </w:tc>
        <w:tc>
          <w:tcPr>
            <w:tcW w:w="705" w:type="dxa"/>
            <w:tcBorders>
              <w:top w:val="single" w:color="auto" w:sz="4" w:space="0"/>
              <w:left w:val="single" w:color="auto" w:sz="4" w:space="0"/>
              <w:bottom w:val="single" w:color="auto" w:sz="6" w:space="0"/>
              <w:right w:val="single" w:color="auto" w:sz="6" w:space="0"/>
            </w:tcBorders>
            <w:vAlign w:val="center"/>
          </w:tcPr>
          <w:p>
            <w:pPr>
              <w:spacing w:beforeLines="50"/>
              <w:jc w:val="center"/>
              <w:rPr>
                <w:rFonts w:hAnsi="宋体" w:cs="宋体"/>
              </w:rPr>
            </w:pPr>
          </w:p>
        </w:tc>
        <w:tc>
          <w:tcPr>
            <w:tcW w:w="886" w:type="dxa"/>
            <w:tcBorders>
              <w:top w:val="single" w:color="auto" w:sz="4" w:space="0"/>
              <w:left w:val="single" w:color="auto" w:sz="6" w:space="0"/>
              <w:bottom w:val="single" w:color="auto" w:sz="6" w:space="0"/>
              <w:right w:val="single" w:color="auto" w:sz="6" w:space="0"/>
            </w:tcBorders>
            <w:vAlign w:val="center"/>
          </w:tcPr>
          <w:p>
            <w:pPr>
              <w:spacing w:beforeLines="50"/>
              <w:jc w:val="center"/>
              <w:rPr>
                <w:rFonts w:hAnsi="宋体" w:cs="宋体"/>
              </w:rPr>
            </w:pPr>
          </w:p>
        </w:tc>
        <w:tc>
          <w:tcPr>
            <w:tcW w:w="1178" w:type="dxa"/>
            <w:tcBorders>
              <w:top w:val="single" w:color="auto" w:sz="4" w:space="0"/>
              <w:left w:val="single" w:color="auto" w:sz="6" w:space="0"/>
              <w:bottom w:val="single" w:color="auto" w:sz="6" w:space="0"/>
              <w:right w:val="single" w:color="auto" w:sz="6" w:space="0"/>
            </w:tcBorders>
            <w:vAlign w:val="center"/>
          </w:tcPr>
          <w:p>
            <w:pPr>
              <w:spacing w:beforeLines="50"/>
              <w:jc w:val="center"/>
              <w:rPr>
                <w:rFonts w:hAnsi="宋体" w:cs="宋体"/>
              </w:rPr>
            </w:pPr>
          </w:p>
        </w:tc>
      </w:tr>
      <w:tr>
        <w:tblPrEx>
          <w:tblCellMar>
            <w:top w:w="0" w:type="dxa"/>
            <w:left w:w="28" w:type="dxa"/>
            <w:bottom w:w="0" w:type="dxa"/>
            <w:right w:w="28" w:type="dxa"/>
          </w:tblCellMar>
        </w:tblPrEx>
        <w:trPr>
          <w:trHeight w:val="531" w:hRule="atLeast"/>
          <w:jc w:val="center"/>
        </w:trPr>
        <w:tc>
          <w:tcPr>
            <w:tcW w:w="875" w:type="dxa"/>
            <w:vMerge w:val="continue"/>
            <w:tcBorders>
              <w:left w:val="single" w:color="auto" w:sz="6" w:space="0"/>
              <w:bottom w:val="single" w:color="auto" w:sz="6" w:space="0"/>
              <w:right w:val="single" w:color="auto" w:sz="4" w:space="0"/>
            </w:tcBorders>
            <w:vAlign w:val="center"/>
          </w:tcPr>
          <w:p>
            <w:pPr>
              <w:spacing w:beforeLines="100"/>
              <w:jc w:val="center"/>
              <w:rPr>
                <w:rFonts w:hAnsi="宋体" w:cs="宋体"/>
              </w:rPr>
            </w:pPr>
          </w:p>
        </w:tc>
        <w:tc>
          <w:tcPr>
            <w:tcW w:w="536" w:type="dxa"/>
            <w:tcBorders>
              <w:top w:val="single" w:color="auto" w:sz="4" w:space="0"/>
              <w:left w:val="single" w:color="auto" w:sz="4" w:space="0"/>
              <w:bottom w:val="single" w:color="auto" w:sz="6" w:space="0"/>
            </w:tcBorders>
            <w:vAlign w:val="center"/>
          </w:tcPr>
          <w:p>
            <w:pPr>
              <w:spacing w:beforeLines="100"/>
              <w:jc w:val="center"/>
              <w:rPr>
                <w:rFonts w:hAnsi="宋体" w:cs="宋体"/>
                <w:b/>
              </w:rPr>
            </w:pPr>
            <w:r>
              <w:rPr>
                <w:rFonts w:hint="eastAsia" w:hAnsi="宋体" w:cs="宋体"/>
              </w:rPr>
              <w:t>……</w:t>
            </w:r>
          </w:p>
        </w:tc>
        <w:tc>
          <w:tcPr>
            <w:tcW w:w="797" w:type="dxa"/>
            <w:tcBorders>
              <w:top w:val="single" w:color="auto" w:sz="4" w:space="0"/>
              <w:left w:val="single" w:color="auto" w:sz="6" w:space="0"/>
              <w:bottom w:val="single" w:color="auto" w:sz="6" w:space="0"/>
              <w:right w:val="single" w:color="auto" w:sz="6" w:space="0"/>
            </w:tcBorders>
            <w:vAlign w:val="center"/>
          </w:tcPr>
          <w:p>
            <w:pPr>
              <w:spacing w:beforeLines="50"/>
              <w:jc w:val="center"/>
              <w:rPr>
                <w:rFonts w:hAnsi="宋体" w:cs="宋体"/>
              </w:rPr>
            </w:pPr>
          </w:p>
        </w:tc>
        <w:tc>
          <w:tcPr>
            <w:tcW w:w="1572" w:type="dxa"/>
            <w:tcBorders>
              <w:top w:val="single" w:color="auto" w:sz="4" w:space="0"/>
              <w:left w:val="single" w:color="auto" w:sz="6" w:space="0"/>
              <w:bottom w:val="single" w:color="auto" w:sz="6" w:space="0"/>
              <w:right w:val="single" w:color="auto" w:sz="6" w:space="0"/>
            </w:tcBorders>
            <w:vAlign w:val="center"/>
          </w:tcPr>
          <w:p>
            <w:pPr>
              <w:spacing w:beforeLines="50"/>
              <w:jc w:val="center"/>
              <w:rPr>
                <w:rFonts w:hAnsi="宋体" w:cs="宋体"/>
              </w:rPr>
            </w:pPr>
          </w:p>
        </w:tc>
        <w:tc>
          <w:tcPr>
            <w:tcW w:w="1588" w:type="dxa"/>
            <w:tcBorders>
              <w:top w:val="single" w:color="auto" w:sz="4" w:space="0"/>
              <w:left w:val="single" w:color="auto" w:sz="6" w:space="0"/>
              <w:bottom w:val="single" w:color="auto" w:sz="6" w:space="0"/>
              <w:right w:val="single" w:color="auto" w:sz="6" w:space="0"/>
            </w:tcBorders>
            <w:vAlign w:val="center"/>
          </w:tcPr>
          <w:p>
            <w:pPr>
              <w:spacing w:beforeLines="50"/>
              <w:jc w:val="center"/>
              <w:rPr>
                <w:rFonts w:hAnsi="宋体" w:cs="宋体"/>
              </w:rPr>
            </w:pPr>
          </w:p>
        </w:tc>
        <w:tc>
          <w:tcPr>
            <w:tcW w:w="762" w:type="dxa"/>
            <w:tcBorders>
              <w:top w:val="single" w:color="auto" w:sz="4" w:space="0"/>
              <w:left w:val="single" w:color="auto" w:sz="6" w:space="0"/>
              <w:bottom w:val="single" w:color="auto" w:sz="6" w:space="0"/>
              <w:right w:val="single" w:color="auto" w:sz="4" w:space="0"/>
            </w:tcBorders>
            <w:vAlign w:val="center"/>
          </w:tcPr>
          <w:p>
            <w:pPr>
              <w:spacing w:beforeLines="50"/>
              <w:jc w:val="center"/>
              <w:rPr>
                <w:rFonts w:hAnsi="宋体" w:cs="宋体"/>
              </w:rPr>
            </w:pPr>
          </w:p>
        </w:tc>
        <w:tc>
          <w:tcPr>
            <w:tcW w:w="705" w:type="dxa"/>
            <w:tcBorders>
              <w:top w:val="single" w:color="auto" w:sz="4" w:space="0"/>
              <w:left w:val="single" w:color="auto" w:sz="4" w:space="0"/>
              <w:bottom w:val="single" w:color="auto" w:sz="6" w:space="0"/>
              <w:right w:val="single" w:color="auto" w:sz="6" w:space="0"/>
            </w:tcBorders>
            <w:vAlign w:val="center"/>
          </w:tcPr>
          <w:p>
            <w:pPr>
              <w:spacing w:beforeLines="50"/>
              <w:jc w:val="center"/>
              <w:rPr>
                <w:rFonts w:hAnsi="宋体" w:cs="宋体"/>
              </w:rPr>
            </w:pPr>
          </w:p>
        </w:tc>
        <w:tc>
          <w:tcPr>
            <w:tcW w:w="886" w:type="dxa"/>
            <w:tcBorders>
              <w:top w:val="single" w:color="auto" w:sz="4" w:space="0"/>
              <w:left w:val="single" w:color="auto" w:sz="6" w:space="0"/>
              <w:bottom w:val="single" w:color="auto" w:sz="6" w:space="0"/>
              <w:right w:val="single" w:color="auto" w:sz="6" w:space="0"/>
            </w:tcBorders>
            <w:vAlign w:val="center"/>
          </w:tcPr>
          <w:p>
            <w:pPr>
              <w:spacing w:beforeLines="50"/>
              <w:jc w:val="center"/>
              <w:rPr>
                <w:rFonts w:hAnsi="宋体" w:cs="宋体"/>
              </w:rPr>
            </w:pPr>
          </w:p>
        </w:tc>
        <w:tc>
          <w:tcPr>
            <w:tcW w:w="1178" w:type="dxa"/>
            <w:tcBorders>
              <w:top w:val="single" w:color="auto" w:sz="4" w:space="0"/>
              <w:left w:val="single" w:color="auto" w:sz="6" w:space="0"/>
              <w:bottom w:val="single" w:color="auto" w:sz="6" w:space="0"/>
              <w:right w:val="single" w:color="auto" w:sz="6" w:space="0"/>
            </w:tcBorders>
            <w:vAlign w:val="center"/>
          </w:tcPr>
          <w:p>
            <w:pPr>
              <w:spacing w:beforeLines="50"/>
              <w:jc w:val="center"/>
              <w:rPr>
                <w:rFonts w:hAnsi="宋体" w:cs="宋体"/>
              </w:rPr>
            </w:pPr>
          </w:p>
        </w:tc>
      </w:tr>
      <w:tr>
        <w:tblPrEx>
          <w:tblCellMar>
            <w:top w:w="0" w:type="dxa"/>
            <w:left w:w="28" w:type="dxa"/>
            <w:bottom w:w="0" w:type="dxa"/>
            <w:right w:w="28" w:type="dxa"/>
          </w:tblCellMar>
        </w:tblPrEx>
        <w:trPr>
          <w:trHeight w:val="531" w:hRule="atLeast"/>
          <w:jc w:val="center"/>
        </w:trPr>
        <w:tc>
          <w:tcPr>
            <w:tcW w:w="1411" w:type="dxa"/>
            <w:gridSpan w:val="2"/>
            <w:tcBorders>
              <w:top w:val="single" w:color="auto" w:sz="4" w:space="0"/>
              <w:left w:val="single" w:color="auto" w:sz="6" w:space="0"/>
              <w:bottom w:val="single" w:color="auto" w:sz="6" w:space="0"/>
            </w:tcBorders>
            <w:vAlign w:val="center"/>
          </w:tcPr>
          <w:p>
            <w:pPr>
              <w:spacing w:beforeLines="100"/>
              <w:jc w:val="center"/>
              <w:rPr>
                <w:rFonts w:hAnsi="宋体" w:cs="宋体"/>
              </w:rPr>
            </w:pPr>
            <w:r>
              <w:rPr>
                <w:rFonts w:hint="eastAsia" w:hAnsi="宋体" w:cs="宋体"/>
                <w:color w:val="000000"/>
              </w:rPr>
              <w:t>技术服务费</w:t>
            </w:r>
          </w:p>
        </w:tc>
        <w:tc>
          <w:tcPr>
            <w:tcW w:w="7488" w:type="dxa"/>
            <w:gridSpan w:val="7"/>
            <w:tcBorders>
              <w:top w:val="single" w:color="auto" w:sz="4" w:space="0"/>
              <w:left w:val="single" w:color="auto" w:sz="6" w:space="0"/>
              <w:bottom w:val="single" w:color="auto" w:sz="6" w:space="0"/>
              <w:right w:val="single" w:color="auto" w:sz="6" w:space="0"/>
            </w:tcBorders>
            <w:vAlign w:val="center"/>
          </w:tcPr>
          <w:p>
            <w:pPr>
              <w:spacing w:beforeLines="50"/>
              <w:jc w:val="center"/>
              <w:rPr>
                <w:rFonts w:hAnsi="宋体" w:cs="宋体"/>
              </w:rPr>
            </w:pPr>
          </w:p>
        </w:tc>
      </w:tr>
      <w:tr>
        <w:tblPrEx>
          <w:tblCellMar>
            <w:top w:w="0" w:type="dxa"/>
            <w:left w:w="28" w:type="dxa"/>
            <w:bottom w:w="0" w:type="dxa"/>
            <w:right w:w="28" w:type="dxa"/>
          </w:tblCellMar>
        </w:tblPrEx>
        <w:trPr>
          <w:trHeight w:val="531" w:hRule="atLeast"/>
          <w:jc w:val="center"/>
        </w:trPr>
        <w:tc>
          <w:tcPr>
            <w:tcW w:w="1411" w:type="dxa"/>
            <w:gridSpan w:val="2"/>
            <w:tcBorders>
              <w:top w:val="single" w:color="auto" w:sz="4" w:space="0"/>
              <w:left w:val="single" w:color="auto" w:sz="6" w:space="0"/>
              <w:bottom w:val="single" w:color="auto" w:sz="6" w:space="0"/>
            </w:tcBorders>
            <w:vAlign w:val="center"/>
          </w:tcPr>
          <w:p>
            <w:pPr>
              <w:jc w:val="center"/>
              <w:rPr>
                <w:rFonts w:hAnsi="宋体" w:cs="宋体"/>
              </w:rPr>
            </w:pPr>
            <w:r>
              <w:rPr>
                <w:rFonts w:hint="eastAsia" w:hAnsi="宋体" w:cs="宋体"/>
              </w:rPr>
              <w:t>其他费用</w:t>
            </w:r>
          </w:p>
        </w:tc>
        <w:tc>
          <w:tcPr>
            <w:tcW w:w="7488" w:type="dxa"/>
            <w:gridSpan w:val="7"/>
            <w:tcBorders>
              <w:top w:val="single" w:color="auto" w:sz="4" w:space="0"/>
              <w:left w:val="single" w:color="auto" w:sz="6" w:space="0"/>
              <w:bottom w:val="single" w:color="auto" w:sz="6" w:space="0"/>
              <w:right w:val="single" w:color="auto" w:sz="6" w:space="0"/>
            </w:tcBorders>
            <w:vAlign w:val="center"/>
          </w:tcPr>
          <w:p>
            <w:pPr>
              <w:spacing w:beforeLines="50"/>
              <w:jc w:val="center"/>
              <w:rPr>
                <w:rFonts w:hAnsi="宋体" w:cs="宋体"/>
              </w:rPr>
            </w:pPr>
          </w:p>
        </w:tc>
      </w:tr>
      <w:tr>
        <w:tblPrEx>
          <w:tblCellMar>
            <w:top w:w="0" w:type="dxa"/>
            <w:left w:w="28" w:type="dxa"/>
            <w:bottom w:w="0" w:type="dxa"/>
            <w:right w:w="28" w:type="dxa"/>
          </w:tblCellMar>
        </w:tblPrEx>
        <w:trPr>
          <w:trHeight w:val="531" w:hRule="atLeast"/>
          <w:jc w:val="center"/>
        </w:trPr>
        <w:tc>
          <w:tcPr>
            <w:tcW w:w="1411" w:type="dxa"/>
            <w:gridSpan w:val="2"/>
            <w:tcBorders>
              <w:top w:val="single" w:color="auto" w:sz="4" w:space="0"/>
              <w:left w:val="single" w:color="auto" w:sz="6" w:space="0"/>
              <w:bottom w:val="single" w:color="auto" w:sz="6" w:space="0"/>
            </w:tcBorders>
            <w:vAlign w:val="center"/>
          </w:tcPr>
          <w:p>
            <w:pPr>
              <w:jc w:val="center"/>
              <w:rPr>
                <w:rFonts w:hAnsi="宋体" w:cs="宋体"/>
              </w:rPr>
            </w:pPr>
            <w:r>
              <w:rPr>
                <w:rFonts w:hint="eastAsia" w:hAnsi="宋体" w:cs="宋体"/>
              </w:rPr>
              <w:t>磋商总报价</w:t>
            </w:r>
          </w:p>
        </w:tc>
        <w:tc>
          <w:tcPr>
            <w:tcW w:w="7488" w:type="dxa"/>
            <w:gridSpan w:val="7"/>
            <w:tcBorders>
              <w:top w:val="single" w:color="auto" w:sz="4" w:space="0"/>
              <w:left w:val="single" w:color="auto" w:sz="6" w:space="0"/>
              <w:bottom w:val="single" w:color="auto" w:sz="6" w:space="0"/>
              <w:right w:val="single" w:color="auto" w:sz="6" w:space="0"/>
            </w:tcBorders>
            <w:vAlign w:val="center"/>
          </w:tcPr>
          <w:p>
            <w:pPr>
              <w:spacing w:beforeLines="50"/>
              <w:jc w:val="center"/>
              <w:rPr>
                <w:rFonts w:hAnsi="宋体" w:cs="宋体"/>
              </w:rPr>
            </w:pPr>
            <w:r>
              <w:rPr>
                <w:rFonts w:hint="eastAsia" w:hAnsi="宋体" w:cs="宋体"/>
              </w:rPr>
              <w:t>大写：                           小写：</w:t>
            </w:r>
          </w:p>
        </w:tc>
      </w:tr>
      <w:tr>
        <w:tblPrEx>
          <w:tblCellMar>
            <w:top w:w="0" w:type="dxa"/>
            <w:left w:w="28" w:type="dxa"/>
            <w:bottom w:w="0" w:type="dxa"/>
            <w:right w:w="28" w:type="dxa"/>
          </w:tblCellMar>
        </w:tblPrEx>
        <w:trPr>
          <w:trHeight w:val="531" w:hRule="atLeast"/>
          <w:jc w:val="center"/>
        </w:trPr>
        <w:tc>
          <w:tcPr>
            <w:tcW w:w="1411" w:type="dxa"/>
            <w:gridSpan w:val="2"/>
            <w:tcBorders>
              <w:top w:val="single" w:color="auto" w:sz="4" w:space="0"/>
              <w:left w:val="single" w:color="auto" w:sz="6" w:space="0"/>
              <w:bottom w:val="single" w:color="auto" w:sz="6" w:space="0"/>
            </w:tcBorders>
            <w:vAlign w:val="center"/>
          </w:tcPr>
          <w:p>
            <w:pPr>
              <w:jc w:val="center"/>
              <w:rPr>
                <w:rFonts w:hAnsi="宋体" w:cs="宋体"/>
              </w:rPr>
            </w:pPr>
            <w:r>
              <w:rPr>
                <w:rFonts w:hint="eastAsia" w:hAnsi="宋体" w:cs="宋体"/>
              </w:rPr>
              <w:t>备注</w:t>
            </w:r>
          </w:p>
        </w:tc>
        <w:tc>
          <w:tcPr>
            <w:tcW w:w="7488" w:type="dxa"/>
            <w:gridSpan w:val="7"/>
            <w:tcBorders>
              <w:top w:val="single" w:color="auto" w:sz="4" w:space="0"/>
              <w:left w:val="single" w:color="auto" w:sz="6" w:space="0"/>
              <w:bottom w:val="single" w:color="auto" w:sz="6" w:space="0"/>
              <w:right w:val="single" w:color="auto" w:sz="6" w:space="0"/>
            </w:tcBorders>
            <w:vAlign w:val="center"/>
          </w:tcPr>
          <w:p>
            <w:pPr>
              <w:spacing w:beforeLines="50"/>
              <w:rPr>
                <w:rFonts w:hAnsi="宋体" w:cs="宋体"/>
                <w:spacing w:val="-6"/>
              </w:rPr>
            </w:pPr>
            <w:r>
              <w:rPr>
                <w:rFonts w:hint="eastAsia" w:hAnsi="宋体" w:cs="宋体"/>
                <w:spacing w:val="-6"/>
              </w:rPr>
              <w:t>1、报价保留小数点后两位。</w:t>
            </w:r>
          </w:p>
          <w:p>
            <w:pPr>
              <w:spacing w:beforeLines="50"/>
              <w:rPr>
                <w:rFonts w:hAnsi="宋体" w:cs="宋体"/>
              </w:rPr>
            </w:pPr>
            <w:r>
              <w:rPr>
                <w:rFonts w:hint="eastAsia" w:hAnsi="宋体" w:cs="宋体"/>
                <w:spacing w:val="-6"/>
              </w:rPr>
              <w:t>2、以上所有价格为考虑产品费、运杂费、安调费、技术培训费、验收费、招标代理服务费、税金等和完成本项目所产生的所有费用的货物（产品）综合单价。</w:t>
            </w:r>
          </w:p>
        </w:tc>
      </w:tr>
    </w:tbl>
    <w:p>
      <w:pPr>
        <w:rPr>
          <w:rFonts w:hAnsi="宋体" w:cs="宋体"/>
        </w:rPr>
      </w:pPr>
    </w:p>
    <w:p>
      <w:pPr>
        <w:rPr>
          <w:rFonts w:hAnsi="宋体" w:cs="宋体"/>
        </w:rPr>
      </w:pPr>
    </w:p>
    <w:p>
      <w:pPr>
        <w:spacing w:line="280" w:lineRule="exact"/>
        <w:ind w:right="540" w:rightChars="257"/>
        <w:jc w:val="left"/>
        <w:rPr>
          <w:rFonts w:hAnsi="宋体" w:cs="宋体"/>
          <w:u w:val="single"/>
        </w:rPr>
      </w:pPr>
      <w:r>
        <w:rPr>
          <w:rFonts w:hint="eastAsia" w:hAnsi="宋体" w:cs="宋体"/>
        </w:rPr>
        <w:t>供应商名称：</w:t>
      </w:r>
      <w:r>
        <w:rPr>
          <w:rFonts w:hint="eastAsia" w:hAnsi="宋体" w:cs="宋体"/>
          <w:u w:val="single"/>
        </w:rPr>
        <w:t xml:space="preserve">                                     </w:t>
      </w:r>
    </w:p>
    <w:p>
      <w:pPr>
        <w:spacing w:line="280" w:lineRule="exact"/>
        <w:ind w:right="540" w:rightChars="257"/>
        <w:jc w:val="left"/>
        <w:rPr>
          <w:rFonts w:hAnsi="宋体" w:cs="宋体"/>
        </w:rPr>
      </w:pPr>
    </w:p>
    <w:p>
      <w:pPr>
        <w:spacing w:line="500" w:lineRule="exact"/>
        <w:jc w:val="left"/>
        <w:rPr>
          <w:rFonts w:hAnsi="宋体" w:cs="宋体"/>
          <w:spacing w:val="4"/>
        </w:rPr>
      </w:pPr>
      <w:r>
        <w:rPr>
          <w:rFonts w:hint="eastAsia" w:hAnsi="宋体" w:cs="宋体"/>
          <w:spacing w:val="4"/>
        </w:rPr>
        <w:t>法定代表人或被授权人：</w:t>
      </w:r>
      <w:r>
        <w:rPr>
          <w:rFonts w:hint="eastAsia" w:hAnsi="宋体" w:cs="宋体"/>
          <w:spacing w:val="4"/>
          <w:u w:val="single"/>
        </w:rPr>
        <w:t xml:space="preserve">      </w:t>
      </w:r>
      <w:r>
        <w:rPr>
          <w:rFonts w:hint="eastAsia" w:hAnsi="宋体" w:cs="宋体"/>
          <w:spacing w:val="4"/>
        </w:rPr>
        <w:t>（签字或盖章）</w:t>
      </w:r>
    </w:p>
    <w:p>
      <w:pPr>
        <w:spacing w:line="280" w:lineRule="exact"/>
        <w:ind w:right="540" w:rightChars="257"/>
        <w:jc w:val="left"/>
        <w:rPr>
          <w:rFonts w:hAnsi="宋体" w:cs="宋体"/>
        </w:rPr>
      </w:pPr>
    </w:p>
    <w:p>
      <w:pPr>
        <w:spacing w:line="280" w:lineRule="exact"/>
        <w:ind w:right="540" w:rightChars="257"/>
        <w:rPr>
          <w:rFonts w:hAnsi="宋体" w:cs="宋体"/>
        </w:rPr>
      </w:pPr>
      <w:r>
        <w:rPr>
          <w:rFonts w:hint="eastAsia" w:hAnsi="宋体" w:cs="宋体"/>
        </w:rPr>
        <w:t>日    期：</w:t>
      </w:r>
    </w:p>
    <w:p>
      <w:pPr>
        <w:pStyle w:val="3"/>
      </w:pPr>
    </w:p>
    <w:p>
      <w:pPr>
        <w:pStyle w:val="3"/>
        <w:rPr>
          <w:b/>
          <w:bCs/>
        </w:rPr>
      </w:pPr>
      <w:r>
        <w:rPr>
          <w:rFonts w:hint="eastAsia"/>
          <w:b/>
          <w:bCs/>
        </w:rPr>
        <w:t>备注：供应商须提前准备二次分项报价表，依据磋商情况进行二次报价（此二次分项报价表不用装订于磋商文件中，二次报价为开标现场填报价格，可提前填写名称、品牌、型号和规格、原产地及制造厂名、数量、单位等信息），同时提交本分项报价表。</w:t>
      </w:r>
    </w:p>
    <w:p>
      <w:pPr>
        <w:pStyle w:val="7"/>
        <w:numPr>
          <w:ilvl w:val="3"/>
          <w:numId w:val="0"/>
        </w:numPr>
        <w:ind w:left="864"/>
      </w:pPr>
    </w:p>
    <w:p/>
    <w:p>
      <w:pPr>
        <w:spacing w:line="360" w:lineRule="auto"/>
        <w:jc w:val="center"/>
        <w:rPr>
          <w:rStyle w:val="32"/>
          <w:rFonts w:ascii="宋体" w:hAnsi="宋体" w:cs="宋体"/>
        </w:rPr>
      </w:pPr>
      <w:bookmarkStart w:id="230" w:name="_Toc495908403"/>
      <w:bookmarkStart w:id="231" w:name="_Toc28376"/>
      <w:bookmarkStart w:id="232" w:name="_Toc30878"/>
      <w:bookmarkStart w:id="233" w:name="_Toc20841_WPSOffice_Level1"/>
      <w:bookmarkStart w:id="234" w:name="_Toc14"/>
      <w:bookmarkStart w:id="235" w:name="_Toc30216"/>
      <w:r>
        <w:rPr>
          <w:rStyle w:val="32"/>
          <w:rFonts w:hint="eastAsia" w:ascii="宋体" w:hAnsi="宋体" w:cs="宋体"/>
        </w:rPr>
        <w:t>第六部分 封袋正面标识式样</w:t>
      </w:r>
      <w:bookmarkEnd w:id="230"/>
      <w:bookmarkEnd w:id="231"/>
      <w:bookmarkEnd w:id="232"/>
      <w:bookmarkEnd w:id="233"/>
      <w:bookmarkEnd w:id="234"/>
    </w:p>
    <w:bookmarkEnd w:id="235"/>
    <w:p>
      <w:pPr>
        <w:spacing w:line="460" w:lineRule="exact"/>
        <w:rPr>
          <w:rFonts w:ascii="宋体" w:hAnsi="宋体" w:cs="宋体"/>
          <w:kern w:val="0"/>
          <w:sz w:val="28"/>
          <w:szCs w:val="28"/>
        </w:rPr>
      </w:pPr>
      <w:r>
        <w:rPr>
          <w:rFonts w:hint="eastAsia" w:ascii="宋体" w:hAnsi="宋体" w:cs="宋体"/>
          <w:b/>
          <w:sz w:val="28"/>
          <w:szCs w:val="28"/>
        </w:rPr>
        <w:t>格式A：磋商响应文件封袋正面标识式样</w:t>
      </w:r>
    </w:p>
    <w:p>
      <w:pPr>
        <w:spacing w:line="360" w:lineRule="auto"/>
        <w:ind w:right="454"/>
        <w:jc w:val="center"/>
        <w:rPr>
          <w:rFonts w:ascii="宋体" w:hAnsi="宋体" w:cs="宋体"/>
          <w:b/>
          <w:sz w:val="36"/>
          <w:szCs w:val="36"/>
        </w:rPr>
      </w:pPr>
      <w:r>
        <w:rPr>
          <w:rFonts w:ascii="宋体" w:hAnsi="宋体" w:cs="宋体"/>
          <w:b/>
          <w:sz w:val="28"/>
          <w:szCs w:val="28"/>
        </w:rPr>
        <w:pict>
          <v:shape id="_x0000_s1026" o:spid="_x0000_s1026" o:spt="202" type="#_x0000_t202" style="position:absolute;left:0pt;margin-left:3.3pt;margin-top:8.35pt;height:560.3pt;width:487.4pt;z-index:251659264;mso-width-relative:page;mso-height-relative:page;" coordsize="21600,21600" o:gfxdata="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">
            <v:path/>
            <v:fill focussize="0,0"/>
            <v:stroke joinstyle="miter"/>
            <v:imagedata o:title=""/>
            <o:lock v:ext="edit"/>
            <v:textbox>
              <w:txbxContent>
                <w:p>
                  <w:pPr>
                    <w:rPr>
                      <w:sz w:val="28"/>
                      <w:szCs w:val="28"/>
                    </w:rPr>
                  </w:pPr>
                  <w:r>
                    <w:rPr>
                      <w:rFonts w:hint="eastAsia"/>
                      <w:sz w:val="28"/>
                      <w:szCs w:val="28"/>
                    </w:rPr>
                    <w:t>致：陕西盛世嘉和招标有限公司</w:t>
                  </w:r>
                </w:p>
                <w:p>
                  <w:pPr>
                    <w:rPr>
                      <w:color w:val="FF0000"/>
                      <w:sz w:val="28"/>
                      <w:szCs w:val="28"/>
                    </w:rPr>
                  </w:pPr>
                  <w:r>
                    <w:rPr>
                      <w:rFonts w:hint="eastAsia"/>
                      <w:sz w:val="28"/>
                      <w:szCs w:val="28"/>
                    </w:rPr>
                    <w:t>项目编号：</w:t>
                  </w:r>
                </w:p>
                <w:p>
                  <w:pPr>
                    <w:rPr>
                      <w:sz w:val="28"/>
                      <w:szCs w:val="28"/>
                    </w:rPr>
                  </w:pPr>
                  <w:r>
                    <w:rPr>
                      <w:rFonts w:hint="eastAsia"/>
                      <w:sz w:val="28"/>
                      <w:szCs w:val="28"/>
                    </w:rPr>
                    <w:t>项目名称：</w:t>
                  </w:r>
                </w:p>
                <w:p>
                  <w:pPr>
                    <w:jc w:val="center"/>
                    <w:rPr>
                      <w:sz w:val="28"/>
                      <w:szCs w:val="28"/>
                    </w:rPr>
                  </w:pPr>
                </w:p>
                <w:p>
                  <w:pPr>
                    <w:rPr>
                      <w:sz w:val="28"/>
                      <w:szCs w:val="28"/>
                    </w:rPr>
                  </w:pPr>
                </w:p>
                <w:p>
                  <w:pPr>
                    <w:rPr>
                      <w:sz w:val="28"/>
                      <w:szCs w:val="28"/>
                    </w:rPr>
                  </w:pPr>
                </w:p>
                <w:p>
                  <w:pPr>
                    <w:rPr>
                      <w:sz w:val="28"/>
                      <w:szCs w:val="28"/>
                    </w:rPr>
                  </w:pPr>
                </w:p>
                <w:p>
                  <w:pPr>
                    <w:rPr>
                      <w:sz w:val="28"/>
                      <w:szCs w:val="28"/>
                    </w:rPr>
                  </w:pPr>
                </w:p>
                <w:p>
                  <w:pPr>
                    <w:jc w:val="center"/>
                    <w:rPr>
                      <w:b/>
                      <w:sz w:val="44"/>
                      <w:szCs w:val="44"/>
                    </w:rPr>
                  </w:pPr>
                  <w:r>
                    <w:rPr>
                      <w:rFonts w:hint="eastAsia"/>
                      <w:b/>
                      <w:sz w:val="44"/>
                      <w:szCs w:val="44"/>
                    </w:rPr>
                    <w:t>磋商响应文件正本（副本/电子版）</w:t>
                  </w:r>
                </w:p>
                <w:p>
                  <w:pPr>
                    <w:jc w:val="center"/>
                    <w:rPr>
                      <w:sz w:val="28"/>
                      <w:szCs w:val="28"/>
                    </w:rPr>
                  </w:pPr>
                  <w:r>
                    <w:rPr>
                      <w:rFonts w:hint="eastAsia"/>
                      <w:sz w:val="28"/>
                      <w:szCs w:val="28"/>
                    </w:rPr>
                    <w:t>（磋商响应文件在2020年  月  日       时前不得开启）</w:t>
                  </w:r>
                </w:p>
                <w:p>
                  <w:pPr>
                    <w:rPr>
                      <w:sz w:val="28"/>
                      <w:szCs w:val="28"/>
                    </w:rPr>
                  </w:pPr>
                </w:p>
                <w:p>
                  <w:pPr>
                    <w:rPr>
                      <w:sz w:val="28"/>
                      <w:szCs w:val="28"/>
                    </w:rPr>
                  </w:pPr>
                </w:p>
                <w:p>
                  <w:pPr>
                    <w:rPr>
                      <w:sz w:val="28"/>
                      <w:szCs w:val="28"/>
                    </w:rPr>
                  </w:pPr>
                </w:p>
                <w:p>
                  <w:pPr>
                    <w:rPr>
                      <w:sz w:val="28"/>
                      <w:szCs w:val="28"/>
                    </w:rPr>
                  </w:pPr>
                </w:p>
                <w:p>
                  <w:pPr>
                    <w:ind w:firstLine="2520" w:firstLineChars="900"/>
                    <w:rPr>
                      <w:sz w:val="28"/>
                      <w:szCs w:val="28"/>
                    </w:rPr>
                  </w:pPr>
                  <w:r>
                    <w:rPr>
                      <w:rFonts w:hint="eastAsia"/>
                      <w:sz w:val="28"/>
                      <w:szCs w:val="28"/>
                    </w:rPr>
                    <w:t>供应商名称：           （公章）</w:t>
                  </w:r>
                </w:p>
                <w:p>
                  <w:pPr>
                    <w:rPr>
                      <w:sz w:val="28"/>
                      <w:szCs w:val="28"/>
                    </w:rPr>
                  </w:pPr>
                </w:p>
              </w:txbxContent>
            </v:textbox>
          </v:shape>
        </w:pict>
      </w:r>
    </w:p>
    <w:p>
      <w:pPr>
        <w:pStyle w:val="31"/>
        <w:rPr>
          <w:rFonts w:ascii="宋体" w:hAnsi="宋体" w:cs="宋体"/>
          <w:b/>
          <w:sz w:val="36"/>
          <w:szCs w:val="36"/>
        </w:rPr>
      </w:pPr>
    </w:p>
    <w:p>
      <w:pPr>
        <w:pStyle w:val="31"/>
        <w:rPr>
          <w:rFonts w:ascii="宋体" w:hAnsi="宋体" w:cs="宋体"/>
          <w:b/>
          <w:sz w:val="36"/>
          <w:szCs w:val="36"/>
        </w:rPr>
      </w:pPr>
    </w:p>
    <w:p>
      <w:pPr>
        <w:pStyle w:val="31"/>
        <w:rPr>
          <w:rFonts w:ascii="宋体" w:hAnsi="宋体" w:cs="宋体"/>
          <w:b/>
          <w:sz w:val="36"/>
          <w:szCs w:val="36"/>
        </w:rPr>
      </w:pPr>
    </w:p>
    <w:p>
      <w:pPr>
        <w:pStyle w:val="31"/>
        <w:rPr>
          <w:rFonts w:ascii="宋体" w:hAnsi="宋体" w:cs="宋体"/>
          <w:b/>
          <w:sz w:val="36"/>
          <w:szCs w:val="36"/>
        </w:rPr>
      </w:pPr>
    </w:p>
    <w:p>
      <w:pPr>
        <w:pStyle w:val="31"/>
        <w:rPr>
          <w:rFonts w:ascii="宋体" w:hAnsi="宋体" w:cs="宋体"/>
          <w:b/>
          <w:sz w:val="36"/>
          <w:szCs w:val="36"/>
        </w:rPr>
      </w:pPr>
    </w:p>
    <w:p>
      <w:pPr>
        <w:pStyle w:val="31"/>
        <w:rPr>
          <w:rFonts w:ascii="宋体" w:hAnsi="宋体" w:cs="宋体"/>
          <w:b/>
          <w:sz w:val="36"/>
          <w:szCs w:val="36"/>
        </w:rPr>
      </w:pPr>
    </w:p>
    <w:p>
      <w:pPr>
        <w:pStyle w:val="31"/>
        <w:rPr>
          <w:rFonts w:ascii="宋体" w:hAnsi="宋体" w:cs="宋体"/>
          <w:b/>
          <w:sz w:val="36"/>
          <w:szCs w:val="36"/>
        </w:rPr>
      </w:pPr>
    </w:p>
    <w:p>
      <w:pPr>
        <w:pStyle w:val="31"/>
        <w:rPr>
          <w:rFonts w:ascii="宋体" w:hAnsi="宋体" w:cs="宋体"/>
          <w:b/>
          <w:sz w:val="36"/>
          <w:szCs w:val="36"/>
        </w:rPr>
      </w:pPr>
    </w:p>
    <w:p>
      <w:pPr>
        <w:pStyle w:val="31"/>
        <w:rPr>
          <w:rFonts w:ascii="宋体" w:hAnsi="宋体" w:cs="宋体"/>
          <w:b/>
          <w:sz w:val="36"/>
          <w:szCs w:val="36"/>
        </w:rPr>
      </w:pPr>
    </w:p>
    <w:p>
      <w:pPr>
        <w:pStyle w:val="31"/>
        <w:rPr>
          <w:rFonts w:ascii="宋体" w:hAnsi="宋体" w:cs="宋体"/>
          <w:b/>
          <w:sz w:val="36"/>
          <w:szCs w:val="36"/>
        </w:rPr>
      </w:pPr>
    </w:p>
    <w:p>
      <w:pPr>
        <w:pStyle w:val="31"/>
        <w:rPr>
          <w:rFonts w:ascii="宋体" w:hAnsi="宋体" w:cs="宋体"/>
          <w:b/>
          <w:sz w:val="36"/>
          <w:szCs w:val="36"/>
        </w:rPr>
      </w:pPr>
    </w:p>
    <w:p>
      <w:pPr>
        <w:pStyle w:val="31"/>
        <w:rPr>
          <w:rFonts w:ascii="宋体" w:hAnsi="宋体" w:cs="宋体"/>
          <w:b/>
          <w:sz w:val="36"/>
          <w:szCs w:val="36"/>
        </w:rPr>
      </w:pPr>
    </w:p>
    <w:p>
      <w:pPr>
        <w:pStyle w:val="31"/>
        <w:rPr>
          <w:rFonts w:ascii="宋体" w:hAnsi="宋体" w:cs="宋体"/>
          <w:b/>
          <w:sz w:val="36"/>
          <w:szCs w:val="36"/>
        </w:rPr>
      </w:pPr>
    </w:p>
    <w:p>
      <w:pPr>
        <w:pStyle w:val="31"/>
        <w:rPr>
          <w:rFonts w:ascii="宋体" w:hAnsi="宋体" w:cs="宋体"/>
          <w:b/>
          <w:sz w:val="36"/>
          <w:szCs w:val="36"/>
        </w:rPr>
      </w:pPr>
    </w:p>
    <w:p>
      <w:pPr>
        <w:pStyle w:val="31"/>
        <w:rPr>
          <w:rFonts w:ascii="宋体" w:hAnsi="宋体" w:cs="宋体"/>
          <w:b/>
          <w:sz w:val="36"/>
          <w:szCs w:val="36"/>
        </w:rPr>
      </w:pPr>
    </w:p>
    <w:p>
      <w:pPr>
        <w:pStyle w:val="31"/>
        <w:rPr>
          <w:rFonts w:ascii="宋体" w:hAnsi="宋体" w:cs="宋体"/>
          <w:b/>
          <w:sz w:val="36"/>
          <w:szCs w:val="36"/>
        </w:rPr>
      </w:pPr>
    </w:p>
    <w:p>
      <w:pPr>
        <w:pStyle w:val="31"/>
        <w:rPr>
          <w:rFonts w:ascii="宋体" w:hAnsi="宋体" w:cs="宋体"/>
          <w:b/>
          <w:sz w:val="36"/>
          <w:szCs w:val="36"/>
        </w:rPr>
      </w:pPr>
    </w:p>
    <w:p>
      <w:pPr>
        <w:pStyle w:val="31"/>
        <w:rPr>
          <w:rFonts w:ascii="宋体" w:hAnsi="宋体" w:cs="宋体"/>
          <w:b/>
          <w:sz w:val="36"/>
          <w:szCs w:val="36"/>
        </w:rPr>
      </w:pPr>
    </w:p>
    <w:p/>
    <w:sectPr>
      <w:pgSz w:w="11906" w:h="16838"/>
      <w:pgMar w:top="1440" w:right="1080" w:bottom="1440" w:left="1080" w:header="1077" w:footer="907" w:gutter="0"/>
      <w:cols w:space="720"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_GB2312">
    <w:altName w:val="楷体"/>
    <w:panose1 w:val="00000000000000000000"/>
    <w:charset w:val="86"/>
    <w:family w:val="modern"/>
    <w:pitch w:val="default"/>
    <w:sig w:usb0="00000000" w:usb1="00000000" w:usb2="00000010" w:usb3="00000000" w:csb0="00040000" w:csb1="00000000"/>
  </w:font>
  <w:font w:name="Consolas">
    <w:panose1 w:val="020B0609020204030204"/>
    <w:charset w:val="00"/>
    <w:family w:val="modern"/>
    <w:pitch w:val="default"/>
    <w:sig w:usb0="E00006FF" w:usb1="0000FCFF" w:usb2="00000001" w:usb3="00000000" w:csb0="6000019F" w:csb1="DFD70000"/>
  </w:font>
  <w:font w:name="Arial Unicode MS">
    <w:altName w:val="宋体"/>
    <w:panose1 w:val="020B0604020202020204"/>
    <w:charset w:val="86"/>
    <w:family w:val="roman"/>
    <w:pitch w:val="default"/>
    <w:sig w:usb0="00000000" w:usb1="00000000" w:usb2="0000003F" w:usb3="00000000" w:csb0="603F01FF" w:csb1="FFFF0000"/>
  </w:font>
  <w:font w:name="Cambria">
    <w:panose1 w:val="02040503050406030204"/>
    <w:charset w:val="00"/>
    <w:family w:val="roman"/>
    <w:pitch w:val="default"/>
    <w:sig w:usb0="E00006FF" w:usb1="420024FF" w:usb2="02000000" w:usb3="00000000" w:csb0="2000019F" w:csb1="00000000"/>
  </w:font>
  <w:font w:name="仿宋_GB2312">
    <w:altName w:val="仿宋"/>
    <w:panose1 w:val="02010609030101010101"/>
    <w:charset w:val="86"/>
    <w:family w:val="modern"/>
    <w:pitch w:val="default"/>
    <w:sig w:usb0="00000000" w:usb1="00000000" w:usb2="00000010" w:usb3="00000000" w:csb0="00040000" w:csb1="00000000"/>
  </w:font>
  <w:font w:name="MS Mincho">
    <w:altName w:val="Yu Gothic UI"/>
    <w:panose1 w:val="02020609040205080304"/>
    <w:charset w:val="80"/>
    <w:family w:val="roman"/>
    <w:pitch w:val="default"/>
    <w:sig w:usb0="00000000" w:usb1="00000000" w:usb2="00000012" w:usb3="00000000" w:csb0="4002009F" w:csb1="DFD7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spacing w:line="276" w:lineRule="auto"/>
      <w:jc w:val="center"/>
      <w:rPr>
        <w:rFonts w:ascii="宋体" w:hAnsi="宋体"/>
        <w:b/>
        <w:sz w:val="21"/>
        <w:szCs w:val="21"/>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spacing w:line="276" w:lineRule="auto"/>
      <w:jc w:val="center"/>
      <w:rPr>
        <w:rFonts w:ascii="宋体" w:hAnsi="宋体"/>
        <w:b/>
        <w:sz w:val="21"/>
        <w:szCs w:val="21"/>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both"/>
    </w:pPr>
    <w:r>
      <w:pict>
        <v:shape id="_x0000_s2052" o:spid="_x0000_s2052" o:spt="202" type="#_x0000_t202" style="position:absolute;left:0pt;margin-top:0pt;height:10.35pt;width:15pt;mso-position-horizontal:center;mso-position-horizontal-relative:margin;mso-wrap-style:none;z-index:251661312;mso-width-relative:page;mso-height-relative:page;" filled="f" stroked="f" coordsize="21600,21600" o:gfxdata="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">
          <v:path/>
          <v:fill on="f" focussize="0,0"/>
          <v:stroke on="f" joinstyle="miter"/>
          <v:imagedata o:title=""/>
          <o:lock v:ext="edit"/>
          <v:textbox inset="0mm,0mm,0mm,0mm" style="mso-fit-shape-to-text:t;">
            <w:txbxContent>
              <w:p>
                <w:pPr>
                  <w:pStyle w:val="14"/>
                </w:pPr>
                <w:r>
                  <w:fldChar w:fldCharType="begin"/>
                </w:r>
                <w:r>
                  <w:instrText xml:space="preserve"> PAGE  \* MERGEFORMAT </w:instrText>
                </w:r>
                <w:r>
                  <w:fldChar w:fldCharType="separate"/>
                </w:r>
                <w:r>
                  <w:t>5</w:t>
                </w:r>
                <w:r>
                  <w:fldChar w:fldCharType="end"/>
                </w:r>
              </w:p>
            </w:txbxContent>
          </v:textbox>
        </v:shape>
      </w:pic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Bdr>
        <w:top w:val="double" w:color="auto" w:sz="4" w:space="1"/>
      </w:pBdr>
      <w:tabs>
        <w:tab w:val="center" w:pos="4685"/>
      </w:tabs>
    </w:pPr>
    <w:r>
      <w:pict>
        <v:shape id="_x0000_s2050" o:spid="_x0000_s2050"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GA044yAgAAY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4YDTjjICAABhBAAADgAAAAAAAAABACAAAAAfAQAAZHJzL2Uyb0RvYy54bWxQSwUG&#10;AAAAAAYABgBZAQAAwwUAAAAA&#10;">
          <v:path/>
          <v:fill on="f" focussize="0,0"/>
          <v:stroke on="f" weight="0.5pt" joinstyle="miter"/>
          <v:imagedata o:title=""/>
          <o:lock v:ext="edit"/>
          <v:textbox inset="0mm,0mm,0mm,0mm" style="mso-fit-shape-to-text:t;">
            <w:txbxContent>
              <w:p>
                <w:pPr>
                  <w:pStyle w:val="14"/>
                </w:pPr>
                <w:r>
                  <w:rPr>
                    <w:rFonts w:hint="eastAsia"/>
                  </w:rPr>
                  <w:t xml:space="preserve">第 </w:t>
                </w:r>
                <w:r>
                  <w:fldChar w:fldCharType="begin"/>
                </w:r>
                <w:r>
                  <w:instrText xml:space="preserve"> PAGE  \* MERGEFORMAT </w:instrText>
                </w:r>
                <w:r>
                  <w:fldChar w:fldCharType="separate"/>
                </w:r>
                <w:r>
                  <w:t>7</w:t>
                </w:r>
                <w:r>
                  <w:fldChar w:fldCharType="end"/>
                </w:r>
                <w:r>
                  <w:rPr>
                    <w:rFonts w:hint="eastAsia"/>
                  </w:rPr>
                  <w:t xml:space="preserve"> 页</w:t>
                </w:r>
              </w:p>
            </w:txbxContent>
          </v:textbox>
        </v:shape>
      </w:pict>
    </w:r>
  </w:p>
  <w:p>
    <w:pPr>
      <w:pStyle w:val="14"/>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Bdr>
        <w:top w:val="double" w:color="auto" w:sz="4" w:space="1"/>
      </w:pBdr>
      <w:tabs>
        <w:tab w:val="center" w:pos="4819"/>
      </w:tabs>
    </w:pPr>
    <w:r>
      <w:pict>
        <v:shape id="_x0000_s2051" o:spid="_x0000_s2051"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qMOCsyAgAAY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5RoplCwU/fv51+&#10;/Dr9/Equojyt9TNEPVjEhe6t6dA0w7nHYWTdVU7FL/gQ+CHu8SKu6ALh8dJ0Mp3mcHH4hg3ws8fr&#10;1vnwThhFolFQh+olUdlh40MfOoTEbNqsGylTBaUmbUGvX7/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uow4KzICAABhBAAADgAAAAAAAAABACAAAAAfAQAAZHJzL2Uyb0RvYy54bWxQSwUG&#10;AAAAAAYABgBZAQAAwwUAAAAA&#10;">
          <v:path/>
          <v:fill on="f" focussize="0,0"/>
          <v:stroke on="f" weight="0.5pt" joinstyle="miter"/>
          <v:imagedata o:title=""/>
          <o:lock v:ext="edit"/>
          <v:textbox inset="0mm,0mm,0mm,0mm" style="mso-fit-shape-to-text:t;">
            <w:txbxContent>
              <w:p>
                <w:pPr>
                  <w:pStyle w:val="14"/>
                </w:pPr>
                <w:r>
                  <w:rPr>
                    <w:rFonts w:hint="eastAsia"/>
                  </w:rPr>
                  <w:t xml:space="preserve">第 </w:t>
                </w:r>
                <w:r>
                  <w:fldChar w:fldCharType="begin"/>
                </w:r>
                <w:r>
                  <w:instrText xml:space="preserve"> PAGE  \* MERGEFORMAT </w:instrText>
                </w:r>
                <w:r>
                  <w:fldChar w:fldCharType="separate"/>
                </w:r>
                <w:r>
                  <w:t>24</w:t>
                </w:r>
                <w:r>
                  <w:fldChar w:fldCharType="end"/>
                </w:r>
                <w:r>
                  <w:rPr>
                    <w:rFonts w:hint="eastAsia"/>
                  </w:rPr>
                  <w:t xml:space="preserve"> 页</w:t>
                </w:r>
              </w:p>
            </w:txbxContent>
          </v:textbox>
        </v:shape>
      </w:pic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Bdr>
        <w:top w:val="double" w:color="auto" w:sz="4" w:space="1"/>
      </w:pBdr>
      <w:tabs>
        <w:tab w:val="center" w:pos="4685"/>
      </w:tabs>
    </w:pPr>
    <w:r>
      <w:pict>
        <v:shape id="_x0000_s2049" o:spid="_x0000_s2049" o:spt="202" type="#_x0000_t202" style="position:absolute;left:0pt;margin-top:0pt;height:144pt;width:144pt;mso-position-horizontal:center;mso-position-horizontal-relative:margin;mso-wrap-style:none;z-index:25166438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wiRJeMQIAAGEEAAAOAAAAAAAAAAEAIAAAAB8BAABkcnMvZTJvRG9jLnhtbFBLBQYA&#10;AAAABgAGAFkBAADCBQAAAAA=&#10;">
          <v:path/>
          <v:fill on="f" focussize="0,0"/>
          <v:stroke on="f" weight="0.5pt" joinstyle="miter"/>
          <v:imagedata o:title=""/>
          <o:lock v:ext="edit"/>
          <v:textbox inset="0mm,0mm,0mm,0mm" style="mso-fit-shape-to-text:t;">
            <w:txbxContent>
              <w:p>
                <w:pPr>
                  <w:pStyle w:val="14"/>
                </w:pPr>
                <w:r>
                  <w:rPr>
                    <w:rFonts w:hint="eastAsia"/>
                  </w:rPr>
                  <w:t xml:space="preserve">第 </w:t>
                </w:r>
                <w:r>
                  <w:fldChar w:fldCharType="begin"/>
                </w:r>
                <w:r>
                  <w:instrText xml:space="preserve"> PAGE  \* MERGEFORMAT </w:instrText>
                </w:r>
                <w:r>
                  <w:fldChar w:fldCharType="separate"/>
                </w:r>
                <w:r>
                  <w:t>40</w:t>
                </w:r>
                <w:r>
                  <w:fldChar w:fldCharType="end"/>
                </w:r>
                <w:r>
                  <w:rPr>
                    <w:rFonts w:hint="eastAsia"/>
                  </w:rPr>
                  <w:t xml:space="preserve"> 页</w:t>
                </w:r>
              </w:p>
            </w:txbxContent>
          </v:textbox>
        </v:shape>
      </w:pict>
    </w:r>
  </w:p>
  <w:p>
    <w:pPr>
      <w:pStyle w:val="14"/>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pBdr>
        <w:bottom w:val="none" w:color="auto" w:sz="0" w:space="1"/>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jc w:val="left"/>
    </w:pPr>
    <w:r>
      <w:rPr>
        <w:rFonts w:hint="eastAsia"/>
      </w:rPr>
      <w:t xml:space="preserve">西安市阎良区西飞第一中学智慧校园综合管理平台建设项目                                 </w:t>
    </w:r>
    <w:r>
      <w:t>SXSJHT2020-</w:t>
    </w:r>
    <w:r>
      <w:rPr>
        <w:rFonts w:hint="eastAsia"/>
      </w:rPr>
      <w:t>304</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jc w:val="left"/>
    </w:pPr>
    <w:r>
      <w:rPr>
        <w:rFonts w:hint="eastAsia"/>
      </w:rPr>
      <w:t xml:space="preserve">西安市阎良区西飞第一中学智慧校园综合管理平台建设项目                                 </w:t>
    </w:r>
    <w:r>
      <w:t>SXSJHT2020-</w:t>
    </w:r>
    <w:r>
      <w:rPr>
        <w:rFonts w:hint="eastAsia"/>
      </w:rPr>
      <w:t>304</w: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jc w:val="left"/>
    </w:pPr>
    <w:r>
      <w:rPr>
        <w:rFonts w:hint="eastAsia"/>
      </w:rPr>
      <w:t xml:space="preserve">西安市阎良区西飞第一中学智慧校园综合管理平台建设项目                                 </w:t>
    </w:r>
    <w:r>
      <w:t>SXSJHT2020-</w:t>
    </w:r>
    <w:r>
      <w:rPr>
        <w:rFonts w:hint="eastAsia"/>
      </w:rPr>
      <w:t>304</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5FE42F3"/>
    <w:multiLevelType w:val="multilevel"/>
    <w:tmpl w:val="55FE42F3"/>
    <w:lvl w:ilvl="0" w:tentative="0">
      <w:start w:val="1"/>
      <w:numFmt w:val="decimal"/>
      <w:lvlText w:val="%1"/>
      <w:lvlJc w:val="left"/>
      <w:pPr>
        <w:ind w:left="432" w:hanging="432"/>
      </w:pPr>
    </w:lvl>
    <w:lvl w:ilvl="1" w:tentative="0">
      <w:start w:val="1"/>
      <w:numFmt w:val="decimal"/>
      <w:lvlText w:val="%1.%2"/>
      <w:lvlJc w:val="left"/>
      <w:pPr>
        <w:ind w:left="718" w:hanging="576"/>
      </w:pPr>
    </w:lvl>
    <w:lvl w:ilvl="2" w:tentative="0">
      <w:start w:val="1"/>
      <w:numFmt w:val="decimal"/>
      <w:lvlText w:val="%1.%2.%3"/>
      <w:lvlJc w:val="left"/>
      <w:pPr>
        <w:ind w:left="720" w:hanging="720"/>
      </w:pPr>
    </w:lvl>
    <w:lvl w:ilvl="3" w:tentative="0">
      <w:start w:val="1"/>
      <w:numFmt w:val="decimal"/>
      <w:pStyle w:val="7"/>
      <w:lvlText w:val="%1.%2.%3.%4"/>
      <w:lvlJc w:val="left"/>
      <w:pPr>
        <w:ind w:left="864" w:hanging="864"/>
      </w:pPr>
    </w:lvl>
    <w:lvl w:ilvl="4" w:tentative="0">
      <w:start w:val="1"/>
      <w:numFmt w:val="decimal"/>
      <w:lvlText w:val="%1.%2.%3.%4.%5"/>
      <w:lvlJc w:val="left"/>
      <w:pPr>
        <w:ind w:left="1008" w:hanging="1008"/>
      </w:pPr>
    </w:lvl>
    <w:lvl w:ilvl="5" w:tentative="0">
      <w:start w:val="1"/>
      <w:numFmt w:val="decimal"/>
      <w:lvlText w:val="%1.%2.%3.%4.%5.%6"/>
      <w:lvlJc w:val="left"/>
      <w:pPr>
        <w:ind w:left="1152" w:hanging="1152"/>
      </w:pPr>
      <w:rPr>
        <w:rFonts w:hint="eastAsia"/>
      </w:rPr>
    </w:lvl>
    <w:lvl w:ilvl="6" w:tentative="0">
      <w:start w:val="1"/>
      <w:numFmt w:val="decimal"/>
      <w:lvlText w:val="%1.%2.%3.%4.%5.%6.%7"/>
      <w:lvlJc w:val="left"/>
      <w:pPr>
        <w:ind w:left="1296" w:hanging="1296"/>
      </w:pPr>
      <w:rPr>
        <w:rFonts w:hint="eastAsia"/>
      </w:rPr>
    </w:lvl>
    <w:lvl w:ilvl="7" w:tentative="0">
      <w:start w:val="1"/>
      <w:numFmt w:val="decimal"/>
      <w:lvlText w:val="%1.%2.%3.%4.%5.%6.%7.%8"/>
      <w:lvlJc w:val="left"/>
      <w:pPr>
        <w:ind w:left="1440" w:hanging="1440"/>
      </w:pPr>
      <w:rPr>
        <w:rFonts w:hint="eastAsia"/>
      </w:rPr>
    </w:lvl>
    <w:lvl w:ilvl="8" w:tentative="0">
      <w:start w:val="1"/>
      <w:numFmt w:val="decimal"/>
      <w:lvlText w:val="%1.%2.%3.%4.%5.%6.%7.%8.%9"/>
      <w:lvlJc w:val="left"/>
      <w:pPr>
        <w:ind w:left="1584" w:hanging="1584"/>
      </w:pPr>
      <w:rPr>
        <w:rFonts w:hint="eastAsia"/>
      </w:rPr>
    </w:lvl>
  </w:abstractNum>
  <w:abstractNum w:abstractNumId="1">
    <w:nsid w:val="63F42D2B"/>
    <w:multiLevelType w:val="singleLevel"/>
    <w:tmpl w:val="63F42D2B"/>
    <w:lvl w:ilvl="0" w:tentative="0">
      <w:start w:val="3"/>
      <w:numFmt w:val="chineseCounting"/>
      <w:suff w:val="space"/>
      <w:lvlText w:val="第%1部分"/>
      <w:lvlJc w:val="left"/>
      <w:rPr>
        <w:rFonts w:hint="eastAsia"/>
      </w:rPr>
    </w:lvl>
  </w:abstractNum>
  <w:abstractNum w:abstractNumId="2">
    <w:nsid w:val="7E7B1632"/>
    <w:multiLevelType w:val="singleLevel"/>
    <w:tmpl w:val="7E7B1632"/>
    <w:lvl w:ilvl="0" w:tentative="0">
      <w:start w:val="6"/>
      <w:numFmt w:val="chineseCounting"/>
      <w:suff w:val="nothing"/>
      <w:lvlText w:val="%1、"/>
      <w:lvlJc w:val="left"/>
      <w:rPr>
        <w:rFonts w:hint="eastAsia"/>
      </w:r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embedSystemFonts/>
  <w:bordersDoNotSurroundHeader w:val="1"/>
  <w:bordersDoNotSurroundFooter w:val="1"/>
  <w:hideSpellingErrors/>
  <w:documentProtection w:enforcement="0"/>
  <w:defaultTabStop w:val="420"/>
  <w:drawingGridVerticalSpacing w:val="156"/>
  <w:noPunctuationKerning w:val="1"/>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docVars>
    <w:docVar w:name="commondata" w:val="eyJoZGlkIjoiOTM3NmI3ZTE1ZTYyNTljN2NjOTVmNGFiZmYyMDkyMWEifQ=="/>
  </w:docVars>
  <w:rsids>
    <w:rsidRoot w:val="02FA6CBD"/>
    <w:rsid w:val="00000DFF"/>
    <w:rsid w:val="000C0B95"/>
    <w:rsid w:val="000D6CD7"/>
    <w:rsid w:val="00114900"/>
    <w:rsid w:val="00120D87"/>
    <w:rsid w:val="00121051"/>
    <w:rsid w:val="0013235B"/>
    <w:rsid w:val="001D641A"/>
    <w:rsid w:val="001E1C8C"/>
    <w:rsid w:val="002120E8"/>
    <w:rsid w:val="002735E7"/>
    <w:rsid w:val="00280F51"/>
    <w:rsid w:val="00283FE6"/>
    <w:rsid w:val="0030638B"/>
    <w:rsid w:val="00307C60"/>
    <w:rsid w:val="003365C7"/>
    <w:rsid w:val="003C6719"/>
    <w:rsid w:val="003E46C8"/>
    <w:rsid w:val="00405B34"/>
    <w:rsid w:val="00454B8E"/>
    <w:rsid w:val="00484CFC"/>
    <w:rsid w:val="00485A70"/>
    <w:rsid w:val="004B2332"/>
    <w:rsid w:val="004B51A3"/>
    <w:rsid w:val="004B733B"/>
    <w:rsid w:val="004F69C2"/>
    <w:rsid w:val="0052635E"/>
    <w:rsid w:val="005A2B8D"/>
    <w:rsid w:val="005B2D8C"/>
    <w:rsid w:val="00611E30"/>
    <w:rsid w:val="006177CF"/>
    <w:rsid w:val="006632F5"/>
    <w:rsid w:val="006949D1"/>
    <w:rsid w:val="006C214B"/>
    <w:rsid w:val="006F78AC"/>
    <w:rsid w:val="00704E17"/>
    <w:rsid w:val="00751DCA"/>
    <w:rsid w:val="007C4884"/>
    <w:rsid w:val="007F3DF3"/>
    <w:rsid w:val="0080264D"/>
    <w:rsid w:val="0081058D"/>
    <w:rsid w:val="00830820"/>
    <w:rsid w:val="008616FE"/>
    <w:rsid w:val="00876D85"/>
    <w:rsid w:val="00892E64"/>
    <w:rsid w:val="00912B2C"/>
    <w:rsid w:val="00920445"/>
    <w:rsid w:val="00930053"/>
    <w:rsid w:val="00A161D6"/>
    <w:rsid w:val="00A30F01"/>
    <w:rsid w:val="00A51066"/>
    <w:rsid w:val="00A52CA3"/>
    <w:rsid w:val="00A612E3"/>
    <w:rsid w:val="00A9293C"/>
    <w:rsid w:val="00A96313"/>
    <w:rsid w:val="00AB1C58"/>
    <w:rsid w:val="00B22751"/>
    <w:rsid w:val="00B941A8"/>
    <w:rsid w:val="00BB46C5"/>
    <w:rsid w:val="00BB5BD6"/>
    <w:rsid w:val="00BC1B67"/>
    <w:rsid w:val="00BC4591"/>
    <w:rsid w:val="00BD4479"/>
    <w:rsid w:val="00BE4C19"/>
    <w:rsid w:val="00C3632C"/>
    <w:rsid w:val="00CF4695"/>
    <w:rsid w:val="00CF516F"/>
    <w:rsid w:val="00DA704D"/>
    <w:rsid w:val="00ED2E67"/>
    <w:rsid w:val="00ED489B"/>
    <w:rsid w:val="00EF2401"/>
    <w:rsid w:val="00F04E75"/>
    <w:rsid w:val="00F23F49"/>
    <w:rsid w:val="00F427C8"/>
    <w:rsid w:val="00F46397"/>
    <w:rsid w:val="00F46C0E"/>
    <w:rsid w:val="00F56DAD"/>
    <w:rsid w:val="00F66E20"/>
    <w:rsid w:val="00F731C3"/>
    <w:rsid w:val="00FA5E8F"/>
    <w:rsid w:val="00FB1915"/>
    <w:rsid w:val="00FB271A"/>
    <w:rsid w:val="00FD352F"/>
    <w:rsid w:val="010D40C2"/>
    <w:rsid w:val="01311C3E"/>
    <w:rsid w:val="01A04403"/>
    <w:rsid w:val="01C33920"/>
    <w:rsid w:val="01F03AFF"/>
    <w:rsid w:val="023522E3"/>
    <w:rsid w:val="02F53FF5"/>
    <w:rsid w:val="02FA6CBD"/>
    <w:rsid w:val="0327352A"/>
    <w:rsid w:val="03821BA3"/>
    <w:rsid w:val="03C64D57"/>
    <w:rsid w:val="03CD4265"/>
    <w:rsid w:val="040733CC"/>
    <w:rsid w:val="04125FE7"/>
    <w:rsid w:val="04953A62"/>
    <w:rsid w:val="04E40AD1"/>
    <w:rsid w:val="04E87A0B"/>
    <w:rsid w:val="05F559D3"/>
    <w:rsid w:val="06061819"/>
    <w:rsid w:val="06444590"/>
    <w:rsid w:val="06FF3947"/>
    <w:rsid w:val="07600418"/>
    <w:rsid w:val="078D60DC"/>
    <w:rsid w:val="07EA1EED"/>
    <w:rsid w:val="084C29AC"/>
    <w:rsid w:val="08AC5969"/>
    <w:rsid w:val="08AD5605"/>
    <w:rsid w:val="08FA55E9"/>
    <w:rsid w:val="09292C2E"/>
    <w:rsid w:val="0955020B"/>
    <w:rsid w:val="09715D33"/>
    <w:rsid w:val="09994E7D"/>
    <w:rsid w:val="09FC3360"/>
    <w:rsid w:val="0A800DE1"/>
    <w:rsid w:val="0B9B5F9C"/>
    <w:rsid w:val="0B9E49D1"/>
    <w:rsid w:val="0BC97A61"/>
    <w:rsid w:val="0D2319A9"/>
    <w:rsid w:val="0D406A34"/>
    <w:rsid w:val="0D6E61E7"/>
    <w:rsid w:val="0DA30DC1"/>
    <w:rsid w:val="0F2F242C"/>
    <w:rsid w:val="0F473013"/>
    <w:rsid w:val="0F9939AC"/>
    <w:rsid w:val="0FA102F7"/>
    <w:rsid w:val="0FDC726A"/>
    <w:rsid w:val="10A4676D"/>
    <w:rsid w:val="10DD0F13"/>
    <w:rsid w:val="10FB38A6"/>
    <w:rsid w:val="11731251"/>
    <w:rsid w:val="11C47617"/>
    <w:rsid w:val="11E86DBF"/>
    <w:rsid w:val="12517F5C"/>
    <w:rsid w:val="12937D86"/>
    <w:rsid w:val="130F4780"/>
    <w:rsid w:val="131C752F"/>
    <w:rsid w:val="13276410"/>
    <w:rsid w:val="133B1884"/>
    <w:rsid w:val="13AE6FC9"/>
    <w:rsid w:val="13BA0358"/>
    <w:rsid w:val="13E54651"/>
    <w:rsid w:val="14261D0F"/>
    <w:rsid w:val="14307333"/>
    <w:rsid w:val="146F7CD5"/>
    <w:rsid w:val="1501696E"/>
    <w:rsid w:val="152977E3"/>
    <w:rsid w:val="152D53C0"/>
    <w:rsid w:val="15FF4289"/>
    <w:rsid w:val="161F0179"/>
    <w:rsid w:val="1647632C"/>
    <w:rsid w:val="16EA7AD6"/>
    <w:rsid w:val="16F539FD"/>
    <w:rsid w:val="171F37F0"/>
    <w:rsid w:val="175149C7"/>
    <w:rsid w:val="18D13C56"/>
    <w:rsid w:val="18DB6289"/>
    <w:rsid w:val="190A493D"/>
    <w:rsid w:val="190E222F"/>
    <w:rsid w:val="19BA23CB"/>
    <w:rsid w:val="1A420506"/>
    <w:rsid w:val="1A57370C"/>
    <w:rsid w:val="1B6F37D4"/>
    <w:rsid w:val="1C2542E3"/>
    <w:rsid w:val="1C371583"/>
    <w:rsid w:val="1CDF0E3D"/>
    <w:rsid w:val="1D1B1786"/>
    <w:rsid w:val="1D6A21A1"/>
    <w:rsid w:val="1D7A6F56"/>
    <w:rsid w:val="1DA27BE4"/>
    <w:rsid w:val="1DC77755"/>
    <w:rsid w:val="1E596D02"/>
    <w:rsid w:val="1E6C33D0"/>
    <w:rsid w:val="1E92128D"/>
    <w:rsid w:val="1EE06352"/>
    <w:rsid w:val="1F094622"/>
    <w:rsid w:val="1F3C68C3"/>
    <w:rsid w:val="1F6B3523"/>
    <w:rsid w:val="1F9317C1"/>
    <w:rsid w:val="1FE21D3C"/>
    <w:rsid w:val="1FFA00DB"/>
    <w:rsid w:val="1FFC4356"/>
    <w:rsid w:val="206A501E"/>
    <w:rsid w:val="206D5F18"/>
    <w:rsid w:val="207F15DE"/>
    <w:rsid w:val="214E1ADB"/>
    <w:rsid w:val="22C211DF"/>
    <w:rsid w:val="233B6B29"/>
    <w:rsid w:val="23453C70"/>
    <w:rsid w:val="23683487"/>
    <w:rsid w:val="2379500B"/>
    <w:rsid w:val="23970EF5"/>
    <w:rsid w:val="245A2A07"/>
    <w:rsid w:val="248D679A"/>
    <w:rsid w:val="24C81E0E"/>
    <w:rsid w:val="24E3206D"/>
    <w:rsid w:val="253142BB"/>
    <w:rsid w:val="25610A44"/>
    <w:rsid w:val="26452A59"/>
    <w:rsid w:val="26CD7293"/>
    <w:rsid w:val="27E94065"/>
    <w:rsid w:val="28A95E5A"/>
    <w:rsid w:val="28DB5636"/>
    <w:rsid w:val="29333B70"/>
    <w:rsid w:val="29E74156"/>
    <w:rsid w:val="29EC06EB"/>
    <w:rsid w:val="2A4B3693"/>
    <w:rsid w:val="2A720DAE"/>
    <w:rsid w:val="2A8B7D3D"/>
    <w:rsid w:val="2C053974"/>
    <w:rsid w:val="2C657446"/>
    <w:rsid w:val="2C806A86"/>
    <w:rsid w:val="2D2B7FCD"/>
    <w:rsid w:val="2D364EAB"/>
    <w:rsid w:val="2F6354D3"/>
    <w:rsid w:val="30445D35"/>
    <w:rsid w:val="304C0266"/>
    <w:rsid w:val="30C16531"/>
    <w:rsid w:val="30F12AB3"/>
    <w:rsid w:val="315B308E"/>
    <w:rsid w:val="31AE6B32"/>
    <w:rsid w:val="31DC3993"/>
    <w:rsid w:val="3203645F"/>
    <w:rsid w:val="329328D0"/>
    <w:rsid w:val="32C52EE6"/>
    <w:rsid w:val="3321358B"/>
    <w:rsid w:val="334B48A4"/>
    <w:rsid w:val="33D97698"/>
    <w:rsid w:val="33FE2AD2"/>
    <w:rsid w:val="34331D98"/>
    <w:rsid w:val="34B47401"/>
    <w:rsid w:val="35522D95"/>
    <w:rsid w:val="359F2D47"/>
    <w:rsid w:val="35B2285D"/>
    <w:rsid w:val="36141B38"/>
    <w:rsid w:val="361816D8"/>
    <w:rsid w:val="36440122"/>
    <w:rsid w:val="36B66AE4"/>
    <w:rsid w:val="36ED6AED"/>
    <w:rsid w:val="370A5971"/>
    <w:rsid w:val="37637085"/>
    <w:rsid w:val="37EB69C8"/>
    <w:rsid w:val="38173110"/>
    <w:rsid w:val="38224DAB"/>
    <w:rsid w:val="383F67F8"/>
    <w:rsid w:val="397A5E44"/>
    <w:rsid w:val="3ACA7E30"/>
    <w:rsid w:val="3B1D182F"/>
    <w:rsid w:val="3B6335CE"/>
    <w:rsid w:val="3B767D95"/>
    <w:rsid w:val="3BB06D59"/>
    <w:rsid w:val="3BC4062E"/>
    <w:rsid w:val="3C261A44"/>
    <w:rsid w:val="3C3717F5"/>
    <w:rsid w:val="3C793007"/>
    <w:rsid w:val="3DCB4E85"/>
    <w:rsid w:val="3E2444EF"/>
    <w:rsid w:val="3E91675D"/>
    <w:rsid w:val="3F95733D"/>
    <w:rsid w:val="40326486"/>
    <w:rsid w:val="40ED4DDE"/>
    <w:rsid w:val="415B493C"/>
    <w:rsid w:val="41CB78BC"/>
    <w:rsid w:val="42477610"/>
    <w:rsid w:val="426D171D"/>
    <w:rsid w:val="42711AD6"/>
    <w:rsid w:val="43A7172F"/>
    <w:rsid w:val="43E27212"/>
    <w:rsid w:val="446B05EF"/>
    <w:rsid w:val="44747302"/>
    <w:rsid w:val="44A14AFB"/>
    <w:rsid w:val="44A2402E"/>
    <w:rsid w:val="44DA6092"/>
    <w:rsid w:val="464F54D8"/>
    <w:rsid w:val="46EA20AE"/>
    <w:rsid w:val="47A651C2"/>
    <w:rsid w:val="47A90416"/>
    <w:rsid w:val="47B86654"/>
    <w:rsid w:val="4944234D"/>
    <w:rsid w:val="49461745"/>
    <w:rsid w:val="498061CA"/>
    <w:rsid w:val="4A9626C2"/>
    <w:rsid w:val="4B110E58"/>
    <w:rsid w:val="4B3F7ECE"/>
    <w:rsid w:val="4BAF3AE9"/>
    <w:rsid w:val="4BE12F80"/>
    <w:rsid w:val="4BEF7DC0"/>
    <w:rsid w:val="4C3158B1"/>
    <w:rsid w:val="4CAA3ED1"/>
    <w:rsid w:val="4CB4423E"/>
    <w:rsid w:val="4CED6BFE"/>
    <w:rsid w:val="4D6405B3"/>
    <w:rsid w:val="4D7A7C16"/>
    <w:rsid w:val="4DE55D96"/>
    <w:rsid w:val="4E855E25"/>
    <w:rsid w:val="4F4A6957"/>
    <w:rsid w:val="4F71607E"/>
    <w:rsid w:val="4F726F92"/>
    <w:rsid w:val="509E0601"/>
    <w:rsid w:val="50E75EE0"/>
    <w:rsid w:val="510D2918"/>
    <w:rsid w:val="51DA78CC"/>
    <w:rsid w:val="52BA63AD"/>
    <w:rsid w:val="539807B0"/>
    <w:rsid w:val="53E8703C"/>
    <w:rsid w:val="54147C1B"/>
    <w:rsid w:val="557C3C8B"/>
    <w:rsid w:val="55B50037"/>
    <w:rsid w:val="55BC2D30"/>
    <w:rsid w:val="564B64D7"/>
    <w:rsid w:val="568C7204"/>
    <w:rsid w:val="56BD07EF"/>
    <w:rsid w:val="56C84EB0"/>
    <w:rsid w:val="5704692E"/>
    <w:rsid w:val="581436F9"/>
    <w:rsid w:val="583E67E2"/>
    <w:rsid w:val="58567C2C"/>
    <w:rsid w:val="587B07AF"/>
    <w:rsid w:val="588E6B54"/>
    <w:rsid w:val="58D1272B"/>
    <w:rsid w:val="58E05CA1"/>
    <w:rsid w:val="595149EA"/>
    <w:rsid w:val="598808B0"/>
    <w:rsid w:val="59980DEF"/>
    <w:rsid w:val="59FD269B"/>
    <w:rsid w:val="5B877BDB"/>
    <w:rsid w:val="5BE4436C"/>
    <w:rsid w:val="5C5751D9"/>
    <w:rsid w:val="5C916500"/>
    <w:rsid w:val="5D06201F"/>
    <w:rsid w:val="5D380F47"/>
    <w:rsid w:val="5D5855F7"/>
    <w:rsid w:val="5D730D10"/>
    <w:rsid w:val="5DBF4C07"/>
    <w:rsid w:val="5DEC1F64"/>
    <w:rsid w:val="5DF97AC4"/>
    <w:rsid w:val="5E1248E9"/>
    <w:rsid w:val="5E2F4FA8"/>
    <w:rsid w:val="5E3666F1"/>
    <w:rsid w:val="5E376AA4"/>
    <w:rsid w:val="5E9467F3"/>
    <w:rsid w:val="5ED501BF"/>
    <w:rsid w:val="5EE254BB"/>
    <w:rsid w:val="5F1E186E"/>
    <w:rsid w:val="5FA46D44"/>
    <w:rsid w:val="5FAE510E"/>
    <w:rsid w:val="604705FE"/>
    <w:rsid w:val="609E5C12"/>
    <w:rsid w:val="61805AA4"/>
    <w:rsid w:val="625F0E45"/>
    <w:rsid w:val="62682F71"/>
    <w:rsid w:val="631B3CEC"/>
    <w:rsid w:val="633B6C92"/>
    <w:rsid w:val="638C0EF7"/>
    <w:rsid w:val="64162E57"/>
    <w:rsid w:val="6448585D"/>
    <w:rsid w:val="647E72C4"/>
    <w:rsid w:val="649F1E93"/>
    <w:rsid w:val="64A77DD8"/>
    <w:rsid w:val="6549590B"/>
    <w:rsid w:val="65513896"/>
    <w:rsid w:val="66E94BF9"/>
    <w:rsid w:val="67086F0F"/>
    <w:rsid w:val="675E15A8"/>
    <w:rsid w:val="67DF713D"/>
    <w:rsid w:val="68024C86"/>
    <w:rsid w:val="682A153A"/>
    <w:rsid w:val="685E7A07"/>
    <w:rsid w:val="6884609F"/>
    <w:rsid w:val="693F0DBE"/>
    <w:rsid w:val="695303FC"/>
    <w:rsid w:val="695B67BC"/>
    <w:rsid w:val="69983C4B"/>
    <w:rsid w:val="69BA46B6"/>
    <w:rsid w:val="69D57FED"/>
    <w:rsid w:val="69DD5E90"/>
    <w:rsid w:val="69E07C9F"/>
    <w:rsid w:val="6A8B4BD4"/>
    <w:rsid w:val="6A8E6DD4"/>
    <w:rsid w:val="6B5D113C"/>
    <w:rsid w:val="6B85132F"/>
    <w:rsid w:val="6B99080A"/>
    <w:rsid w:val="6BC21D58"/>
    <w:rsid w:val="6C642CD8"/>
    <w:rsid w:val="6C915906"/>
    <w:rsid w:val="6E837476"/>
    <w:rsid w:val="6EB85881"/>
    <w:rsid w:val="6EE547FB"/>
    <w:rsid w:val="6F3E7070"/>
    <w:rsid w:val="6FC0769A"/>
    <w:rsid w:val="6FD659F5"/>
    <w:rsid w:val="713319ED"/>
    <w:rsid w:val="71792C8E"/>
    <w:rsid w:val="717932BC"/>
    <w:rsid w:val="71F5629D"/>
    <w:rsid w:val="722947F0"/>
    <w:rsid w:val="72322E60"/>
    <w:rsid w:val="725E71D6"/>
    <w:rsid w:val="72D807FC"/>
    <w:rsid w:val="733855D5"/>
    <w:rsid w:val="73427C73"/>
    <w:rsid w:val="73CB02EF"/>
    <w:rsid w:val="74D504DE"/>
    <w:rsid w:val="753E0DA2"/>
    <w:rsid w:val="75B54743"/>
    <w:rsid w:val="75CA3080"/>
    <w:rsid w:val="75E36A2A"/>
    <w:rsid w:val="764B2BAA"/>
    <w:rsid w:val="77270FE3"/>
    <w:rsid w:val="774A6796"/>
    <w:rsid w:val="77674762"/>
    <w:rsid w:val="776A28C3"/>
    <w:rsid w:val="776E77A5"/>
    <w:rsid w:val="78074C51"/>
    <w:rsid w:val="7854577F"/>
    <w:rsid w:val="789709DA"/>
    <w:rsid w:val="797C588F"/>
    <w:rsid w:val="7A67462F"/>
    <w:rsid w:val="7A7C777D"/>
    <w:rsid w:val="7B0E2D5C"/>
    <w:rsid w:val="7C223716"/>
    <w:rsid w:val="7C284154"/>
    <w:rsid w:val="7CC37507"/>
    <w:rsid w:val="7CC95A17"/>
    <w:rsid w:val="7CDC4F15"/>
    <w:rsid w:val="7D1E4A05"/>
    <w:rsid w:val="7DA01617"/>
    <w:rsid w:val="7F2174E1"/>
    <w:rsid w:val="7FFA3FE8"/>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rules v:ext="edit">
        <o:r id="V:Rule1" type="connector" idref="#_x0000_s1028"/>
      </o:rules>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 w:semiHidden="0" w:name="heading 2"/>
    <w:lsdException w:qFormat="1" w:unhideWhenUsed="0" w:uiPriority="0"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iPriority="39"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iPriority="0" w:semiHidden="0" w:name="Normal Indent"/>
    <w:lsdException w:unhideWhenUsed="0" w:uiPriority="0" w:semiHidden="0" w:name="footnote text"/>
    <w:lsdException w:qFormat="1" w:unhideWhenUsed="0" w:uiPriority="0" w:semiHidden="0" w:name="annotation text"/>
    <w:lsdException w:qFormat="1"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qFormat="1" w:uiPriority="99"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qFormat="1" w:unhideWhenUsed="0" w:uiPriority="0" w:semiHidden="0" w:name="Body Text Indent 3"/>
    <w:lsdException w:qFormat="1" w:unhideWhenUsed="0" w:uiPriority="99" w:semiHidden="0" w:name="Block Text"/>
    <w:lsdException w:qFormat="1" w:uiPriority="99"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qFormat="1" w:unhideWhenUsed="0" w:uiPriority="0" w:semiHidden="0" w:name="HTML Code"/>
    <w:lsdException w:qFormat="1" w:unhideWhenUsed="0" w:uiPriority="0" w:semiHidden="0" w:name="HTML Definition"/>
    <w:lsdException w:qFormat="1" w:unhideWhenUsed="0" w:uiPriority="0" w:semiHidden="0" w:name="HTML Keyboard"/>
    <w:lsdException w:unhideWhenUsed="0" w:uiPriority="0" w:semiHidden="0" w:name="HTML Preformatted"/>
    <w:lsdException w:qFormat="1"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4">
    <w:name w:val="heading 1"/>
    <w:basedOn w:val="1"/>
    <w:next w:val="1"/>
    <w:link w:val="32"/>
    <w:qFormat/>
    <w:uiPriority w:val="0"/>
    <w:pPr>
      <w:keepNext/>
      <w:keepLines/>
      <w:spacing w:before="10" w:after="10"/>
      <w:jc w:val="center"/>
      <w:outlineLvl w:val="0"/>
    </w:pPr>
    <w:rPr>
      <w:b/>
      <w:bCs/>
      <w:kern w:val="44"/>
      <w:sz w:val="32"/>
      <w:szCs w:val="44"/>
    </w:rPr>
  </w:style>
  <w:style w:type="paragraph" w:styleId="5">
    <w:name w:val="heading 2"/>
    <w:basedOn w:val="1"/>
    <w:next w:val="1"/>
    <w:qFormat/>
    <w:uiPriority w:val="9"/>
    <w:pPr>
      <w:keepNext/>
      <w:keepLines/>
      <w:widowControl/>
      <w:ind w:left="284"/>
      <w:jc w:val="left"/>
      <w:outlineLvl w:val="1"/>
    </w:pPr>
    <w:rPr>
      <w:rFonts w:ascii="Arial" w:hAnsi="Arial"/>
      <w:sz w:val="28"/>
      <w:szCs w:val="32"/>
    </w:rPr>
  </w:style>
  <w:style w:type="paragraph" w:styleId="6">
    <w:name w:val="heading 3"/>
    <w:basedOn w:val="1"/>
    <w:next w:val="1"/>
    <w:qFormat/>
    <w:uiPriority w:val="0"/>
    <w:pPr>
      <w:keepNext/>
      <w:keepLines/>
      <w:spacing w:line="360" w:lineRule="auto"/>
      <w:outlineLvl w:val="2"/>
    </w:pPr>
    <w:rPr>
      <w:b/>
      <w:bCs/>
      <w:sz w:val="24"/>
      <w:szCs w:val="32"/>
    </w:rPr>
  </w:style>
  <w:style w:type="paragraph" w:styleId="7">
    <w:name w:val="heading 4"/>
    <w:basedOn w:val="1"/>
    <w:next w:val="1"/>
    <w:link w:val="52"/>
    <w:qFormat/>
    <w:uiPriority w:val="0"/>
    <w:pPr>
      <w:keepNext/>
      <w:keepLines/>
      <w:numPr>
        <w:ilvl w:val="3"/>
        <w:numId w:val="1"/>
      </w:numPr>
      <w:spacing w:before="280" w:after="290" w:line="376" w:lineRule="auto"/>
      <w:ind w:firstLine="0"/>
      <w:outlineLvl w:val="3"/>
    </w:pPr>
    <w:rPr>
      <w:rFonts w:ascii="Arial" w:hAnsi="Arial" w:eastAsia="黑体"/>
      <w:b/>
      <w:bCs/>
      <w:sz w:val="28"/>
      <w:szCs w:val="28"/>
    </w:rPr>
  </w:style>
  <w:style w:type="character" w:default="1" w:styleId="20">
    <w:name w:val="Default Paragraph Font"/>
    <w:semiHidden/>
    <w:unhideWhenUsed/>
    <w:uiPriority w:val="1"/>
  </w:style>
  <w:style w:type="table" w:default="1" w:styleId="19">
    <w:name w:val="Normal Table"/>
    <w:semiHidden/>
    <w:unhideWhenUsed/>
    <w:qFormat/>
    <w:uiPriority w:val="99"/>
    <w:tblPr>
      <w:tblCellMar>
        <w:top w:w="0" w:type="dxa"/>
        <w:left w:w="108" w:type="dxa"/>
        <w:bottom w:w="0" w:type="dxa"/>
        <w:right w:w="108" w:type="dxa"/>
      </w:tblCellMar>
    </w:tblPr>
  </w:style>
  <w:style w:type="paragraph" w:styleId="2">
    <w:name w:val="Body Text First Indent"/>
    <w:basedOn w:val="3"/>
    <w:unhideWhenUsed/>
    <w:qFormat/>
    <w:uiPriority w:val="99"/>
    <w:pPr>
      <w:ind w:firstLine="420" w:firstLineChars="100"/>
    </w:pPr>
  </w:style>
  <w:style w:type="paragraph" w:styleId="3">
    <w:name w:val="Body Text"/>
    <w:basedOn w:val="1"/>
    <w:next w:val="1"/>
    <w:link w:val="51"/>
    <w:qFormat/>
    <w:uiPriority w:val="0"/>
    <w:pPr>
      <w:spacing w:after="120"/>
    </w:pPr>
    <w:rPr>
      <w:rFonts w:ascii="Calibri" w:hAnsi="Calibri"/>
    </w:rPr>
  </w:style>
  <w:style w:type="paragraph" w:styleId="8">
    <w:name w:val="Normal Indent"/>
    <w:basedOn w:val="1"/>
    <w:unhideWhenUsed/>
    <w:qFormat/>
    <w:uiPriority w:val="0"/>
    <w:pPr>
      <w:autoSpaceDE w:val="0"/>
      <w:autoSpaceDN w:val="0"/>
      <w:adjustRightInd w:val="0"/>
      <w:spacing w:line="640" w:lineRule="exact"/>
      <w:ind w:firstLine="585"/>
    </w:pPr>
    <w:rPr>
      <w:rFonts w:ascii="楷体_GB2312" w:eastAsia="楷体_GB2312"/>
      <w:kern w:val="0"/>
      <w:sz w:val="32"/>
      <w:szCs w:val="32"/>
    </w:rPr>
  </w:style>
  <w:style w:type="paragraph" w:styleId="9">
    <w:name w:val="annotation text"/>
    <w:basedOn w:val="1"/>
    <w:qFormat/>
    <w:uiPriority w:val="0"/>
    <w:pPr>
      <w:jc w:val="left"/>
    </w:pPr>
  </w:style>
  <w:style w:type="paragraph" w:styleId="10">
    <w:name w:val="Block Text"/>
    <w:basedOn w:val="1"/>
    <w:qFormat/>
    <w:uiPriority w:val="99"/>
    <w:pPr>
      <w:spacing w:after="120"/>
      <w:ind w:left="1440" w:leftChars="700" w:right="1440" w:rightChars="700"/>
    </w:pPr>
    <w:rPr>
      <w:rFonts w:ascii="Calibri" w:hAnsi="Calibri"/>
      <w:szCs w:val="22"/>
    </w:rPr>
  </w:style>
  <w:style w:type="paragraph" w:styleId="11">
    <w:name w:val="Plain Text"/>
    <w:basedOn w:val="1"/>
    <w:qFormat/>
    <w:uiPriority w:val="0"/>
    <w:rPr>
      <w:rFonts w:ascii="宋体" w:hAnsi="Courier New"/>
      <w:szCs w:val="21"/>
    </w:rPr>
  </w:style>
  <w:style w:type="paragraph" w:styleId="12">
    <w:name w:val="Date"/>
    <w:basedOn w:val="1"/>
    <w:next w:val="1"/>
    <w:qFormat/>
    <w:uiPriority w:val="0"/>
    <w:rPr>
      <w:sz w:val="28"/>
    </w:rPr>
  </w:style>
  <w:style w:type="paragraph" w:styleId="13">
    <w:name w:val="Balloon Text"/>
    <w:basedOn w:val="1"/>
    <w:link w:val="38"/>
    <w:qFormat/>
    <w:uiPriority w:val="0"/>
    <w:rPr>
      <w:sz w:val="18"/>
      <w:szCs w:val="18"/>
    </w:rPr>
  </w:style>
  <w:style w:type="paragraph" w:styleId="14">
    <w:name w:val="footer"/>
    <w:basedOn w:val="1"/>
    <w:link w:val="53"/>
    <w:unhideWhenUsed/>
    <w:qFormat/>
    <w:uiPriority w:val="99"/>
    <w:pPr>
      <w:tabs>
        <w:tab w:val="center" w:pos="4153"/>
        <w:tab w:val="right" w:pos="8306"/>
      </w:tabs>
      <w:snapToGrid w:val="0"/>
      <w:jc w:val="left"/>
    </w:pPr>
    <w:rPr>
      <w:sz w:val="18"/>
      <w:szCs w:val="18"/>
    </w:rPr>
  </w:style>
  <w:style w:type="paragraph" w:styleId="15">
    <w:name w:val="header"/>
    <w:basedOn w:val="1"/>
    <w:unhideWhenUsed/>
    <w:qFormat/>
    <w:uiPriority w:val="0"/>
    <w:pPr>
      <w:pBdr>
        <w:bottom w:val="single" w:color="auto" w:sz="6" w:space="1"/>
      </w:pBdr>
      <w:tabs>
        <w:tab w:val="center" w:pos="4153"/>
        <w:tab w:val="right" w:pos="8306"/>
      </w:tabs>
      <w:snapToGrid w:val="0"/>
      <w:jc w:val="center"/>
    </w:pPr>
    <w:rPr>
      <w:sz w:val="18"/>
      <w:szCs w:val="18"/>
    </w:rPr>
  </w:style>
  <w:style w:type="paragraph" w:styleId="16">
    <w:name w:val="toc 1"/>
    <w:basedOn w:val="1"/>
    <w:next w:val="1"/>
    <w:unhideWhenUsed/>
    <w:qFormat/>
    <w:uiPriority w:val="39"/>
    <w:pPr>
      <w:tabs>
        <w:tab w:val="right" w:leader="middleDot" w:pos="8760"/>
      </w:tabs>
      <w:spacing w:line="700" w:lineRule="exact"/>
    </w:pPr>
  </w:style>
  <w:style w:type="paragraph" w:styleId="17">
    <w:name w:val="Body Text Indent 3"/>
    <w:basedOn w:val="1"/>
    <w:qFormat/>
    <w:uiPriority w:val="0"/>
    <w:pPr>
      <w:spacing w:line="440" w:lineRule="exact"/>
      <w:ind w:firstLine="480" w:firstLineChars="200"/>
    </w:pPr>
    <w:rPr>
      <w:rFonts w:ascii="宋体" w:hAnsi="宋体"/>
      <w:color w:val="000000"/>
      <w:sz w:val="24"/>
    </w:rPr>
  </w:style>
  <w:style w:type="paragraph" w:styleId="18">
    <w:name w:val="Normal (Web)"/>
    <w:basedOn w:val="1"/>
    <w:qFormat/>
    <w:uiPriority w:val="0"/>
    <w:pPr>
      <w:widowControl/>
      <w:spacing w:before="100" w:beforeAutospacing="1" w:after="100" w:afterAutospacing="1"/>
      <w:jc w:val="left"/>
    </w:pPr>
    <w:rPr>
      <w:rFonts w:ascii="宋体" w:hAnsi="宋体"/>
      <w:sz w:val="24"/>
    </w:rPr>
  </w:style>
  <w:style w:type="character" w:styleId="21">
    <w:name w:val="Strong"/>
    <w:basedOn w:val="20"/>
    <w:qFormat/>
    <w:uiPriority w:val="0"/>
    <w:rPr>
      <w:b/>
    </w:rPr>
  </w:style>
  <w:style w:type="character" w:styleId="22">
    <w:name w:val="FollowedHyperlink"/>
    <w:basedOn w:val="20"/>
    <w:qFormat/>
    <w:uiPriority w:val="0"/>
    <w:rPr>
      <w:color w:val="333333"/>
      <w:u w:val="single"/>
    </w:rPr>
  </w:style>
  <w:style w:type="character" w:styleId="23">
    <w:name w:val="Emphasis"/>
    <w:basedOn w:val="20"/>
    <w:qFormat/>
    <w:uiPriority w:val="0"/>
  </w:style>
  <w:style w:type="character" w:styleId="24">
    <w:name w:val="HTML Definition"/>
    <w:basedOn w:val="20"/>
    <w:qFormat/>
    <w:uiPriority w:val="0"/>
    <w:rPr>
      <w:i/>
    </w:rPr>
  </w:style>
  <w:style w:type="character" w:styleId="25">
    <w:name w:val="Hyperlink"/>
    <w:basedOn w:val="20"/>
    <w:unhideWhenUsed/>
    <w:qFormat/>
    <w:uiPriority w:val="99"/>
    <w:rPr>
      <w:color w:val="0563C1" w:themeColor="hyperlink"/>
      <w:u w:val="single"/>
    </w:rPr>
  </w:style>
  <w:style w:type="character" w:styleId="26">
    <w:name w:val="HTML Code"/>
    <w:basedOn w:val="20"/>
    <w:qFormat/>
    <w:uiPriority w:val="0"/>
    <w:rPr>
      <w:rFonts w:ascii="Consolas" w:hAnsi="Consolas" w:eastAsia="Consolas" w:cs="Consolas"/>
      <w:color w:val="C7254E"/>
      <w:sz w:val="21"/>
      <w:szCs w:val="21"/>
      <w:shd w:val="clear" w:color="auto" w:fill="F9F2F4"/>
    </w:rPr>
  </w:style>
  <w:style w:type="character" w:styleId="27">
    <w:name w:val="annotation reference"/>
    <w:basedOn w:val="20"/>
    <w:qFormat/>
    <w:uiPriority w:val="0"/>
    <w:rPr>
      <w:sz w:val="21"/>
      <w:szCs w:val="21"/>
    </w:rPr>
  </w:style>
  <w:style w:type="character" w:styleId="28">
    <w:name w:val="HTML Keyboard"/>
    <w:basedOn w:val="20"/>
    <w:qFormat/>
    <w:uiPriority w:val="0"/>
    <w:rPr>
      <w:rFonts w:hint="default" w:ascii="Consolas" w:hAnsi="Consolas" w:eastAsia="Consolas" w:cs="Consolas"/>
      <w:color w:val="FFFFFF"/>
      <w:sz w:val="21"/>
      <w:szCs w:val="21"/>
      <w:shd w:val="clear" w:color="auto" w:fill="333333"/>
    </w:rPr>
  </w:style>
  <w:style w:type="character" w:styleId="29">
    <w:name w:val="HTML Sample"/>
    <w:basedOn w:val="20"/>
    <w:qFormat/>
    <w:uiPriority w:val="0"/>
    <w:rPr>
      <w:rFonts w:hint="default" w:ascii="Consolas" w:hAnsi="Consolas" w:eastAsia="Consolas" w:cs="Consolas"/>
      <w:sz w:val="21"/>
      <w:szCs w:val="21"/>
    </w:rPr>
  </w:style>
  <w:style w:type="paragraph" w:customStyle="1" w:styleId="30">
    <w:name w:val="正文1"/>
    <w:qFormat/>
    <w:uiPriority w:val="0"/>
    <w:pPr>
      <w:widowControl w:val="0"/>
      <w:adjustRightInd w:val="0"/>
      <w:spacing w:line="315" w:lineRule="atLeast"/>
      <w:textAlignment w:val="baseline"/>
    </w:pPr>
    <w:rPr>
      <w:rFonts w:ascii="宋体" w:hAnsi="Times New Roman" w:eastAsia="宋体" w:cs="Times New Roman"/>
      <w:sz w:val="24"/>
      <w:lang w:val="en-US" w:eastAsia="zh-CN" w:bidi="ar-SA"/>
    </w:rPr>
  </w:style>
  <w:style w:type="paragraph" w:customStyle="1" w:styleId="31">
    <w:name w:val="样式 10 磅"/>
    <w:qFormat/>
    <w:uiPriority w:val="0"/>
    <w:pPr>
      <w:widowControl w:val="0"/>
      <w:jc w:val="both"/>
    </w:pPr>
    <w:rPr>
      <w:rFonts w:ascii="Times New Roman" w:hAnsi="Times New Roman" w:eastAsia="宋体" w:cs="Times New Roman"/>
      <w:kern w:val="2"/>
      <w:sz w:val="21"/>
      <w:szCs w:val="24"/>
      <w:lang w:val="en-US" w:eastAsia="zh-CN" w:bidi="ar-SA"/>
    </w:rPr>
  </w:style>
  <w:style w:type="character" w:customStyle="1" w:styleId="32">
    <w:name w:val="标题 1 Char"/>
    <w:basedOn w:val="20"/>
    <w:link w:val="4"/>
    <w:qFormat/>
    <w:uiPriority w:val="0"/>
    <w:rPr>
      <w:rFonts w:eastAsia="宋体"/>
      <w:b/>
      <w:bCs/>
      <w:kern w:val="44"/>
      <w:sz w:val="32"/>
      <w:szCs w:val="44"/>
    </w:rPr>
  </w:style>
  <w:style w:type="paragraph" w:customStyle="1" w:styleId="33">
    <w:name w:val="p15"/>
    <w:basedOn w:val="1"/>
    <w:qFormat/>
    <w:uiPriority w:val="0"/>
    <w:pPr>
      <w:widowControl/>
      <w:spacing w:line="360" w:lineRule="auto"/>
      <w:jc w:val="left"/>
    </w:pPr>
    <w:rPr>
      <w:kern w:val="0"/>
      <w:sz w:val="24"/>
    </w:rPr>
  </w:style>
  <w:style w:type="paragraph" w:styleId="34">
    <w:name w:val="List Paragraph"/>
    <w:basedOn w:val="1"/>
    <w:qFormat/>
    <w:uiPriority w:val="0"/>
    <w:pPr>
      <w:ind w:firstLine="420" w:firstLineChars="200"/>
    </w:pPr>
    <w:rPr>
      <w:kern w:val="0"/>
      <w:sz w:val="20"/>
    </w:rPr>
  </w:style>
  <w:style w:type="paragraph" w:customStyle="1" w:styleId="35">
    <w:name w:val="目录"/>
    <w:basedOn w:val="1"/>
    <w:qFormat/>
    <w:uiPriority w:val="0"/>
    <w:pPr>
      <w:widowControl/>
      <w:jc w:val="center"/>
    </w:pPr>
    <w:rPr>
      <w:rFonts w:ascii="宋体"/>
      <w:b/>
      <w:kern w:val="0"/>
      <w:sz w:val="36"/>
      <w:szCs w:val="20"/>
    </w:rPr>
  </w:style>
  <w:style w:type="paragraph" w:customStyle="1" w:styleId="36">
    <w:name w:val="正文 A"/>
    <w:qFormat/>
    <w:uiPriority w:val="0"/>
    <w:pPr>
      <w:framePr w:wrap="around" w:vAnchor="margin" w:hAnchor="text" w:y="1"/>
      <w:widowControl w:val="0"/>
      <w:jc w:val="both"/>
    </w:pPr>
    <w:rPr>
      <w:rFonts w:ascii="Times New Roman" w:hAnsi="Times New Roman" w:eastAsia="Arial Unicode MS" w:cs="Arial Unicode MS"/>
      <w:color w:val="000000"/>
      <w:kern w:val="2"/>
      <w:sz w:val="21"/>
      <w:szCs w:val="21"/>
      <w:lang w:val="en-US" w:eastAsia="zh-CN" w:bidi="ar-SA"/>
    </w:rPr>
  </w:style>
  <w:style w:type="paragraph" w:customStyle="1" w:styleId="37">
    <w:name w:val="列出段落2"/>
    <w:basedOn w:val="1"/>
    <w:qFormat/>
    <w:uiPriority w:val="34"/>
    <w:pPr>
      <w:ind w:firstLine="420" w:firstLineChars="200"/>
    </w:pPr>
    <w:rPr>
      <w:rFonts w:ascii="Calibri" w:hAnsi="Calibri"/>
      <w:szCs w:val="22"/>
    </w:rPr>
  </w:style>
  <w:style w:type="character" w:customStyle="1" w:styleId="38">
    <w:name w:val="批注框文本 Char"/>
    <w:basedOn w:val="20"/>
    <w:link w:val="13"/>
    <w:qFormat/>
    <w:uiPriority w:val="0"/>
    <w:rPr>
      <w:rFonts w:ascii="Times New Roman" w:hAnsi="Times New Roman" w:cs="Times New Roman"/>
      <w:kern w:val="2"/>
      <w:sz w:val="18"/>
      <w:szCs w:val="18"/>
    </w:rPr>
  </w:style>
  <w:style w:type="paragraph" w:customStyle="1" w:styleId="39">
    <w:name w:val="!RepPar_alt+p"/>
    <w:basedOn w:val="1"/>
    <w:qFormat/>
    <w:uiPriority w:val="0"/>
    <w:pPr>
      <w:spacing w:line="360" w:lineRule="auto"/>
      <w:ind w:firstLine="480"/>
    </w:pPr>
    <w:rPr>
      <w:rFonts w:asciiTheme="minorHAnsi" w:hAnsiTheme="minorHAnsi" w:eastAsiaTheme="minorEastAsia" w:cstheme="minorBidi"/>
      <w:sz w:val="24"/>
    </w:rPr>
  </w:style>
  <w:style w:type="character" w:customStyle="1" w:styleId="40">
    <w:name w:val="标题 1 Char1"/>
    <w:qFormat/>
    <w:uiPriority w:val="0"/>
    <w:rPr>
      <w:rFonts w:ascii="Calibri" w:hAnsi="Calibri" w:cs="Times New Roman"/>
      <w:b/>
      <w:bCs/>
      <w:kern w:val="44"/>
      <w:sz w:val="44"/>
      <w:szCs w:val="44"/>
    </w:rPr>
  </w:style>
  <w:style w:type="character" w:customStyle="1" w:styleId="41">
    <w:name w:val="button"/>
    <w:basedOn w:val="20"/>
    <w:qFormat/>
    <w:uiPriority w:val="0"/>
  </w:style>
  <w:style w:type="character" w:customStyle="1" w:styleId="42">
    <w:name w:val="glyphicon4"/>
    <w:basedOn w:val="20"/>
    <w:qFormat/>
    <w:uiPriority w:val="0"/>
  </w:style>
  <w:style w:type="character" w:customStyle="1" w:styleId="43">
    <w:name w:val="old"/>
    <w:basedOn w:val="20"/>
    <w:qFormat/>
    <w:uiPriority w:val="0"/>
    <w:rPr>
      <w:color w:val="999999"/>
    </w:rPr>
  </w:style>
  <w:style w:type="character" w:customStyle="1" w:styleId="44">
    <w:name w:val="hover3"/>
    <w:basedOn w:val="20"/>
    <w:qFormat/>
    <w:uiPriority w:val="0"/>
    <w:rPr>
      <w:shd w:val="clear" w:color="auto" w:fill="EEEEEE"/>
    </w:rPr>
  </w:style>
  <w:style w:type="character" w:customStyle="1" w:styleId="45">
    <w:name w:val="hour_am"/>
    <w:basedOn w:val="20"/>
    <w:qFormat/>
    <w:uiPriority w:val="0"/>
  </w:style>
  <w:style w:type="character" w:customStyle="1" w:styleId="46">
    <w:name w:val="hour_pm"/>
    <w:basedOn w:val="20"/>
    <w:qFormat/>
    <w:uiPriority w:val="0"/>
  </w:style>
  <w:style w:type="character" w:customStyle="1" w:styleId="47">
    <w:name w:val="indent"/>
    <w:basedOn w:val="20"/>
    <w:qFormat/>
    <w:uiPriority w:val="0"/>
  </w:style>
  <w:style w:type="character" w:customStyle="1" w:styleId="48">
    <w:name w:val="tmpztreemove_arrow"/>
    <w:basedOn w:val="20"/>
    <w:qFormat/>
    <w:uiPriority w:val="0"/>
    <w:rPr>
      <w:shd w:val="clear" w:color="auto" w:fill="FFFFFF"/>
    </w:rPr>
  </w:style>
  <w:style w:type="paragraph" w:customStyle="1" w:styleId="49">
    <w:name w:val="表格文本"/>
    <w:basedOn w:val="1"/>
    <w:qFormat/>
    <w:uiPriority w:val="0"/>
    <w:pPr>
      <w:spacing w:line="288" w:lineRule="auto"/>
      <w:ind w:right="50" w:rightChars="50"/>
      <w:textAlignment w:val="center"/>
    </w:pPr>
    <w:rPr>
      <w:szCs w:val="20"/>
    </w:rPr>
  </w:style>
  <w:style w:type="paragraph" w:customStyle="1" w:styleId="50">
    <w:name w:val="文章正文"/>
    <w:basedOn w:val="1"/>
    <w:qFormat/>
    <w:uiPriority w:val="0"/>
    <w:pPr>
      <w:spacing w:line="440" w:lineRule="exact"/>
      <w:ind w:firstLine="480" w:firstLineChars="200"/>
    </w:pPr>
    <w:rPr>
      <w:rFonts w:ascii="宋体" w:hAnsi="宋体" w:cs="宋体"/>
      <w:sz w:val="24"/>
    </w:rPr>
  </w:style>
  <w:style w:type="character" w:customStyle="1" w:styleId="51">
    <w:name w:val="正文文本 Char"/>
    <w:basedOn w:val="20"/>
    <w:link w:val="3"/>
    <w:qFormat/>
    <w:uiPriority w:val="0"/>
    <w:rPr>
      <w:rFonts w:hint="eastAsia" w:ascii="宋体" w:hAnsi="宋体" w:eastAsia="宋体" w:cs="宋体"/>
      <w:sz w:val="24"/>
    </w:rPr>
  </w:style>
  <w:style w:type="character" w:customStyle="1" w:styleId="52">
    <w:name w:val="标题 4 Char"/>
    <w:basedOn w:val="20"/>
    <w:link w:val="7"/>
    <w:qFormat/>
    <w:uiPriority w:val="0"/>
    <w:rPr>
      <w:rFonts w:ascii="Cambria" w:hAnsi="Cambria" w:eastAsia="宋体" w:cs="Times New Roman"/>
      <w:b/>
      <w:kern w:val="2"/>
      <w:sz w:val="28"/>
      <w:szCs w:val="28"/>
    </w:rPr>
  </w:style>
  <w:style w:type="character" w:customStyle="1" w:styleId="53">
    <w:name w:val="页脚 Char"/>
    <w:basedOn w:val="20"/>
    <w:link w:val="14"/>
    <w:qFormat/>
    <w:uiPriority w:val="0"/>
    <w:rPr>
      <w:kern w:val="2"/>
      <w:sz w:val="18"/>
      <w:szCs w:val="18"/>
    </w:rPr>
  </w:style>
  <w:style w:type="paragraph" w:customStyle="1" w:styleId="54">
    <w:name w:val="正文自定"/>
    <w:basedOn w:val="1"/>
    <w:qFormat/>
    <w:uiPriority w:val="0"/>
    <w:pPr>
      <w:tabs>
        <w:tab w:val="left" w:pos="7665"/>
      </w:tabs>
      <w:spacing w:line="360" w:lineRule="auto"/>
      <w:ind w:firstLine="480" w:firstLineChars="200"/>
    </w:pPr>
    <w:rPr>
      <w:rFonts w:ascii="宋体" w:hAnsi="宋体"/>
      <w:sz w:val="24"/>
    </w:rPr>
  </w:style>
  <w:style w:type="paragraph" w:customStyle="1" w:styleId="55">
    <w:name w:val="列出段落1"/>
    <w:basedOn w:val="1"/>
    <w:qFormat/>
    <w:uiPriority w:val="0"/>
    <w:pPr>
      <w:ind w:firstLine="420" w:firstLineChars="200"/>
    </w:pPr>
  </w:style>
  <w:style w:type="character" w:customStyle="1" w:styleId="56">
    <w:name w:val="font11"/>
    <w:basedOn w:val="20"/>
    <w:qFormat/>
    <w:uiPriority w:val="0"/>
    <w:rPr>
      <w:rFonts w:hint="eastAsia" w:ascii="宋体" w:hAnsi="宋体" w:eastAsia="宋体" w:cs="宋体"/>
      <w:color w:val="000000"/>
      <w:sz w:val="20"/>
      <w:szCs w:val="20"/>
      <w:u w:val="none"/>
    </w:rPr>
  </w:style>
  <w:style w:type="character" w:customStyle="1" w:styleId="57">
    <w:name w:val="font01"/>
    <w:basedOn w:val="20"/>
    <w:qFormat/>
    <w:uiPriority w:val="0"/>
    <w:rPr>
      <w:rFonts w:hint="eastAsia" w:ascii="宋体" w:hAnsi="宋体" w:eastAsia="宋体" w:cs="宋体"/>
      <w:b/>
      <w:color w:val="000000"/>
      <w:sz w:val="20"/>
      <w:szCs w:val="20"/>
      <w:u w:val="none"/>
    </w:rPr>
  </w:style>
  <w:style w:type="character" w:customStyle="1" w:styleId="58">
    <w:name w:val="font41"/>
    <w:basedOn w:val="20"/>
    <w:qFormat/>
    <w:uiPriority w:val="0"/>
    <w:rPr>
      <w:rFonts w:hint="eastAsia" w:ascii="宋体" w:hAnsi="宋体" w:eastAsia="宋体" w:cs="宋体"/>
      <w:color w:val="000000"/>
      <w:sz w:val="22"/>
      <w:szCs w:val="22"/>
      <w:u w:val="none"/>
    </w:rPr>
  </w:style>
</w:styles>
</file>

<file path=word/_rels/document.xml.rels><?xml version="1.0" encoding="UTF-8" standalone="yes"?>
<Relationships xmlns="http://schemas.openxmlformats.org/package/2006/relationships"><Relationship Id="rId9" Type="http://schemas.openxmlformats.org/officeDocument/2006/relationships/header" Target="header4.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header" Target="header3.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8" Type="http://schemas.openxmlformats.org/officeDocument/2006/relationships/fontTable" Target="fontTable.xml"/><Relationship Id="rId17" Type="http://schemas.openxmlformats.org/officeDocument/2006/relationships/customXml" Target="../customXml/item2.xml"/><Relationship Id="rId16" Type="http://schemas.openxmlformats.org/officeDocument/2006/relationships/numbering" Target="numbering.xml"/><Relationship Id="rId15" Type="http://schemas.openxmlformats.org/officeDocument/2006/relationships/customXml" Target="../customXml/item1.xml"/><Relationship Id="rId14" Type="http://schemas.openxmlformats.org/officeDocument/2006/relationships/image" Target="media/image1.png"/><Relationship Id="rId13" Type="http://schemas.openxmlformats.org/officeDocument/2006/relationships/theme" Target="theme/theme1.xml"/><Relationship Id="rId12" Type="http://schemas.openxmlformats.org/officeDocument/2006/relationships/footer" Target="footer6.xml"/><Relationship Id="rId11" Type="http://schemas.openxmlformats.org/officeDocument/2006/relationships/footer" Target="footer5.xml"/><Relationship Id="rId10" Type="http://schemas.openxmlformats.org/officeDocument/2006/relationships/footer" Target="footer4.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ops>
  <customShpExts>
    <customShpInfo spid="_x0000_s2052"/>
    <customShpInfo spid="_x0000_s2050"/>
    <customShpInfo spid="_x0000_s2051"/>
    <customShpInfo spid="_x0000_s2049"/>
    <customShpInfo spid="_x0000_s1028"/>
    <customShpInfo spid="_x0000_s1026"/>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5BC476DE-EE94-454C-B172-4F57EBF5BBD9}">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72</Pages>
  <Words>7351</Words>
  <Characters>41904</Characters>
  <Lines>349</Lines>
  <Paragraphs>98</Paragraphs>
  <TotalTime>6</TotalTime>
  <ScaleCrop>false</ScaleCrop>
  <LinksUpToDate>false</LinksUpToDate>
  <CharactersWithSpaces>49157</CharactersWithSpaces>
  <Application>WPS Office_12.1.0.15336_F1E327BC-269C-435d-A152-05C5408002CA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2019-07-27T07:37:00Z</dcterms:created>
  <dc:creator>Administrator</dc:creator>
  <cp:lastModifiedBy>Otomi</cp:lastModifiedBy>
  <cp:lastPrinted>2020-10-19T03:55:00Z</cp:lastPrinted>
  <dcterms:modified xsi:type="dcterms:W3CDTF">2023-08-15T07:27:26Z</dcterms:modified>
  <cp:revision>13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2052-12.1.0.15336</vt:lpwstr>
  </property>
  <property fmtid="{D5CDD505-2E9C-101B-9397-08002B2CF9AE}" pid="3" name="ICV">
    <vt:lpwstr>6CB2159AE729434FB388A9405538A81C_12</vt:lpwstr>
  </property>
</Properties>
</file>