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1064" w:tblpY="308"/>
        <w:tblOverlap w:val="never"/>
        <w:tblW w:w="9750" w:type="dxa"/>
        <w:tblCellSpacing w:w="0" w:type="dxa"/>
        <w:tblInd w:w="0" w:type="dxa"/>
        <w:shd w:val="clear" w:color="auto" w:fill="FFFFFF"/>
        <w:tblLayout w:type="fixed"/>
        <w:tblCellMar>
          <w:top w:w="0" w:type="dxa"/>
          <w:left w:w="0" w:type="dxa"/>
          <w:bottom w:w="0" w:type="dxa"/>
          <w:right w:w="0" w:type="dxa"/>
        </w:tblCellMar>
      </w:tblPr>
      <w:tblGrid>
        <w:gridCol w:w="9750"/>
      </w:tblGrid>
      <w:tr>
        <w:tblPrEx>
          <w:shd w:val="clear" w:color="auto" w:fill="FFFFFF"/>
          <w:tblCellMar>
            <w:top w:w="0" w:type="dxa"/>
            <w:left w:w="0" w:type="dxa"/>
            <w:bottom w:w="0" w:type="dxa"/>
            <w:right w:w="0" w:type="dxa"/>
          </w:tblCellMar>
        </w:tblPrEx>
        <w:trPr>
          <w:tblCellSpacing w:w="0" w:type="dxa"/>
        </w:trPr>
        <w:tc>
          <w:tcPr>
            <w:tcW w:w="9750" w:type="dxa"/>
            <w:shd w:val="clear" w:color="auto" w:fill="FFFFFF"/>
            <w:vAlign w:val="center"/>
          </w:tcPr>
          <w:p>
            <w:pPr>
              <w:pStyle w:val="5"/>
              <w:widowControl/>
              <w:spacing w:before="0" w:beforeAutospacing="0" w:after="0" w:afterAutospacing="0" w:line="432" w:lineRule="atLeast"/>
              <w:jc w:val="center"/>
              <w:rPr>
                <w:rFonts w:hint="eastAsia" w:ascii="仿宋_GB2312" w:hAnsi="仿宋_GB2312" w:eastAsia="仿宋_GB2312" w:cs="仿宋_GB2312"/>
                <w:b/>
                <w:color w:val="333333"/>
                <w:sz w:val="44"/>
                <w:szCs w:val="44"/>
                <w:lang w:eastAsia="zh-CN"/>
              </w:rPr>
            </w:pPr>
            <w:r>
              <w:rPr>
                <w:rFonts w:hint="eastAsia" w:ascii="仿宋_GB2312" w:hAnsi="仿宋_GB2312" w:eastAsia="仿宋_GB2312" w:cs="仿宋_GB2312"/>
                <w:b/>
                <w:color w:val="333333"/>
                <w:sz w:val="44"/>
                <w:szCs w:val="44"/>
                <w:lang w:eastAsia="zh-CN"/>
              </w:rPr>
              <w:t>西安市阎良区发展和改革委员会</w:t>
            </w:r>
          </w:p>
          <w:p>
            <w:pPr>
              <w:pStyle w:val="5"/>
              <w:widowControl/>
              <w:spacing w:before="0" w:beforeAutospacing="0" w:after="0" w:afterAutospacing="0" w:line="432" w:lineRule="atLeast"/>
              <w:jc w:val="center"/>
              <w:rPr>
                <w:rFonts w:ascii="仿宋_GB2312" w:hAnsi="仿宋_GB2312" w:eastAsia="仿宋_GB2312" w:cs="仿宋_GB2312"/>
                <w:sz w:val="44"/>
                <w:szCs w:val="44"/>
              </w:rPr>
            </w:pPr>
            <w:r>
              <w:rPr>
                <w:rFonts w:hint="eastAsia" w:ascii="仿宋_GB2312" w:hAnsi="仿宋_GB2312" w:eastAsia="仿宋_GB2312" w:cs="仿宋_GB2312"/>
                <w:b/>
                <w:color w:val="333333"/>
                <w:sz w:val="44"/>
                <w:szCs w:val="44"/>
                <w:lang w:val="en-US" w:eastAsia="zh-CN"/>
              </w:rPr>
              <w:t>2019年</w:t>
            </w:r>
            <w:r>
              <w:rPr>
                <w:rFonts w:hint="eastAsia" w:ascii="仿宋_GB2312" w:hAnsi="仿宋_GB2312" w:eastAsia="仿宋_GB2312" w:cs="仿宋_GB2312"/>
                <w:b/>
                <w:color w:val="333333"/>
                <w:sz w:val="44"/>
                <w:szCs w:val="44"/>
              </w:rPr>
              <w:t>政府信息公开工作年度报告</w:t>
            </w:r>
          </w:p>
          <w:p>
            <w:pPr>
              <w:pStyle w:val="5"/>
              <w:widowControl/>
              <w:spacing w:before="0" w:beforeAutospacing="0" w:after="0" w:afterAutospacing="0" w:line="432" w:lineRule="atLeast"/>
              <w:ind w:firstLine="420"/>
              <w:jc w:val="both"/>
              <w:rPr>
                <w:rFonts w:ascii="仿宋_GB2312" w:hAnsi="仿宋_GB2312" w:eastAsia="仿宋_GB2312" w:cs="仿宋_GB2312"/>
                <w:sz w:val="32"/>
                <w:szCs w:val="32"/>
              </w:rPr>
            </w:pPr>
          </w:p>
          <w:p>
            <w:pPr>
              <w:pStyle w:val="5"/>
              <w:widowControl/>
              <w:numPr>
                <w:ilvl w:val="0"/>
                <w:numId w:val="1"/>
              </w:numPr>
              <w:spacing w:before="0" w:beforeAutospacing="0" w:after="0" w:afterAutospacing="0" w:line="432" w:lineRule="atLeast"/>
              <w:ind w:firstLine="420"/>
              <w:jc w:val="both"/>
              <w:rPr>
                <w:rFonts w:hint="eastAsia" w:ascii="仿宋_GB2312" w:hAnsi="仿宋_GB2312" w:eastAsia="仿宋_GB2312" w:cs="仿宋_GB2312"/>
                <w:b/>
                <w:color w:val="333333"/>
                <w:sz w:val="32"/>
                <w:szCs w:val="32"/>
              </w:rPr>
            </w:pPr>
            <w:r>
              <w:rPr>
                <w:rFonts w:hint="eastAsia" w:ascii="仿宋_GB2312" w:hAnsi="仿宋_GB2312" w:eastAsia="仿宋_GB2312" w:cs="仿宋_GB2312"/>
                <w:b/>
                <w:color w:val="333333"/>
                <w:sz w:val="32"/>
                <w:szCs w:val="32"/>
              </w:rPr>
              <w:t>总体情况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2019年，阎良区发改委高度重视政务公开工作，严格按照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《中华人民共和国政府</w:t>
            </w:r>
            <w:bookmarkStart w:id="0" w:name="_GoBack"/>
            <w:bookmarkEnd w:id="0"/>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信息公开条例》相关要求，围绕我委工作和发展大局，依法、及时、准确、有效地公开我委实时动态和重点工作进展情况。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主动公开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至2019年，我委共发布各类信息44条，其中部门动态28条，部门文件2条，立项申报信息1条，政策解读10条，发展规划信息1条，党建工作2条；通过区政府网站发布信息42条，通过阎良组工微信公众号发布信息2条。</w:t>
            </w:r>
            <w:r>
              <w:rPr>
                <w:rFonts w:hint="eastAsia" w:ascii="仿宋_GB2312" w:hAnsi="仿宋_GB2312" w:eastAsia="仿宋_GB2312" w:cs="仿宋_GB2312"/>
                <w:sz w:val="32"/>
                <w:szCs w:val="32"/>
                <w:lang w:val="en-US" w:eastAsia="zh-CN"/>
              </w:rPr>
              <w:t>主要涉及机构概况、国民经济和社会发展规划、生猪养殖便民信息、内资负面清单和外资负面清单文件政策、可行性研究报告批复、服务收费目录清单等方面。</w:t>
            </w:r>
          </w:p>
          <w:p>
            <w:pPr>
              <w:pStyle w:val="5"/>
              <w:widowControl/>
              <w:numPr>
                <w:ilvl w:val="0"/>
                <w:numId w:val="0"/>
              </w:numPr>
              <w:spacing w:before="0" w:beforeAutospacing="0" w:after="0" w:afterAutospacing="0"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b/>
                <w:bCs/>
                <w:sz w:val="32"/>
                <w:szCs w:val="32"/>
                <w:lang w:val="en-US" w:eastAsia="zh-CN"/>
              </w:rPr>
              <w:t>依申请公开</w:t>
            </w:r>
            <w:r>
              <w:rPr>
                <w:rFonts w:hint="eastAsia" w:ascii="仿宋_GB2312" w:hAnsi="仿宋_GB2312" w:eastAsia="仿宋_GB2312" w:cs="仿宋_GB2312"/>
                <w:sz w:val="32"/>
                <w:szCs w:val="32"/>
                <w:lang w:val="en-US" w:eastAsia="zh-CN"/>
              </w:rPr>
              <w:t>。我委全年收到政府信息公开申请件6件，全部办结，申请公开的内容主要涉及阎良区新跃村安芦组棚户区改造等相关信息。</w:t>
            </w:r>
          </w:p>
          <w:p>
            <w:pPr>
              <w:pStyle w:val="5"/>
              <w:widowControl/>
              <w:numPr>
                <w:ilvl w:val="0"/>
                <w:numId w:val="0"/>
              </w:numPr>
              <w:spacing w:before="0" w:beforeAutospacing="0" w:after="0" w:afterAutospacing="0"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b/>
                <w:bCs/>
                <w:sz w:val="32"/>
                <w:szCs w:val="32"/>
                <w:lang w:val="en-US" w:eastAsia="zh-CN"/>
              </w:rPr>
              <w:t>政府信息管理</w:t>
            </w:r>
            <w:r>
              <w:rPr>
                <w:rFonts w:hint="eastAsia" w:ascii="仿宋_GB2312" w:hAnsi="仿宋_GB2312" w:eastAsia="仿宋_GB2312" w:cs="仿宋_GB2312"/>
                <w:sz w:val="32"/>
                <w:szCs w:val="32"/>
                <w:lang w:val="en-US" w:eastAsia="zh-CN"/>
              </w:rPr>
              <w:t>。我委制定《阎良区发展和改革委员会信息报送管理办法》，规范管理我委政务公开信息，严格信息发布程序，逐级审核，严把文字关，同时在政府网站公布了我委政务公开工作分管领导，并对外公布政务公开信息工作的监督电话。</w:t>
            </w:r>
          </w:p>
          <w:p>
            <w:pPr>
              <w:pStyle w:val="5"/>
              <w:widowControl/>
              <w:numPr>
                <w:ilvl w:val="0"/>
                <w:numId w:val="0"/>
              </w:numPr>
              <w:spacing w:before="0" w:beforeAutospacing="0" w:after="0" w:afterAutospacing="0"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b/>
                <w:bCs/>
                <w:sz w:val="32"/>
                <w:szCs w:val="32"/>
                <w:lang w:val="en-US" w:eastAsia="zh-CN"/>
              </w:rPr>
              <w:t>平台建设</w:t>
            </w:r>
            <w:r>
              <w:rPr>
                <w:rFonts w:hint="eastAsia" w:ascii="仿宋_GB2312" w:hAnsi="仿宋_GB2312" w:eastAsia="仿宋_GB2312" w:cs="仿宋_GB2312"/>
                <w:sz w:val="32"/>
                <w:szCs w:val="32"/>
                <w:lang w:val="en-US" w:eastAsia="zh-CN"/>
              </w:rPr>
              <w:t>。我委严格按照《条例》和《阎良区政府政务公开督办单（2019年13号）》要求，将自建新媒体“阎良发展改革”微信公众号和“西安市阎良区发改委”今日头条关停，所有信息公开均以区政府门户网站和其他区级新媒体为依托。</w:t>
            </w:r>
          </w:p>
          <w:p>
            <w:pPr>
              <w:pStyle w:val="5"/>
              <w:widowControl/>
              <w:spacing w:before="0" w:beforeAutospacing="0" w:after="240" w:afterAutospacing="0" w:line="432" w:lineRule="atLeast"/>
              <w:jc w:val="both"/>
              <w:rPr>
                <w:rFonts w:hint="eastAsia" w:ascii="仿宋_GB2312" w:hAnsi="仿宋_GB2312" w:eastAsia="仿宋_GB2312" w:cs="仿宋_GB2312"/>
                <w:b/>
                <w:color w:val="333333"/>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b/>
                <w:bCs/>
                <w:sz w:val="32"/>
                <w:szCs w:val="32"/>
                <w:lang w:val="en-US" w:eastAsia="zh-CN"/>
              </w:rPr>
              <w:t>监督保障</w:t>
            </w:r>
            <w:r>
              <w:rPr>
                <w:rFonts w:hint="eastAsia" w:ascii="仿宋_GB2312" w:hAnsi="仿宋_GB2312" w:eastAsia="仿宋_GB2312" w:cs="仿宋_GB2312"/>
                <w:sz w:val="32"/>
                <w:szCs w:val="32"/>
                <w:lang w:val="en-US" w:eastAsia="zh-CN"/>
              </w:rPr>
              <w:t>。我委成立了以党组书记、主任为组长，分管副主任为副组长和相关科室负责人为成员的政务公开工作领导小组，以加强政务公开工作，形成主要领导亲自抓、分管领导具体抓的工作机制。领导小组下设办公室，具体日常工作由办公室主要负责，相关科室明确一名人员专门负责日常公开工作。2019年，无因政务公开导致的责任追究情况。</w:t>
            </w:r>
          </w:p>
          <w:p>
            <w:pPr>
              <w:pStyle w:val="5"/>
              <w:widowControl/>
              <w:spacing w:before="0" w:beforeAutospacing="0" w:after="24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二、主动公开政府信息情况</w:t>
            </w:r>
          </w:p>
          <w:tbl>
            <w:tblPr>
              <w:tblStyle w:val="6"/>
              <w:tblW w:w="8140" w:type="dxa"/>
              <w:jc w:val="center"/>
              <w:tblLayout w:type="fixed"/>
              <w:tblCellMar>
                <w:top w:w="0" w:type="dxa"/>
                <w:left w:w="0" w:type="dxa"/>
                <w:bottom w:w="0" w:type="dxa"/>
                <w:right w:w="0" w:type="dxa"/>
              </w:tblCellMar>
            </w:tblPr>
            <w:tblGrid>
              <w:gridCol w:w="2490"/>
              <w:gridCol w:w="2079"/>
              <w:gridCol w:w="1690"/>
              <w:gridCol w:w="1881"/>
            </w:tblGrid>
            <w:tr>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第二十条第（一）项</w:t>
                  </w:r>
                </w:p>
              </w:tc>
            </w:tr>
            <w:tr>
              <w:tblPrEx>
                <w:tblCellMar>
                  <w:top w:w="0" w:type="dxa"/>
                  <w:left w:w="0" w:type="dxa"/>
                  <w:bottom w:w="0" w:type="dxa"/>
                  <w:right w:w="0" w:type="dxa"/>
                </w:tblCellMar>
              </w:tblPrEx>
              <w:trPr>
                <w:trHeight w:val="124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本年新</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kern w:val="0"/>
                      <w:sz w:val="32"/>
                      <w:szCs w:val="32"/>
                    </w:rPr>
                    <w:t>制作数量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本年新</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kern w:val="0"/>
                      <w:sz w:val="32"/>
                      <w:szCs w:val="32"/>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对外公开总数量</w:t>
                  </w:r>
                </w:p>
              </w:tc>
            </w:tr>
            <w:tr>
              <w:tblPrEx>
                <w:tblCellMar>
                  <w:top w:w="0" w:type="dxa"/>
                  <w:left w:w="0" w:type="dxa"/>
                  <w:bottom w:w="0" w:type="dxa"/>
                  <w:right w:w="0" w:type="dxa"/>
                </w:tblCellMar>
              </w:tblPrEx>
              <w:trPr>
                <w:trHeight w:val="52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规章</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0</w:t>
                  </w:r>
                </w:p>
              </w:tc>
            </w:tr>
            <w:tr>
              <w:tblPrEx>
                <w:tblCellMar>
                  <w:top w:w="0" w:type="dxa"/>
                  <w:left w:w="0" w:type="dxa"/>
                  <w:bottom w:w="0" w:type="dxa"/>
                  <w:right w:w="0" w:type="dxa"/>
                </w:tblCellMar>
              </w:tblPrEx>
              <w:trPr>
                <w:trHeight w:val="47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规范性文件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1</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第二十条第（五）项</w:t>
                  </w:r>
                </w:p>
              </w:tc>
            </w:tr>
            <w:tr>
              <w:tblPrEx>
                <w:tblCellMar>
                  <w:top w:w="0" w:type="dxa"/>
                  <w:left w:w="0" w:type="dxa"/>
                  <w:bottom w:w="0" w:type="dxa"/>
                  <w:right w:w="0" w:type="dxa"/>
                </w:tblCellMar>
              </w:tblPrEx>
              <w:trPr>
                <w:trHeight w:val="1037"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处理决定数量</w:t>
                  </w:r>
                </w:p>
              </w:tc>
            </w:tr>
            <w:tr>
              <w:tblPrEx>
                <w:tblCellMar>
                  <w:top w:w="0" w:type="dxa"/>
                  <w:left w:w="0" w:type="dxa"/>
                  <w:bottom w:w="0" w:type="dxa"/>
                  <w:right w:w="0" w:type="dxa"/>
                </w:tblCellMar>
              </w:tblPrEx>
              <w:trPr>
                <w:trHeight w:val="528"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行政许可</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2</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eastAsia="zh-CN"/>
                    </w:rPr>
                    <w:t>增</w:t>
                  </w:r>
                  <w:r>
                    <w:rPr>
                      <w:rFonts w:hint="eastAsia" w:ascii="仿宋_GB2312" w:hAnsi="仿宋_GB2312" w:eastAsia="仿宋_GB2312" w:cs="仿宋_GB2312"/>
                      <w:color w:val="000000"/>
                      <w:kern w:val="0"/>
                      <w:sz w:val="32"/>
                      <w:szCs w:val="32"/>
                      <w:lang w:val="en-US" w:eastAsia="zh-CN"/>
                    </w:rPr>
                    <w:t>1</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11</w:t>
                  </w:r>
                </w:p>
              </w:tc>
            </w:tr>
            <w:tr>
              <w:tblPrEx>
                <w:tblCellMar>
                  <w:top w:w="0" w:type="dxa"/>
                  <w:left w:w="0" w:type="dxa"/>
                  <w:bottom w:w="0" w:type="dxa"/>
                  <w:right w:w="0" w:type="dxa"/>
                </w:tblCellMar>
              </w:tblPrEx>
              <w:trPr>
                <w:trHeight w:val="55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其他对外管理服务事项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6</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eastAsia="zh-CN"/>
                    </w:rPr>
                    <w:t>增</w:t>
                  </w:r>
                  <w:r>
                    <w:rPr>
                      <w:rFonts w:hint="eastAsia" w:ascii="仿宋_GB2312" w:hAnsi="仿宋_GB2312" w:eastAsia="仿宋_GB2312" w:cs="仿宋_GB2312"/>
                      <w:color w:val="000000"/>
                      <w:kern w:val="0"/>
                      <w:sz w:val="32"/>
                      <w:szCs w:val="32"/>
                      <w:lang w:val="en-US" w:eastAsia="zh-CN"/>
                    </w:rPr>
                    <w:t>1</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267</w:t>
                  </w:r>
                </w:p>
              </w:tc>
            </w:tr>
            <w:tr>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第二十条第（六）项</w:t>
                  </w:r>
                </w:p>
              </w:tc>
            </w:tr>
            <w:tr>
              <w:tblPrEx>
                <w:tblCellMar>
                  <w:top w:w="0" w:type="dxa"/>
                  <w:left w:w="0" w:type="dxa"/>
                  <w:bottom w:w="0" w:type="dxa"/>
                  <w:right w:w="0" w:type="dxa"/>
                </w:tblCellMar>
              </w:tblPrEx>
              <w:trPr>
                <w:trHeight w:val="634"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处理决定数量</w:t>
                  </w:r>
                </w:p>
              </w:tc>
            </w:tr>
            <w:tr>
              <w:tblPrEx>
                <w:tblCellMar>
                  <w:top w:w="0" w:type="dxa"/>
                  <w:left w:w="0" w:type="dxa"/>
                  <w:bottom w:w="0" w:type="dxa"/>
                  <w:right w:w="0" w:type="dxa"/>
                </w:tblCellMar>
              </w:tblPrEx>
              <w:trPr>
                <w:trHeight w:val="43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行政处罚</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color w:val="000000"/>
                      <w:kern w:val="0"/>
                      <w:sz w:val="32"/>
                      <w:szCs w:val="32"/>
                      <w:lang w:eastAsia="zh-CN"/>
                    </w:rPr>
                    <w:t>增</w:t>
                  </w:r>
                  <w:r>
                    <w:rPr>
                      <w:rFonts w:hint="eastAsia" w:ascii="仿宋_GB2312" w:hAnsi="仿宋_GB2312" w:eastAsia="仿宋_GB2312" w:cs="仿宋_GB2312"/>
                      <w:color w:val="000000"/>
                      <w:kern w:val="0"/>
                      <w:sz w:val="32"/>
                      <w:szCs w:val="32"/>
                      <w:lang w:val="en-US" w:eastAsia="zh-CN"/>
                    </w:rPr>
                    <w:t>1</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color w:val="000000"/>
                      <w:kern w:val="0"/>
                      <w:sz w:val="32"/>
                      <w:szCs w:val="32"/>
                      <w:lang w:val="en-US" w:eastAsia="zh-CN"/>
                    </w:rPr>
                    <w:t>1</w:t>
                  </w:r>
                </w:p>
              </w:tc>
            </w:tr>
            <w:tr>
              <w:tblPrEx>
                <w:tblCellMar>
                  <w:top w:w="0" w:type="dxa"/>
                  <w:left w:w="0" w:type="dxa"/>
                  <w:bottom w:w="0" w:type="dxa"/>
                  <w:right w:w="0" w:type="dxa"/>
                </w:tblCellMar>
              </w:tblPrEx>
              <w:trPr>
                <w:trHeight w:val="40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行政强制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rPr>
                    <w:t>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color w:val="000000"/>
                      <w:kern w:val="0"/>
                      <w:sz w:val="32"/>
                      <w:szCs w:val="32"/>
                      <w:lang w:val="en-US" w:eastAsia="zh-CN"/>
                    </w:rPr>
                    <w:t>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color w:val="000000"/>
                      <w:kern w:val="0"/>
                      <w:sz w:val="32"/>
                      <w:szCs w:val="32"/>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第二十条第（八）项</w:t>
                  </w:r>
                </w:p>
              </w:tc>
            </w:tr>
            <w:tr>
              <w:tblPrEx>
                <w:tblCellMar>
                  <w:top w:w="0" w:type="dxa"/>
                  <w:left w:w="0" w:type="dxa"/>
                  <w:bottom w:w="0" w:type="dxa"/>
                  <w:right w:w="0" w:type="dxa"/>
                </w:tblCellMar>
              </w:tblPrEx>
              <w:trPr>
                <w:trHeight w:val="27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r>
            <w:tr>
              <w:tblPrEx>
                <w:tblCellMar>
                  <w:top w:w="0" w:type="dxa"/>
                  <w:left w:w="0" w:type="dxa"/>
                  <w:bottom w:w="0" w:type="dxa"/>
                  <w:right w:w="0" w:type="dxa"/>
                </w:tblCellMar>
              </w:tblPrEx>
              <w:trPr>
                <w:trHeight w:val="55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行政事业性收费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rPr>
                    <w:t>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0</w:t>
                  </w:r>
                </w:p>
              </w:tc>
            </w:tr>
            <w:tr>
              <w:tblPrEx>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第二十条第（九）项</w:t>
                  </w:r>
                </w:p>
              </w:tc>
            </w:tr>
            <w:tr>
              <w:tblPrEx>
                <w:tblCellMar>
                  <w:top w:w="0" w:type="dxa"/>
                  <w:left w:w="0" w:type="dxa"/>
                  <w:bottom w:w="0" w:type="dxa"/>
                  <w:right w:w="0" w:type="dxa"/>
                </w:tblCellMar>
              </w:tblPrEx>
              <w:trPr>
                <w:trHeight w:val="585"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采购项目数量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采购总金额</w:t>
                  </w:r>
                </w:p>
              </w:tc>
            </w:tr>
            <w:tr>
              <w:tblPrEx>
                <w:tblCellMar>
                  <w:top w:w="0" w:type="dxa"/>
                  <w:left w:w="0" w:type="dxa"/>
                  <w:bottom w:w="0" w:type="dxa"/>
                  <w:right w:w="0" w:type="dxa"/>
                </w:tblCellMar>
              </w:tblPrEx>
              <w:trPr>
                <w:trHeight w:val="53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政府集中采购</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spacing w:line="40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bl>
          <w:p>
            <w:pPr>
              <w:pStyle w:val="5"/>
              <w:widowControl/>
              <w:spacing w:before="0" w:beforeAutospacing="0" w:after="240" w:afterAutospacing="0" w:line="432" w:lineRule="atLeast"/>
              <w:ind w:firstLine="321" w:firstLineChars="100"/>
              <w:jc w:val="both"/>
              <w:rPr>
                <w:rFonts w:hint="eastAsia" w:ascii="仿宋_GB2312" w:hAnsi="仿宋_GB2312" w:eastAsia="仿宋_GB2312" w:cs="仿宋_GB2312"/>
                <w:b/>
                <w:color w:val="333333"/>
                <w:sz w:val="32"/>
                <w:szCs w:val="32"/>
              </w:rPr>
            </w:pPr>
          </w:p>
          <w:p>
            <w:pPr>
              <w:pStyle w:val="5"/>
              <w:widowControl/>
              <w:spacing w:before="0" w:beforeAutospacing="0" w:after="240" w:afterAutospacing="0" w:line="432" w:lineRule="atLeast"/>
              <w:ind w:firstLine="321" w:firstLineChars="10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三、收到和处理政府信息公开申请情况</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7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6</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6</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r>
          </w:tbl>
          <w:p>
            <w:pPr>
              <w:pStyle w:val="5"/>
              <w:widowControl/>
              <w:numPr>
                <w:ilvl w:val="0"/>
                <w:numId w:val="0"/>
              </w:numPr>
              <w:spacing w:before="0" w:beforeAutospacing="0" w:after="0" w:afterAutospacing="0" w:line="432" w:lineRule="atLeast"/>
              <w:jc w:val="left"/>
              <w:rPr>
                <w:rFonts w:hint="eastAsia" w:ascii="仿宋_GB2312" w:hAnsi="仿宋_GB2312" w:eastAsia="仿宋_GB2312" w:cs="仿宋_GB2312"/>
                <w:b/>
                <w:color w:val="333333"/>
                <w:sz w:val="32"/>
                <w:szCs w:val="32"/>
              </w:rPr>
            </w:pPr>
          </w:p>
          <w:p>
            <w:pPr>
              <w:pStyle w:val="5"/>
              <w:widowControl/>
              <w:numPr>
                <w:ilvl w:val="0"/>
                <w:numId w:val="0"/>
              </w:numPr>
              <w:spacing w:before="0" w:beforeAutospacing="0" w:after="0" w:afterAutospacing="0" w:line="432" w:lineRule="atLeast"/>
              <w:jc w:val="left"/>
              <w:rPr>
                <w:rFonts w:hint="eastAsia" w:ascii="仿宋_GB2312" w:hAnsi="仿宋_GB2312" w:eastAsia="仿宋_GB2312" w:cs="仿宋_GB2312"/>
                <w:b/>
                <w:color w:val="333333"/>
                <w:sz w:val="32"/>
                <w:szCs w:val="32"/>
              </w:rPr>
            </w:pPr>
          </w:p>
          <w:p>
            <w:pPr>
              <w:pStyle w:val="5"/>
              <w:widowControl/>
              <w:numPr>
                <w:ilvl w:val="0"/>
                <w:numId w:val="0"/>
              </w:numPr>
              <w:spacing w:before="0" w:beforeAutospacing="0" w:after="0" w:afterAutospacing="0" w:line="432" w:lineRule="atLeast"/>
              <w:jc w:val="left"/>
              <w:rPr>
                <w:rFonts w:hint="eastAsia" w:ascii="仿宋_GB2312" w:hAnsi="仿宋_GB2312" w:eastAsia="仿宋_GB2312" w:cs="仿宋_GB2312"/>
                <w:b/>
                <w:color w:val="333333"/>
                <w:sz w:val="32"/>
                <w:szCs w:val="32"/>
              </w:rPr>
            </w:pPr>
          </w:p>
          <w:p>
            <w:pPr>
              <w:pStyle w:val="5"/>
              <w:widowControl/>
              <w:numPr>
                <w:ilvl w:val="0"/>
                <w:numId w:val="0"/>
              </w:numPr>
              <w:spacing w:before="0" w:beforeAutospacing="0" w:after="0" w:afterAutospacing="0" w:line="432" w:lineRule="atLeast"/>
              <w:ind w:firstLine="321" w:firstLineChars="100"/>
              <w:jc w:val="left"/>
              <w:rPr>
                <w:rFonts w:hint="eastAsia" w:ascii="仿宋_GB2312" w:hAnsi="仿宋_GB2312" w:eastAsia="仿宋_GB2312" w:cs="仿宋_GB2312"/>
                <w:b/>
                <w:color w:val="333333"/>
                <w:sz w:val="32"/>
                <w:szCs w:val="32"/>
              </w:rPr>
            </w:pPr>
            <w:r>
              <w:rPr>
                <w:rFonts w:hint="eastAsia" w:ascii="仿宋_GB2312" w:hAnsi="仿宋_GB2312" w:eastAsia="仿宋_GB2312" w:cs="仿宋_GB2312"/>
                <w:b/>
                <w:color w:val="333333"/>
                <w:sz w:val="32"/>
                <w:szCs w:val="32"/>
                <w:lang w:eastAsia="zh-CN"/>
              </w:rPr>
              <w:t>四、</w:t>
            </w:r>
            <w:r>
              <w:rPr>
                <w:rFonts w:hint="eastAsia" w:ascii="仿宋_GB2312" w:hAnsi="仿宋_GB2312" w:eastAsia="仿宋_GB2312" w:cs="仿宋_GB2312"/>
                <w:b/>
                <w:color w:val="333333"/>
                <w:sz w:val="32"/>
                <w:szCs w:val="32"/>
              </w:rPr>
              <w:t>政府信息公开行政复议、行政诉讼情况</w:t>
            </w:r>
          </w:p>
          <w:tbl>
            <w:tblPr>
              <w:tblStyle w:val="6"/>
              <w:tblpPr w:leftFromText="180" w:rightFromText="180" w:vertAnchor="text" w:horzAnchor="page" w:tblpX="447" w:tblpY="292"/>
              <w:tblOverlap w:val="never"/>
              <w:tblW w:w="907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tabs>
                      <w:tab w:val="left" w:pos="390"/>
                      <w:tab w:val="center" w:pos="1489"/>
                    </w:tabs>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总计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360" w:lineRule="exact"/>
                    <w:rPr>
                      <w:rFonts w:ascii="仿宋_GB2312" w:hAnsi="仿宋_GB2312" w:eastAsia="仿宋_GB2312" w:cs="仿宋_GB2312"/>
                      <w:sz w:val="32"/>
                      <w:szCs w:val="32"/>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spacing w:line="360" w:lineRule="exact"/>
                    <w:rPr>
                      <w:rFonts w:ascii="仿宋_GB2312" w:hAnsi="仿宋_GB2312" w:eastAsia="仿宋_GB2312" w:cs="仿宋_GB2312"/>
                      <w:sz w:val="32"/>
                      <w:szCs w:val="32"/>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其他结果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rPr>
                    <w:t> </w:t>
                  </w:r>
                  <w:r>
                    <w:rPr>
                      <w:rFonts w:hint="eastAsia" w:ascii="仿宋_GB2312" w:hAnsi="仿宋_GB2312" w:eastAsia="仿宋_GB2312" w:cs="仿宋_GB2312"/>
                      <w:color w:val="000000"/>
                      <w:kern w:val="0"/>
                      <w:sz w:val="32"/>
                      <w:szCs w:val="32"/>
                      <w:lang w:val="en-US" w:eastAsia="zh-CN"/>
                    </w:rPr>
                    <w:t>2</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 </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spacing w:line="3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bl>
          <w:p>
            <w:pPr>
              <w:pStyle w:val="5"/>
              <w:widowControl/>
              <w:spacing w:before="0" w:beforeAutospacing="0" w:after="0" w:afterAutospacing="0" w:line="432" w:lineRule="atLeast"/>
              <w:jc w:val="both"/>
              <w:rPr>
                <w:rFonts w:hint="eastAsia" w:ascii="仿宋_GB2312" w:hAnsi="仿宋_GB2312" w:eastAsia="仿宋_GB2312" w:cs="仿宋_GB2312"/>
                <w:b/>
                <w:color w:val="333333"/>
                <w:sz w:val="32"/>
                <w:szCs w:val="32"/>
              </w:rPr>
            </w:pPr>
            <w:r>
              <w:rPr>
                <w:rFonts w:hint="eastAsia" w:ascii="仿宋_GB2312" w:hAnsi="仿宋_GB2312" w:eastAsia="仿宋_GB2312" w:cs="仿宋_GB2312"/>
                <w:sz w:val="32"/>
                <w:szCs w:val="32"/>
                <w:lang w:val="en-US" w:eastAsia="zh-CN"/>
              </w:rPr>
              <w:t xml:space="preserve"> </w:t>
            </w:r>
          </w:p>
          <w:p>
            <w:pPr>
              <w:pStyle w:val="5"/>
              <w:widowControl/>
              <w:spacing w:before="0" w:beforeAutospacing="0" w:after="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我委在推进政府信息公开方面仍存在一些不容忽视的问题：一是对重点领域信息公开重视不够，主动公开意识不强，存在信息公开量不足、细化不够、发布不及时等问题；二是信息公开工作人员业务能力和技术水平不能满足工作需要，落实工作部署存在薄弱环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接下来我委将进一步加强组织领导，健全制度措施，不断完善平台机制，着力推进重点领域信息公开，持续强化监督保障，加强常态化工作落实，全面提高政务公开质量水平。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一是健全和完善信息公开各项制度，规范政务公开内容、形式，对涉及公众关心的重大问题、重大决策应该公开的及时公开，提高公开针对性、实效性。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二是严格落实信息审查制度。在现有制度的基础上，继续从严把关，严格对信息进行审查，做到发布的信息准确、可靠、保密。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eastAsia" w:ascii="仿宋_GB2312" w:hAnsi="仿宋_GB2312" w:eastAsia="仿宋_GB2312" w:cs="仿宋_GB2312"/>
                <w:sz w:val="32"/>
                <w:szCs w:val="32"/>
                <w:lang w:val="en-US" w:eastAsia="zh-CN"/>
              </w:rPr>
              <w:t xml:space="preserve">三是进一步提高各科室对做好政务公开工作的认识，加强宣传教育，营造良好的发改事业发展环境。 </w:t>
            </w:r>
          </w:p>
          <w:p>
            <w:pPr>
              <w:pStyle w:val="5"/>
              <w:widowControl/>
              <w:spacing w:before="0" w:beforeAutospacing="0" w:after="0" w:afterAutospacing="0" w:line="432" w:lineRule="atLeas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六、其他需要报告的事项</w:t>
            </w:r>
          </w:p>
          <w:p>
            <w:pPr>
              <w:pStyle w:val="5"/>
              <w:widowControl/>
              <w:spacing w:before="0" w:beforeAutospacing="0" w:after="0" w:afterAutospacing="0" w:line="432" w:lineRule="atLeast"/>
              <w:ind w:firstLine="42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333333"/>
                <w:sz w:val="32"/>
                <w:szCs w:val="32"/>
                <w:lang w:val="en-US" w:eastAsia="zh-CN"/>
              </w:rPr>
              <w:t>2019年无需要报告的其他事项。</w:t>
            </w:r>
          </w:p>
        </w:tc>
      </w:tr>
      <w:tr>
        <w:tblPrEx>
          <w:shd w:val="clear" w:color="auto" w:fill="FFFFFF"/>
          <w:tblCellMar>
            <w:top w:w="0" w:type="dxa"/>
            <w:left w:w="0" w:type="dxa"/>
            <w:bottom w:w="0" w:type="dxa"/>
            <w:right w:w="0" w:type="dxa"/>
          </w:tblCellMar>
        </w:tblPrEx>
        <w:trPr>
          <w:tblCellSpacing w:w="0" w:type="dxa"/>
        </w:trPr>
        <w:tc>
          <w:tcPr>
            <w:tcW w:w="9750" w:type="dxa"/>
            <w:shd w:val="clear" w:color="auto" w:fill="FFFFFF"/>
            <w:vAlign w:val="center"/>
          </w:tcPr>
          <w:p>
            <w:pPr>
              <w:jc w:val="left"/>
              <w:rPr>
                <w:rFonts w:ascii="仿宋_GB2312" w:hAnsi="仿宋_GB2312" w:eastAsia="仿宋_GB2312" w:cs="仿宋_GB2312"/>
                <w:color w:val="333333"/>
                <w:sz w:val="32"/>
                <w:szCs w:val="32"/>
              </w:rPr>
            </w:pPr>
          </w:p>
        </w:tc>
      </w:tr>
    </w:tbl>
    <w:p>
      <w:pPr>
        <w:pStyle w:val="2"/>
        <w:ind w:firstLine="0" w:firstLineChars="0"/>
        <w:rPr>
          <w:rFonts w:ascii="仿宋_GB2312" w:hAnsi="仿宋_GB2312" w:eastAsia="仿宋_GB2312" w:cs="仿宋_GB2312"/>
          <w:sz w:val="32"/>
          <w:szCs w:val="40"/>
        </w:rPr>
      </w:pPr>
    </w:p>
    <w:sectPr>
      <w:footerReference r:id="rId3" w:type="default"/>
      <w:pgSz w:w="11906" w:h="16838"/>
      <w:pgMar w:top="2098"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- 3 -</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13DA3"/>
    <w:multiLevelType w:val="singleLevel"/>
    <w:tmpl w:val="5BB13DA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72A27"/>
    <w:rsid w:val="00172A27"/>
    <w:rsid w:val="004557B2"/>
    <w:rsid w:val="009316CE"/>
    <w:rsid w:val="00B77D38"/>
    <w:rsid w:val="00F3358B"/>
    <w:rsid w:val="01EC2FC6"/>
    <w:rsid w:val="03AC3897"/>
    <w:rsid w:val="05FA343A"/>
    <w:rsid w:val="08D27787"/>
    <w:rsid w:val="08DC39E3"/>
    <w:rsid w:val="09C21831"/>
    <w:rsid w:val="0A785698"/>
    <w:rsid w:val="0EE37D87"/>
    <w:rsid w:val="0FF37D34"/>
    <w:rsid w:val="10946730"/>
    <w:rsid w:val="10E91B4E"/>
    <w:rsid w:val="12D134FA"/>
    <w:rsid w:val="161749CD"/>
    <w:rsid w:val="16372BB7"/>
    <w:rsid w:val="175A6206"/>
    <w:rsid w:val="1D1663CC"/>
    <w:rsid w:val="1EAE4EE3"/>
    <w:rsid w:val="21CA4DD2"/>
    <w:rsid w:val="243015B9"/>
    <w:rsid w:val="288D76AB"/>
    <w:rsid w:val="2C1438D4"/>
    <w:rsid w:val="2CE96FB0"/>
    <w:rsid w:val="2D48603E"/>
    <w:rsid w:val="2E0E64E6"/>
    <w:rsid w:val="31125E75"/>
    <w:rsid w:val="314E5DF2"/>
    <w:rsid w:val="31CC2C1F"/>
    <w:rsid w:val="31CD50D6"/>
    <w:rsid w:val="32666233"/>
    <w:rsid w:val="34E24DFD"/>
    <w:rsid w:val="36D278D5"/>
    <w:rsid w:val="3E6D0A2A"/>
    <w:rsid w:val="3F2043AB"/>
    <w:rsid w:val="40484F16"/>
    <w:rsid w:val="40DA29AF"/>
    <w:rsid w:val="414E0E14"/>
    <w:rsid w:val="43F801CC"/>
    <w:rsid w:val="471879F6"/>
    <w:rsid w:val="47B378EF"/>
    <w:rsid w:val="48567B4D"/>
    <w:rsid w:val="48DC33D2"/>
    <w:rsid w:val="49C7748D"/>
    <w:rsid w:val="4D456C16"/>
    <w:rsid w:val="4D7B091F"/>
    <w:rsid w:val="532E6CFE"/>
    <w:rsid w:val="540A5704"/>
    <w:rsid w:val="55B57625"/>
    <w:rsid w:val="5B3F16DD"/>
    <w:rsid w:val="5F4C24E3"/>
    <w:rsid w:val="60BE34B2"/>
    <w:rsid w:val="612F44EA"/>
    <w:rsid w:val="61C45341"/>
    <w:rsid w:val="657D1898"/>
    <w:rsid w:val="671D1E00"/>
    <w:rsid w:val="67765B21"/>
    <w:rsid w:val="6ADC6F16"/>
    <w:rsid w:val="6B2D5569"/>
    <w:rsid w:val="6D702A18"/>
    <w:rsid w:val="6E056E3F"/>
    <w:rsid w:val="6F17733B"/>
    <w:rsid w:val="701829B5"/>
    <w:rsid w:val="723C4342"/>
    <w:rsid w:val="7336301E"/>
    <w:rsid w:val="757768F5"/>
    <w:rsid w:val="77FE45ED"/>
    <w:rsid w:val="77FE4A81"/>
    <w:rsid w:val="78532B6D"/>
    <w:rsid w:val="7A046CB0"/>
    <w:rsid w:val="7A3C56BA"/>
    <w:rsid w:val="7AF33DE4"/>
    <w:rsid w:val="7BC1357D"/>
    <w:rsid w:val="7EFD5641"/>
    <w:rsid w:val="7F0602A8"/>
    <w:rsid w:val="7F9E5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rFonts w:ascii="Times New Roman" w:hAnsi="Times New Roman" w:eastAsia="方正仿宋简体" w:cs="Times New Roman"/>
      <w:kern w:val="0"/>
      <w:sz w:val="24"/>
      <w:szCs w:val="20"/>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20</Pages>
  <Words>7623</Words>
  <Characters>1085</Characters>
  <Lines>9</Lines>
  <Paragraphs>17</Paragraphs>
  <TotalTime>1</TotalTime>
  <ScaleCrop>false</ScaleCrop>
  <LinksUpToDate>false</LinksUpToDate>
  <CharactersWithSpaces>8691</CharactersWithSpaces>
  <Application>WPS Office_12.1.0.15336_F1E327BC-269C-435d-A152-05C5408002CA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2020-01-14T01:56:00Z</dcterms:created>
  <dc:creator>zjn</dc:creator>
  <cp:lastModifiedBy>Otomi</cp:lastModifiedBy>
  <cp:lastPrinted>2020-01-16T06:01:00Z</cp:lastPrinted>
  <dcterms:modified xsi:type="dcterms:W3CDTF">2023-08-15T07:55:30Z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11C9FD6A2A4C4FA7B2D6B11E1CC063C9_12</vt:lpwstr>
  </property>
</Properties>
</file>