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b/>
          <w:sz w:val="32"/>
          <w:szCs w:val="32"/>
        </w:rPr>
      </w:pPr>
      <w:r>
        <w:rPr>
          <w:rFonts w:hint="eastAsia" w:asciiTheme="minorEastAsia" w:hAnsiTheme="minorEastAsia"/>
          <w:b/>
          <w:sz w:val="28"/>
          <w:szCs w:val="28"/>
        </w:rPr>
        <w:t xml:space="preserve"> 陕西远华招标有限公司</w:t>
      </w:r>
    </w:p>
    <w:p>
      <w:pPr>
        <w:spacing w:line="360" w:lineRule="auto"/>
        <w:rPr>
          <w:rFonts w:asciiTheme="minorEastAsia" w:hAnsiTheme="minorEastAsia"/>
          <w:b/>
          <w:sz w:val="32"/>
          <w:szCs w:val="32"/>
        </w:rPr>
      </w:pPr>
      <w:r>
        <w:rPr>
          <w:rStyle w:val="47"/>
          <w:rFonts w:cs="Arial" w:asciiTheme="minorEastAsia" w:hAnsiTheme="minorEastAsia"/>
          <w:b/>
        </w:rPr>
        <w:t>Shanxi Yuanhua Tendering Co</w:t>
      </w:r>
    </w:p>
    <w:p>
      <w:pPr>
        <w:spacing w:line="360" w:lineRule="auto"/>
        <w:rPr>
          <w:rFonts w:ascii="宋体"/>
          <w:b/>
          <w:sz w:val="32"/>
          <w:szCs w:val="32"/>
        </w:rPr>
      </w:pPr>
    </w:p>
    <w:p>
      <w:pPr>
        <w:jc w:val="center"/>
        <w:rPr>
          <w:rFonts w:ascii="宋体" w:hAnsi="宋体"/>
          <w:b/>
          <w:color w:val="FF0000"/>
          <w:kern w:val="0"/>
          <w:sz w:val="52"/>
          <w:szCs w:val="52"/>
        </w:rPr>
      </w:pPr>
      <w:r>
        <w:rPr>
          <w:rFonts w:hint="eastAsia" w:ascii="宋体" w:hAnsi="宋体"/>
          <w:b/>
          <w:color w:val="FF0000"/>
          <w:kern w:val="0"/>
          <w:sz w:val="52"/>
          <w:szCs w:val="52"/>
        </w:rPr>
        <w:t>阎良区财政惠民补贴“一卡通”服务采购项目</w:t>
      </w:r>
    </w:p>
    <w:p>
      <w:pPr>
        <w:spacing w:line="360" w:lineRule="auto"/>
        <w:rPr>
          <w:rFonts w:ascii="宋体"/>
          <w:b/>
          <w:sz w:val="28"/>
          <w:szCs w:val="28"/>
        </w:rPr>
      </w:pPr>
    </w:p>
    <w:p>
      <w:pPr>
        <w:spacing w:line="360" w:lineRule="auto"/>
        <w:ind w:firstLine="416" w:firstLineChars="148"/>
        <w:jc w:val="center"/>
        <w:rPr>
          <w:rFonts w:ascii="宋体"/>
          <w:b/>
          <w:sz w:val="28"/>
          <w:szCs w:val="28"/>
        </w:rPr>
      </w:pPr>
      <w:r>
        <w:rPr>
          <w:rFonts w:hint="eastAsia" w:ascii="宋体"/>
          <w:b/>
          <w:sz w:val="28"/>
          <w:szCs w:val="28"/>
        </w:rPr>
        <w:drawing>
          <wp:anchor distT="0" distB="0" distL="114300" distR="114300" simplePos="0" relativeHeight="251659264" behindDoc="1" locked="0" layoutInCell="1" allowOverlap="1">
            <wp:simplePos x="0" y="0"/>
            <wp:positionH relativeFrom="column">
              <wp:posOffset>1308735</wp:posOffset>
            </wp:positionH>
            <wp:positionV relativeFrom="paragraph">
              <wp:posOffset>354330</wp:posOffset>
            </wp:positionV>
            <wp:extent cx="3084830" cy="3083560"/>
            <wp:effectExtent l="19050" t="0" r="1078" b="0"/>
            <wp:wrapNone/>
            <wp:docPr id="3" name="图片 1" descr="C:\Users\Administrator\Desktop\远华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esktop\远华标.jpg"/>
                    <pic:cNvPicPr>
                      <a:picLocks noChangeAspect="1" noChangeArrowheads="1"/>
                    </pic:cNvPicPr>
                  </pic:nvPicPr>
                  <pic:blipFill>
                    <a:blip r:embed="rId8" cstate="print"/>
                    <a:srcRect/>
                    <a:stretch>
                      <a:fillRect/>
                    </a:stretch>
                  </pic:blipFill>
                  <pic:spPr>
                    <a:xfrm>
                      <a:off x="0" y="0"/>
                      <a:ext cx="3085022" cy="3083442"/>
                    </a:xfrm>
                    <a:prstGeom prst="rect">
                      <a:avLst/>
                    </a:prstGeom>
                    <a:noFill/>
                    <a:ln w="9525">
                      <a:noFill/>
                      <a:miter lim="800000"/>
                      <a:headEnd/>
                      <a:tailEnd/>
                    </a:ln>
                  </pic:spPr>
                </pic:pic>
              </a:graphicData>
            </a:graphic>
          </wp:anchor>
        </w:drawing>
      </w:r>
    </w:p>
    <w:p>
      <w:pPr>
        <w:spacing w:line="360" w:lineRule="auto"/>
        <w:ind w:firstLine="416" w:firstLineChars="148"/>
        <w:jc w:val="center"/>
        <w:rPr>
          <w:rFonts w:ascii="宋体"/>
          <w:b/>
          <w:sz w:val="28"/>
          <w:szCs w:val="28"/>
        </w:rPr>
      </w:pPr>
    </w:p>
    <w:p>
      <w:pPr>
        <w:spacing w:line="360" w:lineRule="auto"/>
        <w:ind w:firstLine="416" w:firstLineChars="148"/>
        <w:jc w:val="center"/>
        <w:rPr>
          <w:rFonts w:ascii="宋体"/>
          <w:b/>
          <w:sz w:val="28"/>
          <w:szCs w:val="28"/>
        </w:rPr>
      </w:pPr>
    </w:p>
    <w:p>
      <w:pPr>
        <w:jc w:val="center"/>
        <w:rPr>
          <w:rFonts w:ascii="宋体" w:hAnsi="宋体"/>
          <w:b/>
          <w:sz w:val="44"/>
          <w:szCs w:val="44"/>
        </w:rPr>
      </w:pPr>
      <w:r>
        <w:rPr>
          <w:rFonts w:hint="eastAsia" w:ascii="宋体" w:hAnsi="宋体"/>
          <w:b/>
          <w:sz w:val="44"/>
          <w:szCs w:val="44"/>
        </w:rPr>
        <w:t xml:space="preserve">                                                                                                                                                                                                                                                                                                                                                                                                                                                                                                                                                                                                                                                                                                                                                                                                                                                                                                                                                                                                                                                                                                                                                                                                                                                                                                                                                                                                                                                                                                                                                                                                                                                                                                                                                                                                                                                                                                                                                                                                                                                                                                                                                                                                                                                                                                                                                                                                                                                                                                                                                                                                                                                                                                                                                                                                                                                                                                                                                                                                                                                                                                                                                                                                                                                                                                                                                                                                                                                                                                                                                                                                                                                                                                                                                                                              </w:t>
      </w:r>
    </w:p>
    <w:p>
      <w:pPr>
        <w:jc w:val="center"/>
        <w:rPr>
          <w:rFonts w:ascii="宋体"/>
          <w:b/>
          <w:sz w:val="52"/>
          <w:szCs w:val="52"/>
        </w:rPr>
      </w:pPr>
      <w:r>
        <w:rPr>
          <w:rFonts w:hint="eastAsia" w:ascii="宋体" w:hAnsi="宋体"/>
          <w:b/>
          <w:sz w:val="52"/>
          <w:szCs w:val="52"/>
        </w:rPr>
        <w:t>竞争性磋商文件</w:t>
      </w:r>
    </w:p>
    <w:p>
      <w:pPr>
        <w:spacing w:line="360" w:lineRule="auto"/>
        <w:ind w:firstLine="414" w:firstLineChars="148"/>
        <w:rPr>
          <w:rFonts w:ascii="宋体"/>
          <w:sz w:val="28"/>
          <w:szCs w:val="28"/>
        </w:rPr>
      </w:pPr>
    </w:p>
    <w:p>
      <w:pPr>
        <w:spacing w:line="360" w:lineRule="auto"/>
        <w:ind w:firstLine="414" w:firstLineChars="148"/>
        <w:rPr>
          <w:rFonts w:ascii="宋体"/>
          <w:sz w:val="28"/>
          <w:szCs w:val="28"/>
        </w:rPr>
      </w:pPr>
    </w:p>
    <w:p>
      <w:pPr>
        <w:spacing w:line="360" w:lineRule="auto"/>
        <w:ind w:firstLine="414" w:firstLineChars="148"/>
        <w:rPr>
          <w:rFonts w:ascii="宋体"/>
          <w:sz w:val="28"/>
          <w:szCs w:val="28"/>
        </w:rPr>
      </w:pPr>
    </w:p>
    <w:p>
      <w:pPr>
        <w:tabs>
          <w:tab w:val="left" w:pos="7800"/>
        </w:tabs>
        <w:spacing w:line="360" w:lineRule="auto"/>
        <w:ind w:firstLine="414" w:firstLineChars="148"/>
        <w:rPr>
          <w:rFonts w:ascii="宋体"/>
          <w:sz w:val="28"/>
          <w:szCs w:val="28"/>
        </w:rPr>
      </w:pPr>
      <w:r>
        <w:rPr>
          <w:rFonts w:ascii="宋体"/>
          <w:sz w:val="28"/>
          <w:szCs w:val="28"/>
        </w:rPr>
        <w:tab/>
      </w:r>
    </w:p>
    <w:p>
      <w:pPr>
        <w:spacing w:line="360" w:lineRule="auto"/>
        <w:ind w:firstLine="414" w:firstLineChars="148"/>
        <w:rPr>
          <w:rFonts w:ascii="宋体"/>
          <w:sz w:val="28"/>
          <w:szCs w:val="28"/>
        </w:rPr>
      </w:pPr>
    </w:p>
    <w:p>
      <w:pPr>
        <w:spacing w:line="360" w:lineRule="auto"/>
        <w:ind w:firstLine="2243" w:firstLineChars="798"/>
        <w:rPr>
          <w:rFonts w:ascii="宋体"/>
          <w:b/>
          <w:color w:val="FF0000"/>
          <w:sz w:val="28"/>
          <w:szCs w:val="28"/>
        </w:rPr>
      </w:pPr>
      <w:r>
        <w:rPr>
          <w:rFonts w:hint="eastAsia" w:ascii="宋体" w:hAnsi="宋体"/>
          <w:b/>
          <w:color w:val="FF0000"/>
          <w:sz w:val="28"/>
          <w:szCs w:val="28"/>
        </w:rPr>
        <w:t>采购项目编号：</w:t>
      </w:r>
      <w:r>
        <w:rPr>
          <w:rFonts w:ascii="宋体" w:hAnsi="宋体"/>
          <w:b/>
          <w:color w:val="FF0000"/>
          <w:sz w:val="28"/>
          <w:szCs w:val="28"/>
        </w:rPr>
        <w:t>YHZB2020-J-0</w:t>
      </w:r>
      <w:r>
        <w:rPr>
          <w:rFonts w:hint="eastAsia" w:ascii="宋体" w:hAnsi="宋体"/>
          <w:b/>
          <w:color w:val="FF0000"/>
          <w:sz w:val="28"/>
          <w:szCs w:val="28"/>
        </w:rPr>
        <w:t>34</w:t>
      </w:r>
    </w:p>
    <w:p>
      <w:pPr>
        <w:spacing w:line="360" w:lineRule="auto"/>
        <w:jc w:val="center"/>
        <w:rPr>
          <w:rFonts w:ascii="宋体"/>
          <w:b/>
          <w:sz w:val="28"/>
          <w:szCs w:val="28"/>
        </w:rPr>
      </w:pPr>
      <w:r>
        <w:rPr>
          <w:rFonts w:hint="eastAsia" w:ascii="宋体" w:hAnsi="宋体"/>
          <w:b/>
          <w:sz w:val="28"/>
          <w:szCs w:val="28"/>
        </w:rPr>
        <w:t xml:space="preserve">   采购代理机构：陕西远华招标有限公司</w:t>
      </w:r>
    </w:p>
    <w:p>
      <w:pPr>
        <w:spacing w:line="360" w:lineRule="auto"/>
        <w:ind w:left="1733" w:leftChars="223" w:hanging="1265" w:hangingChars="450"/>
        <w:jc w:val="center"/>
        <w:rPr>
          <w:rFonts w:ascii="宋体"/>
          <w:b/>
          <w:sz w:val="28"/>
          <w:szCs w:val="28"/>
        </w:rPr>
      </w:pPr>
    </w:p>
    <w:p>
      <w:pPr>
        <w:tabs>
          <w:tab w:val="center" w:pos="4203"/>
          <w:tab w:val="right" w:pos="8406"/>
        </w:tabs>
        <w:spacing w:line="360" w:lineRule="auto"/>
        <w:jc w:val="center"/>
        <w:rPr>
          <w:rFonts w:ascii="宋体" w:hAnsi="宋体"/>
          <w:b/>
          <w:sz w:val="28"/>
          <w:szCs w:val="28"/>
        </w:rPr>
      </w:pPr>
      <w:r>
        <w:rPr>
          <w:rFonts w:ascii="宋体" w:hAnsi="宋体"/>
          <w:b/>
          <w:sz w:val="28"/>
          <w:szCs w:val="28"/>
        </w:rPr>
        <w:t>中国·</w:t>
      </w:r>
      <w:r>
        <w:rPr>
          <w:rFonts w:hint="eastAsia" w:ascii="宋体" w:hAnsi="宋体"/>
          <w:b/>
          <w:sz w:val="28"/>
          <w:szCs w:val="28"/>
        </w:rPr>
        <w:t>陕西</w:t>
      </w:r>
    </w:p>
    <w:p>
      <w:pPr>
        <w:tabs>
          <w:tab w:val="center" w:pos="4153"/>
          <w:tab w:val="right" w:pos="8306"/>
        </w:tabs>
        <w:spacing w:line="360" w:lineRule="auto"/>
        <w:jc w:val="center"/>
        <w:rPr>
          <w:rFonts w:ascii="宋体" w:hAnsi="宋体"/>
          <w:b/>
          <w:bCs/>
          <w:sz w:val="28"/>
          <w:szCs w:val="28"/>
        </w:rPr>
      </w:pPr>
      <w:r>
        <w:rPr>
          <w:rFonts w:ascii="宋体" w:hAnsi="宋体" w:cs="Arial"/>
          <w:b/>
          <w:bCs/>
          <w:sz w:val="28"/>
          <w:szCs w:val="28"/>
        </w:rPr>
        <w:t>二</w:t>
      </w:r>
      <w:r>
        <w:rPr>
          <w:rFonts w:hint="eastAsia" w:ascii="宋体" w:hAnsi="宋体" w:cs="Arial"/>
          <w:b/>
          <w:bCs/>
          <w:sz w:val="28"/>
          <w:szCs w:val="28"/>
        </w:rPr>
        <w:t>○</w:t>
      </w:r>
      <w:r>
        <w:rPr>
          <w:rFonts w:ascii="宋体" w:hAnsi="宋体" w:cs="Arial"/>
          <w:b/>
          <w:bCs/>
          <w:sz w:val="28"/>
          <w:szCs w:val="28"/>
        </w:rPr>
        <w:t>二</w:t>
      </w:r>
      <w:r>
        <w:rPr>
          <w:rFonts w:hint="eastAsia" w:ascii="宋体" w:hAnsi="宋体" w:cs="Arial"/>
          <w:b/>
          <w:bCs/>
          <w:sz w:val="28"/>
          <w:szCs w:val="28"/>
        </w:rPr>
        <w:t>○</w:t>
      </w:r>
      <w:r>
        <w:rPr>
          <w:rFonts w:ascii="宋体" w:hAnsi="宋体"/>
          <w:b/>
          <w:bCs/>
          <w:sz w:val="28"/>
          <w:szCs w:val="28"/>
        </w:rPr>
        <w:t>年</w:t>
      </w:r>
      <w:r>
        <w:rPr>
          <w:rFonts w:hint="eastAsia" w:ascii="宋体" w:hAnsi="宋体"/>
          <w:b/>
          <w:bCs/>
          <w:color w:val="FF0000"/>
          <w:sz w:val="28"/>
          <w:szCs w:val="28"/>
        </w:rPr>
        <w:t>十二</w:t>
      </w:r>
      <w:r>
        <w:rPr>
          <w:rFonts w:ascii="宋体" w:hAnsi="宋体"/>
          <w:b/>
          <w:bCs/>
          <w:sz w:val="28"/>
          <w:szCs w:val="28"/>
        </w:rPr>
        <w:t>月</w:t>
      </w:r>
    </w:p>
    <w:p>
      <w:pPr>
        <w:pStyle w:val="35"/>
        <w:jc w:val="center"/>
        <w:rPr>
          <w:rFonts w:ascii="宋体" w:hAnsi="宋体"/>
          <w:color w:val="auto"/>
          <w:sz w:val="52"/>
          <w:szCs w:val="52"/>
          <w:lang w:val="zh-CN"/>
        </w:rPr>
        <w:sectPr>
          <w:headerReference r:id="rId3" w:type="default"/>
          <w:pgSz w:w="11906" w:h="16838"/>
          <w:pgMar w:top="1440" w:right="1418" w:bottom="1440" w:left="1418" w:header="851" w:footer="992" w:gutter="0"/>
          <w:pgNumType w:fmt="numberInDash" w:start="1"/>
          <w:cols w:space="720" w:num="1"/>
          <w:docGrid w:type="lines" w:linePitch="312" w:charSpace="0"/>
        </w:sectPr>
      </w:pPr>
    </w:p>
    <w:p>
      <w:pPr>
        <w:pStyle w:val="35"/>
        <w:jc w:val="center"/>
        <w:rPr>
          <w:color w:val="auto"/>
          <w:sz w:val="44"/>
          <w:szCs w:val="44"/>
          <w:lang w:val="zh-CN"/>
        </w:rPr>
      </w:pPr>
      <w:r>
        <w:rPr>
          <w:rFonts w:hint="eastAsia"/>
          <w:color w:val="auto"/>
          <w:sz w:val="44"/>
          <w:szCs w:val="44"/>
          <w:lang w:val="zh-CN"/>
        </w:rPr>
        <w:t>目录</w:t>
      </w:r>
    </w:p>
    <w:p>
      <w:pPr>
        <w:pStyle w:val="16"/>
        <w:tabs>
          <w:tab w:val="right" w:leader="dot" w:pos="9060"/>
        </w:tabs>
        <w:rPr>
          <w:rFonts w:ascii="宋体" w:hAnsi="宋体" w:cstheme="minorBidi"/>
          <w:sz w:val="28"/>
          <w:szCs w:val="28"/>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r>
        <w:fldChar w:fldCharType="begin"/>
      </w:r>
      <w:r>
        <w:instrText xml:space="preserve"> HYPERLINK \l "_Toc57822480" </w:instrText>
      </w:r>
      <w:r>
        <w:fldChar w:fldCharType="separate"/>
      </w:r>
      <w:r>
        <w:rPr>
          <w:rStyle w:val="26"/>
          <w:rFonts w:hint="eastAsia" w:ascii="宋体" w:hAnsi="宋体"/>
          <w:sz w:val="28"/>
          <w:szCs w:val="28"/>
        </w:rPr>
        <w:t>一、竞争性磋商公告</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_Toc57822480 \h </w:instrText>
      </w:r>
      <w:r>
        <w:rPr>
          <w:rFonts w:ascii="宋体" w:hAnsi="宋体"/>
          <w:sz w:val="28"/>
          <w:szCs w:val="28"/>
        </w:rPr>
        <w:fldChar w:fldCharType="separate"/>
      </w:r>
      <w:r>
        <w:rPr>
          <w:rFonts w:ascii="宋体" w:hAnsi="宋体"/>
          <w:sz w:val="28"/>
          <w:szCs w:val="28"/>
        </w:rPr>
        <w:t>3</w:t>
      </w:r>
      <w:r>
        <w:rPr>
          <w:rFonts w:ascii="宋体" w:hAnsi="宋体"/>
          <w:sz w:val="28"/>
          <w:szCs w:val="28"/>
        </w:rPr>
        <w:fldChar w:fldCharType="end"/>
      </w:r>
      <w:r>
        <w:rPr>
          <w:rFonts w:ascii="宋体" w:hAnsi="宋体"/>
          <w:sz w:val="28"/>
          <w:szCs w:val="28"/>
        </w:rPr>
        <w:fldChar w:fldCharType="end"/>
      </w:r>
    </w:p>
    <w:p>
      <w:pPr>
        <w:pStyle w:val="16"/>
        <w:tabs>
          <w:tab w:val="right" w:leader="dot" w:pos="9060"/>
        </w:tabs>
        <w:rPr>
          <w:rFonts w:ascii="宋体" w:hAnsi="宋体" w:cstheme="minorBidi"/>
          <w:sz w:val="28"/>
          <w:szCs w:val="28"/>
        </w:rPr>
      </w:pPr>
      <w:r>
        <w:fldChar w:fldCharType="begin"/>
      </w:r>
      <w:r>
        <w:instrText xml:space="preserve"> HYPERLINK \l "_Toc57822481" </w:instrText>
      </w:r>
      <w:r>
        <w:fldChar w:fldCharType="separate"/>
      </w:r>
      <w:r>
        <w:rPr>
          <w:rStyle w:val="26"/>
          <w:rFonts w:hint="eastAsia" w:ascii="宋体" w:hAnsi="宋体"/>
          <w:sz w:val="28"/>
          <w:szCs w:val="28"/>
        </w:rPr>
        <w:t>二、磋商须知前附表</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_Toc57822481 \h </w:instrText>
      </w:r>
      <w:r>
        <w:rPr>
          <w:rFonts w:ascii="宋体" w:hAnsi="宋体"/>
          <w:sz w:val="28"/>
          <w:szCs w:val="28"/>
        </w:rPr>
        <w:fldChar w:fldCharType="separate"/>
      </w:r>
      <w:r>
        <w:rPr>
          <w:rFonts w:ascii="宋体" w:hAnsi="宋体"/>
          <w:sz w:val="28"/>
          <w:szCs w:val="28"/>
        </w:rPr>
        <w:t>6</w:t>
      </w:r>
      <w:r>
        <w:rPr>
          <w:rFonts w:ascii="宋体" w:hAnsi="宋体"/>
          <w:sz w:val="28"/>
          <w:szCs w:val="28"/>
        </w:rPr>
        <w:fldChar w:fldCharType="end"/>
      </w:r>
      <w:r>
        <w:rPr>
          <w:rFonts w:ascii="宋体" w:hAnsi="宋体"/>
          <w:sz w:val="28"/>
          <w:szCs w:val="28"/>
        </w:rPr>
        <w:fldChar w:fldCharType="end"/>
      </w:r>
    </w:p>
    <w:p>
      <w:pPr>
        <w:pStyle w:val="16"/>
        <w:tabs>
          <w:tab w:val="right" w:leader="dot" w:pos="9060"/>
        </w:tabs>
        <w:rPr>
          <w:rFonts w:ascii="宋体" w:hAnsi="宋体" w:cstheme="minorBidi"/>
          <w:sz w:val="28"/>
          <w:szCs w:val="28"/>
        </w:rPr>
      </w:pPr>
      <w:r>
        <w:fldChar w:fldCharType="begin"/>
      </w:r>
      <w:r>
        <w:instrText xml:space="preserve"> HYPERLINK \l "_Toc57822482" </w:instrText>
      </w:r>
      <w:r>
        <w:fldChar w:fldCharType="separate"/>
      </w:r>
      <w:r>
        <w:rPr>
          <w:rStyle w:val="26"/>
          <w:rFonts w:hint="eastAsia" w:ascii="宋体" w:hAnsi="宋体"/>
          <w:sz w:val="28"/>
          <w:szCs w:val="28"/>
        </w:rPr>
        <w:t>三、磋商须知</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_Toc57822482 \h </w:instrText>
      </w:r>
      <w:r>
        <w:rPr>
          <w:rFonts w:ascii="宋体" w:hAnsi="宋体"/>
          <w:sz w:val="28"/>
          <w:szCs w:val="28"/>
        </w:rPr>
        <w:fldChar w:fldCharType="separate"/>
      </w:r>
      <w:r>
        <w:rPr>
          <w:rFonts w:ascii="宋体" w:hAnsi="宋体"/>
          <w:sz w:val="28"/>
          <w:szCs w:val="28"/>
        </w:rPr>
        <w:t>8</w:t>
      </w:r>
      <w:r>
        <w:rPr>
          <w:rFonts w:ascii="宋体" w:hAnsi="宋体"/>
          <w:sz w:val="28"/>
          <w:szCs w:val="28"/>
        </w:rPr>
        <w:fldChar w:fldCharType="end"/>
      </w:r>
      <w:r>
        <w:rPr>
          <w:rFonts w:ascii="宋体" w:hAnsi="宋体"/>
          <w:sz w:val="28"/>
          <w:szCs w:val="28"/>
        </w:rPr>
        <w:fldChar w:fldCharType="end"/>
      </w:r>
    </w:p>
    <w:p>
      <w:pPr>
        <w:pStyle w:val="16"/>
        <w:tabs>
          <w:tab w:val="right" w:leader="dot" w:pos="9060"/>
        </w:tabs>
        <w:rPr>
          <w:rFonts w:ascii="宋体" w:hAnsi="宋体" w:cstheme="minorBidi"/>
          <w:sz w:val="28"/>
          <w:szCs w:val="28"/>
        </w:rPr>
      </w:pPr>
      <w:r>
        <w:fldChar w:fldCharType="begin"/>
      </w:r>
      <w:r>
        <w:instrText xml:space="preserve"> HYPERLINK \l "_Toc57822483" </w:instrText>
      </w:r>
      <w:r>
        <w:fldChar w:fldCharType="separate"/>
      </w:r>
      <w:r>
        <w:rPr>
          <w:rStyle w:val="26"/>
          <w:rFonts w:hint="eastAsia" w:ascii="宋体" w:hAnsi="宋体"/>
          <w:sz w:val="28"/>
          <w:szCs w:val="28"/>
        </w:rPr>
        <w:t>四、磋商内容及要求</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_Toc57822483 \h </w:instrText>
      </w:r>
      <w:r>
        <w:rPr>
          <w:rFonts w:ascii="宋体" w:hAnsi="宋体"/>
          <w:sz w:val="28"/>
          <w:szCs w:val="28"/>
        </w:rPr>
        <w:fldChar w:fldCharType="separate"/>
      </w:r>
      <w:r>
        <w:rPr>
          <w:rFonts w:ascii="宋体" w:hAnsi="宋体"/>
          <w:sz w:val="28"/>
          <w:szCs w:val="28"/>
        </w:rPr>
        <w:t>27</w:t>
      </w:r>
      <w:r>
        <w:rPr>
          <w:rFonts w:ascii="宋体" w:hAnsi="宋体"/>
          <w:sz w:val="28"/>
          <w:szCs w:val="28"/>
        </w:rPr>
        <w:fldChar w:fldCharType="end"/>
      </w:r>
      <w:r>
        <w:rPr>
          <w:rFonts w:ascii="宋体" w:hAnsi="宋体"/>
          <w:sz w:val="28"/>
          <w:szCs w:val="28"/>
        </w:rPr>
        <w:fldChar w:fldCharType="end"/>
      </w:r>
    </w:p>
    <w:p>
      <w:pPr>
        <w:pStyle w:val="16"/>
        <w:tabs>
          <w:tab w:val="right" w:leader="dot" w:pos="9060"/>
        </w:tabs>
        <w:rPr>
          <w:rFonts w:ascii="宋体" w:hAnsi="宋体" w:cstheme="minorBidi"/>
          <w:sz w:val="28"/>
          <w:szCs w:val="28"/>
        </w:rPr>
      </w:pPr>
      <w:r>
        <w:fldChar w:fldCharType="begin"/>
      </w:r>
      <w:r>
        <w:instrText xml:space="preserve"> HYPERLINK \l "_Toc57822484" </w:instrText>
      </w:r>
      <w:r>
        <w:fldChar w:fldCharType="separate"/>
      </w:r>
      <w:r>
        <w:rPr>
          <w:rStyle w:val="26"/>
          <w:rFonts w:hint="eastAsia" w:ascii="宋体" w:hAnsi="宋体"/>
          <w:sz w:val="28"/>
          <w:szCs w:val="28"/>
        </w:rPr>
        <w:t>五、合同主要条款（参考文本）</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_Toc57822484 \h </w:instrText>
      </w:r>
      <w:r>
        <w:rPr>
          <w:rFonts w:ascii="宋体" w:hAnsi="宋体"/>
          <w:sz w:val="28"/>
          <w:szCs w:val="28"/>
        </w:rPr>
        <w:fldChar w:fldCharType="separate"/>
      </w:r>
      <w:r>
        <w:rPr>
          <w:rFonts w:ascii="宋体" w:hAnsi="宋体"/>
          <w:sz w:val="28"/>
          <w:szCs w:val="28"/>
        </w:rPr>
        <w:t>31</w:t>
      </w:r>
      <w:r>
        <w:rPr>
          <w:rFonts w:ascii="宋体" w:hAnsi="宋体"/>
          <w:sz w:val="28"/>
          <w:szCs w:val="28"/>
        </w:rPr>
        <w:fldChar w:fldCharType="end"/>
      </w:r>
      <w:r>
        <w:rPr>
          <w:rFonts w:ascii="宋体" w:hAnsi="宋体"/>
          <w:sz w:val="28"/>
          <w:szCs w:val="28"/>
        </w:rPr>
        <w:fldChar w:fldCharType="end"/>
      </w:r>
    </w:p>
    <w:p>
      <w:pPr>
        <w:pStyle w:val="16"/>
        <w:tabs>
          <w:tab w:val="right" w:leader="dot" w:pos="9060"/>
        </w:tabs>
        <w:rPr>
          <w:rFonts w:ascii="宋体" w:hAnsi="宋体" w:cstheme="minorBidi"/>
          <w:sz w:val="28"/>
          <w:szCs w:val="28"/>
        </w:rPr>
      </w:pPr>
      <w:r>
        <w:fldChar w:fldCharType="begin"/>
      </w:r>
      <w:r>
        <w:instrText xml:space="preserve"> HYPERLINK \l "_Toc57822485" </w:instrText>
      </w:r>
      <w:r>
        <w:fldChar w:fldCharType="separate"/>
      </w:r>
      <w:r>
        <w:rPr>
          <w:rStyle w:val="26"/>
          <w:rFonts w:hint="eastAsia" w:ascii="宋体" w:hAnsi="宋体"/>
          <w:sz w:val="28"/>
          <w:szCs w:val="28"/>
        </w:rPr>
        <w:t>六、响应文件（参考格式）</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_Toc57822485 \h </w:instrText>
      </w:r>
      <w:r>
        <w:rPr>
          <w:rFonts w:ascii="宋体" w:hAnsi="宋体"/>
          <w:sz w:val="28"/>
          <w:szCs w:val="28"/>
        </w:rPr>
        <w:fldChar w:fldCharType="separate"/>
      </w:r>
      <w:r>
        <w:rPr>
          <w:rFonts w:ascii="宋体" w:hAnsi="宋体"/>
          <w:sz w:val="28"/>
          <w:szCs w:val="28"/>
        </w:rPr>
        <w:t>37</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"_Toc57822486" </w:instrText>
      </w:r>
      <w:r>
        <w:fldChar w:fldCharType="separate"/>
      </w:r>
      <w:r>
        <w:rPr>
          <w:rStyle w:val="26"/>
          <w:rFonts w:hint="eastAsia" w:ascii="宋体" w:hAnsi="宋体"/>
          <w:sz w:val="28"/>
          <w:szCs w:val="28"/>
        </w:rPr>
        <w:t>一、磋商响应函</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_Toc57822486 \h </w:instrText>
      </w:r>
      <w:r>
        <w:rPr>
          <w:rFonts w:ascii="宋体" w:hAnsi="宋体"/>
          <w:sz w:val="28"/>
          <w:szCs w:val="28"/>
        </w:rPr>
        <w:fldChar w:fldCharType="separate"/>
      </w:r>
      <w:r>
        <w:rPr>
          <w:rFonts w:ascii="宋体" w:hAnsi="宋体"/>
          <w:sz w:val="28"/>
          <w:szCs w:val="28"/>
        </w:rPr>
        <w:t>38</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"_Toc57822487" </w:instrText>
      </w:r>
      <w:r>
        <w:fldChar w:fldCharType="separate"/>
      </w:r>
      <w:r>
        <w:rPr>
          <w:rStyle w:val="26"/>
          <w:rFonts w:hint="eastAsia" w:ascii="宋体" w:hAnsi="宋体"/>
          <w:sz w:val="28"/>
          <w:szCs w:val="28"/>
        </w:rPr>
        <w:t>二、磋商商务偏离表</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_Toc57822487 \h </w:instrText>
      </w:r>
      <w:r>
        <w:rPr>
          <w:rFonts w:ascii="宋体" w:hAnsi="宋体"/>
          <w:sz w:val="28"/>
          <w:szCs w:val="28"/>
        </w:rPr>
        <w:fldChar w:fldCharType="separate"/>
      </w:r>
      <w:r>
        <w:rPr>
          <w:rFonts w:ascii="宋体" w:hAnsi="宋体"/>
          <w:sz w:val="28"/>
          <w:szCs w:val="28"/>
        </w:rPr>
        <w:t>39</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"_Toc57822488" </w:instrText>
      </w:r>
      <w:r>
        <w:fldChar w:fldCharType="separate"/>
      </w:r>
      <w:r>
        <w:rPr>
          <w:rStyle w:val="26"/>
          <w:rFonts w:hint="eastAsia" w:ascii="宋体" w:hAnsi="宋体"/>
          <w:sz w:val="28"/>
          <w:szCs w:val="28"/>
        </w:rPr>
        <w:t>三、法人授权委托书</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_Toc57822488 \h </w:instrText>
      </w:r>
      <w:r>
        <w:rPr>
          <w:rFonts w:ascii="宋体" w:hAnsi="宋体"/>
          <w:sz w:val="28"/>
          <w:szCs w:val="28"/>
        </w:rPr>
        <w:fldChar w:fldCharType="separate"/>
      </w:r>
      <w:r>
        <w:rPr>
          <w:rFonts w:ascii="宋体" w:hAnsi="宋体"/>
          <w:sz w:val="28"/>
          <w:szCs w:val="28"/>
        </w:rPr>
        <w:t>40</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"_Toc57822499" </w:instrText>
      </w:r>
      <w:r>
        <w:fldChar w:fldCharType="separate"/>
      </w:r>
      <w:r>
        <w:rPr>
          <w:rStyle w:val="26"/>
          <w:rFonts w:hint="eastAsia" w:ascii="宋体" w:hAnsi="宋体"/>
          <w:sz w:val="28"/>
          <w:szCs w:val="28"/>
        </w:rPr>
        <w:t>四、资格证明文件</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_Toc57822499 \h </w:instrText>
      </w:r>
      <w:r>
        <w:rPr>
          <w:rFonts w:ascii="宋体" w:hAnsi="宋体"/>
          <w:sz w:val="28"/>
          <w:szCs w:val="28"/>
        </w:rPr>
        <w:fldChar w:fldCharType="separate"/>
      </w:r>
      <w:r>
        <w:rPr>
          <w:rFonts w:ascii="宋体" w:hAnsi="宋体"/>
          <w:sz w:val="28"/>
          <w:szCs w:val="28"/>
        </w:rPr>
        <w:t>42</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"_Toc57822500" </w:instrText>
      </w:r>
      <w:r>
        <w:fldChar w:fldCharType="separate"/>
      </w:r>
      <w:r>
        <w:rPr>
          <w:rStyle w:val="26"/>
          <w:rFonts w:hint="eastAsia" w:ascii="宋体" w:hAnsi="宋体"/>
          <w:sz w:val="28"/>
          <w:szCs w:val="28"/>
        </w:rPr>
        <w:t>五、供应商概况</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_Toc57822500 \h </w:instrText>
      </w:r>
      <w:r>
        <w:rPr>
          <w:rFonts w:ascii="宋体" w:hAnsi="宋体"/>
          <w:sz w:val="28"/>
          <w:szCs w:val="28"/>
        </w:rPr>
        <w:fldChar w:fldCharType="separate"/>
      </w:r>
      <w:r>
        <w:rPr>
          <w:rFonts w:ascii="宋体" w:hAnsi="宋体"/>
          <w:sz w:val="28"/>
          <w:szCs w:val="28"/>
        </w:rPr>
        <w:t>43</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"_Toc57822501" </w:instrText>
      </w:r>
      <w:r>
        <w:fldChar w:fldCharType="separate"/>
      </w:r>
      <w:r>
        <w:rPr>
          <w:rStyle w:val="26"/>
          <w:rFonts w:hint="eastAsia" w:ascii="宋体" w:hAnsi="宋体"/>
          <w:sz w:val="28"/>
          <w:szCs w:val="28"/>
        </w:rPr>
        <w:t>六、同类项目业绩</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_Toc57822501 \h </w:instrText>
      </w:r>
      <w:r>
        <w:rPr>
          <w:rFonts w:ascii="宋体" w:hAnsi="宋体"/>
          <w:sz w:val="28"/>
          <w:szCs w:val="28"/>
        </w:rPr>
        <w:fldChar w:fldCharType="separate"/>
      </w:r>
      <w:r>
        <w:rPr>
          <w:rFonts w:ascii="宋体" w:hAnsi="宋体"/>
          <w:sz w:val="28"/>
          <w:szCs w:val="28"/>
        </w:rPr>
        <w:t>44</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"_Toc57822502" </w:instrText>
      </w:r>
      <w:r>
        <w:fldChar w:fldCharType="separate"/>
      </w:r>
      <w:r>
        <w:rPr>
          <w:rStyle w:val="26"/>
          <w:rFonts w:hint="eastAsia" w:ascii="宋体" w:hAnsi="宋体"/>
          <w:sz w:val="28"/>
          <w:szCs w:val="28"/>
        </w:rPr>
        <w:t>七、响应方案</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_Toc57822502 \h </w:instrText>
      </w:r>
      <w:r>
        <w:rPr>
          <w:rFonts w:ascii="宋体" w:hAnsi="宋体"/>
          <w:sz w:val="28"/>
          <w:szCs w:val="28"/>
        </w:rPr>
        <w:fldChar w:fldCharType="separate"/>
      </w:r>
      <w:r>
        <w:rPr>
          <w:rFonts w:ascii="宋体" w:hAnsi="宋体"/>
          <w:sz w:val="28"/>
          <w:szCs w:val="28"/>
        </w:rPr>
        <w:t>45</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"_Toc57822508" </w:instrText>
      </w:r>
      <w:r>
        <w:fldChar w:fldCharType="separate"/>
      </w:r>
      <w:r>
        <w:rPr>
          <w:rStyle w:val="26"/>
          <w:rFonts w:hint="eastAsia" w:ascii="宋体" w:hAnsi="宋体"/>
          <w:sz w:val="28"/>
          <w:szCs w:val="28"/>
        </w:rPr>
        <w:t>八、供应商认为有利用本次磋商的其他情况说明</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_Toc57822508 \h </w:instrText>
      </w:r>
      <w:r>
        <w:rPr>
          <w:rFonts w:ascii="宋体" w:hAnsi="宋体"/>
          <w:sz w:val="28"/>
          <w:szCs w:val="28"/>
        </w:rPr>
        <w:fldChar w:fldCharType="separate"/>
      </w:r>
      <w:r>
        <w:rPr>
          <w:rFonts w:ascii="宋体" w:hAnsi="宋体"/>
          <w:sz w:val="28"/>
          <w:szCs w:val="28"/>
        </w:rPr>
        <w:t>48</w:t>
      </w:r>
      <w:r>
        <w:rPr>
          <w:rFonts w:ascii="宋体" w:hAnsi="宋体"/>
          <w:sz w:val="28"/>
          <w:szCs w:val="28"/>
        </w:rPr>
        <w:fldChar w:fldCharType="end"/>
      </w:r>
      <w:r>
        <w:rPr>
          <w:rFonts w:ascii="宋体" w:hAnsi="宋体"/>
          <w:sz w:val="28"/>
          <w:szCs w:val="28"/>
        </w:rPr>
        <w:fldChar w:fldCharType="end"/>
      </w:r>
    </w:p>
    <w:p>
      <w:pPr>
        <w:pStyle w:val="18"/>
        <w:tabs>
          <w:tab w:val="right" w:leader="dot" w:pos="9060"/>
        </w:tabs>
        <w:rPr>
          <w:rFonts w:ascii="宋体" w:hAnsi="宋体" w:cstheme="minorBidi"/>
          <w:sz w:val="28"/>
          <w:szCs w:val="28"/>
        </w:rPr>
      </w:pPr>
      <w:r>
        <w:fldChar w:fldCharType="begin"/>
      </w:r>
      <w:r>
        <w:instrText xml:space="preserve"> HYPERLINK \l "_Toc57822509" </w:instrText>
      </w:r>
      <w:r>
        <w:fldChar w:fldCharType="separate"/>
      </w:r>
      <w:r>
        <w:rPr>
          <w:rStyle w:val="26"/>
          <w:rFonts w:hint="eastAsia" w:ascii="宋体" w:hAnsi="宋体"/>
          <w:sz w:val="28"/>
          <w:szCs w:val="28"/>
        </w:rPr>
        <w:t>九、采购供应商拒绝政府采购领域商业贿赂承诺书</w:t>
      </w:r>
      <w:r>
        <w:rPr>
          <w:rFonts w:ascii="宋体" w:hAnsi="宋体"/>
          <w:sz w:val="28"/>
          <w:szCs w:val="28"/>
        </w:rPr>
        <w:tab/>
      </w:r>
      <w:r>
        <w:rPr>
          <w:rFonts w:ascii="宋体" w:hAnsi="宋体"/>
          <w:sz w:val="28"/>
          <w:szCs w:val="28"/>
        </w:rPr>
        <w:fldChar w:fldCharType="begin"/>
      </w:r>
      <w:r>
        <w:rPr>
          <w:rFonts w:ascii="宋体" w:hAnsi="宋体"/>
          <w:sz w:val="28"/>
          <w:szCs w:val="28"/>
        </w:rPr>
        <w:instrText xml:space="preserve"> PAGEREF _Toc57822509 \h </w:instrText>
      </w:r>
      <w:r>
        <w:rPr>
          <w:rFonts w:ascii="宋体" w:hAnsi="宋体"/>
          <w:sz w:val="28"/>
          <w:szCs w:val="28"/>
        </w:rPr>
        <w:fldChar w:fldCharType="separate"/>
      </w:r>
      <w:r>
        <w:rPr>
          <w:rFonts w:ascii="宋体" w:hAnsi="宋体"/>
          <w:sz w:val="28"/>
          <w:szCs w:val="28"/>
        </w:rPr>
        <w:t>49</w:t>
      </w:r>
      <w:r>
        <w:rPr>
          <w:rFonts w:ascii="宋体" w:hAnsi="宋体"/>
          <w:sz w:val="28"/>
          <w:szCs w:val="28"/>
        </w:rPr>
        <w:fldChar w:fldCharType="end"/>
      </w:r>
      <w:r>
        <w:rPr>
          <w:rFonts w:ascii="宋体" w:hAnsi="宋体"/>
          <w:sz w:val="28"/>
          <w:szCs w:val="28"/>
        </w:rPr>
        <w:fldChar w:fldCharType="end"/>
      </w:r>
    </w:p>
    <w:p>
      <w:pPr>
        <w:rPr>
          <w:rFonts w:ascii="宋体" w:hAnsi="宋体"/>
          <w:sz w:val="28"/>
          <w:szCs w:val="28"/>
        </w:rPr>
      </w:pPr>
      <w:r>
        <w:rPr>
          <w:rFonts w:ascii="宋体" w:hAnsi="宋体"/>
          <w:sz w:val="28"/>
          <w:szCs w:val="28"/>
        </w:rPr>
        <w:fldChar w:fldCharType="end"/>
      </w:r>
    </w:p>
    <w:p>
      <w:pPr>
        <w:rPr>
          <w:sz w:val="28"/>
          <w:szCs w:val="28"/>
        </w:rPr>
      </w:pPr>
    </w:p>
    <w:p/>
    <w:p/>
    <w:p/>
    <w:p>
      <w:pPr>
        <w:widowControl/>
        <w:jc w:val="left"/>
        <w:rPr>
          <w:b/>
          <w:bCs/>
          <w:kern w:val="44"/>
          <w:sz w:val="44"/>
          <w:szCs w:val="44"/>
        </w:rPr>
      </w:pPr>
      <w:bookmarkStart w:id="0" w:name="_Toc445306399"/>
      <w:r>
        <w:br w:type="page"/>
      </w:r>
    </w:p>
    <w:p>
      <w:pPr>
        <w:pStyle w:val="2"/>
        <w:jc w:val="center"/>
        <w:rPr>
          <w:rFonts w:ascii="宋体" w:hAnsi="宋体"/>
        </w:rPr>
      </w:pPr>
      <w:bookmarkStart w:id="1" w:name="_Toc57822480"/>
      <w:r>
        <w:rPr>
          <w:rFonts w:hint="eastAsia" w:ascii="宋体" w:hAnsi="宋体"/>
        </w:rPr>
        <w:t>一、</w:t>
      </w:r>
      <w:r>
        <w:rPr>
          <w:rFonts w:ascii="宋体" w:hAnsi="宋体"/>
        </w:rPr>
        <w:t>竞争性磋商公告</w:t>
      </w:r>
      <w:bookmarkEnd w:id="0"/>
      <w:bookmarkEnd w:id="1"/>
    </w:p>
    <w:p>
      <w:pPr>
        <w:adjustRightInd w:val="0"/>
        <w:spacing w:line="360" w:lineRule="auto"/>
        <w:ind w:firstLine="482" w:firstLineChars="200"/>
        <w:jc w:val="left"/>
        <w:rPr>
          <w:rFonts w:ascii="宋体" w:hAnsi="宋体" w:cs="宋体"/>
          <w:b/>
          <w:bCs/>
          <w:kern w:val="0"/>
          <w:sz w:val="24"/>
          <w:szCs w:val="24"/>
        </w:rPr>
      </w:pPr>
      <w:r>
        <w:rPr>
          <w:rFonts w:hint="eastAsia" w:ascii="宋体" w:hAnsi="宋体"/>
          <w:b/>
          <w:bCs/>
          <w:color w:val="FF0000"/>
          <w:sz w:val="24"/>
          <w:szCs w:val="24"/>
        </w:rPr>
        <w:t>阎良区财政惠民补贴“一卡通”服务采购项目</w:t>
      </w:r>
      <w:r>
        <w:rPr>
          <w:rFonts w:hint="eastAsia" w:ascii="宋体" w:hAnsi="宋体"/>
          <w:b/>
          <w:bCs/>
          <w:sz w:val="24"/>
          <w:szCs w:val="24"/>
        </w:rPr>
        <w:t>潜在的供应商可在陕西省西安市灞桥区沁水路1266号草北小区商务楼四楼陕西远华招标有限公司获取采购文件，并于</w:t>
      </w:r>
      <w:r>
        <w:rPr>
          <w:rFonts w:hint="eastAsia" w:ascii="宋体" w:hAnsi="宋体"/>
          <w:b/>
          <w:bCs/>
          <w:color w:val="FF0000"/>
          <w:sz w:val="24"/>
          <w:szCs w:val="24"/>
        </w:rPr>
        <w:t>2020-12-16 14:30:00</w:t>
      </w:r>
      <w:r>
        <w:rPr>
          <w:rFonts w:hint="eastAsia" w:ascii="宋体" w:hAnsi="宋体"/>
          <w:b/>
          <w:bCs/>
          <w:sz w:val="24"/>
          <w:szCs w:val="24"/>
        </w:rPr>
        <w:t>前递交响应文件。</w:t>
      </w:r>
    </w:p>
    <w:p>
      <w:pPr>
        <w:pStyle w:val="62"/>
        <w:shd w:val="clear" w:color="auto" w:fill="FFFFFF"/>
        <w:spacing w:before="150" w:line="360" w:lineRule="auto"/>
        <w:rPr>
          <w:b/>
          <w:bCs/>
        </w:rPr>
      </w:pPr>
      <w:r>
        <w:rPr>
          <w:rFonts w:hint="eastAsia"/>
          <w:b/>
          <w:bCs/>
        </w:rPr>
        <w:t>一、项目基本情况：</w:t>
      </w:r>
    </w:p>
    <w:p>
      <w:pPr>
        <w:pStyle w:val="19"/>
        <w:shd w:val="clear" w:color="auto" w:fill="FFFFFF"/>
        <w:spacing w:before="0" w:beforeAutospacing="0" w:after="0" w:afterAutospacing="0" w:line="360" w:lineRule="auto"/>
        <w:ind w:firstLine="480"/>
        <w:rPr>
          <w:color w:val="FF0000"/>
        </w:rPr>
      </w:pPr>
      <w:r>
        <w:rPr>
          <w:rFonts w:hint="eastAsia"/>
        </w:rPr>
        <w:t>1、项目编号：</w:t>
      </w:r>
      <w:r>
        <w:rPr>
          <w:rFonts w:hint="eastAsia"/>
          <w:color w:val="FF0000"/>
        </w:rPr>
        <w:t>YHZB2020-J-034</w:t>
      </w:r>
    </w:p>
    <w:p>
      <w:pPr>
        <w:pStyle w:val="19"/>
        <w:shd w:val="clear" w:color="auto" w:fill="FFFFFF"/>
        <w:spacing w:before="0" w:beforeAutospacing="0" w:after="0" w:afterAutospacing="0" w:line="360" w:lineRule="auto"/>
        <w:ind w:firstLine="480"/>
        <w:rPr>
          <w:color w:val="FF0000"/>
        </w:rPr>
      </w:pPr>
      <w:r>
        <w:rPr>
          <w:rFonts w:hint="eastAsia"/>
        </w:rPr>
        <w:t>2、项目名称：</w:t>
      </w:r>
      <w:r>
        <w:rPr>
          <w:rFonts w:hint="eastAsia"/>
          <w:color w:val="FF0000"/>
        </w:rPr>
        <w:t>阎良区财政惠民补贴“一卡通”服务采购项目</w:t>
      </w:r>
    </w:p>
    <w:p>
      <w:pPr>
        <w:pStyle w:val="19"/>
        <w:shd w:val="clear" w:color="auto" w:fill="FFFFFF"/>
        <w:spacing w:before="0" w:beforeAutospacing="0" w:after="0" w:afterAutospacing="0" w:line="360" w:lineRule="auto"/>
        <w:ind w:firstLine="480"/>
        <w:rPr>
          <w:color w:val="FF0000"/>
        </w:rPr>
      </w:pPr>
      <w:r>
        <w:rPr>
          <w:rFonts w:hint="eastAsia"/>
        </w:rPr>
        <w:t>3、预算金额：</w:t>
      </w:r>
      <w:r>
        <w:rPr>
          <w:rFonts w:hint="eastAsia"/>
          <w:color w:val="FF0000"/>
        </w:rPr>
        <w:t xml:space="preserve"> 1.00元</w:t>
      </w:r>
    </w:p>
    <w:p>
      <w:pPr>
        <w:pStyle w:val="19"/>
        <w:shd w:val="clear" w:color="auto" w:fill="FFFFFF"/>
        <w:spacing w:before="0" w:beforeAutospacing="0" w:after="0" w:afterAutospacing="0" w:line="360" w:lineRule="auto"/>
        <w:ind w:firstLine="480"/>
      </w:pPr>
      <w:r>
        <w:rPr>
          <w:rFonts w:hint="eastAsia"/>
        </w:rPr>
        <w:t>4、最高限价： 无</w:t>
      </w:r>
    </w:p>
    <w:p>
      <w:pPr>
        <w:pStyle w:val="19"/>
        <w:shd w:val="clear" w:color="auto" w:fill="FFFFFF"/>
        <w:spacing w:before="0" w:beforeAutospacing="0" w:after="0" w:afterAutospacing="0" w:line="360" w:lineRule="auto"/>
        <w:ind w:firstLine="480"/>
        <w:rPr>
          <w:color w:val="FF0000"/>
        </w:rPr>
      </w:pPr>
      <w:r>
        <w:rPr>
          <w:rFonts w:hint="eastAsia"/>
        </w:rPr>
        <w:t>5、采购需求：</w:t>
      </w:r>
      <w:r>
        <w:rPr>
          <w:rFonts w:hint="eastAsia"/>
          <w:color w:val="FF0000"/>
        </w:rPr>
        <w:t>阎良区财政惠民补贴“一卡通”服务采购项目，1项， 采购预算： 1.00元， 项目概况：按照西安市关于财政惠民补贴资金“一卡通”兑付方式改革扩面的要求，阎良区全面启动财政惠民补贴资金“一卡通”补贴项目兑付工作，确定财政惠民补贴资金“一卡通”业务委托代理银行， 简要技术要求、用途：惠农补贴服务</w:t>
      </w:r>
    </w:p>
    <w:p>
      <w:pPr>
        <w:pStyle w:val="19"/>
        <w:shd w:val="clear" w:color="auto" w:fill="FFFFFF"/>
        <w:spacing w:before="0" w:beforeAutospacing="0" w:after="0" w:afterAutospacing="0" w:line="360" w:lineRule="auto"/>
        <w:ind w:firstLine="480"/>
      </w:pPr>
      <w:r>
        <w:rPr>
          <w:rFonts w:hint="eastAsia"/>
        </w:rPr>
        <w:t>6、合同履行期限：</w:t>
      </w:r>
      <w:r>
        <w:rPr>
          <w:rFonts w:hint="eastAsia"/>
          <w:color w:val="FF0000"/>
        </w:rPr>
        <w:t xml:space="preserve">2020-12-20 00:00:00 至 </w:t>
      </w:r>
      <w:r>
        <w:rPr>
          <w:rFonts w:hint="eastAsia"/>
          <w:color w:val="FF0000"/>
          <w:highlight w:val="yellow"/>
        </w:rPr>
        <w:t>2021</w:t>
      </w:r>
      <w:r>
        <w:rPr>
          <w:rFonts w:hint="eastAsia"/>
          <w:color w:val="FF0000"/>
        </w:rPr>
        <w:t>-12-20 00:00:00（</w:t>
      </w:r>
      <w:r>
        <w:rPr>
          <w:rFonts w:hint="eastAsia"/>
        </w:rPr>
        <w:t>具体服务起止日期可随合同签订时间相应顺延）</w:t>
      </w:r>
    </w:p>
    <w:p>
      <w:pPr>
        <w:pStyle w:val="19"/>
        <w:shd w:val="clear" w:color="auto" w:fill="FFFFFF"/>
        <w:spacing w:before="0" w:beforeAutospacing="0" w:after="0" w:afterAutospacing="0" w:line="360" w:lineRule="auto"/>
        <w:ind w:firstLine="480"/>
      </w:pPr>
      <w:r>
        <w:rPr>
          <w:rFonts w:hint="eastAsia"/>
        </w:rPr>
        <w:t>7、本项目是否接受联合体投标：否</w:t>
      </w:r>
    </w:p>
    <w:p>
      <w:pPr>
        <w:pStyle w:val="62"/>
        <w:shd w:val="clear" w:color="auto" w:fill="FFFFFF"/>
        <w:spacing w:before="150" w:line="360" w:lineRule="auto"/>
        <w:rPr>
          <w:b/>
          <w:bCs/>
        </w:rPr>
      </w:pPr>
      <w:r>
        <w:rPr>
          <w:rFonts w:hint="eastAsia"/>
          <w:b/>
          <w:bCs/>
        </w:rPr>
        <w:t>二、 响应供应商的资格要求</w:t>
      </w:r>
    </w:p>
    <w:p>
      <w:pPr>
        <w:pStyle w:val="19"/>
        <w:shd w:val="clear" w:color="auto" w:fill="FFFFFF"/>
        <w:spacing w:before="0" w:beforeAutospacing="0" w:after="0" w:afterAutospacing="0" w:line="360" w:lineRule="auto"/>
        <w:ind w:firstLine="480"/>
      </w:pPr>
      <w:r>
        <w:rPr>
          <w:rFonts w:hint="eastAsia"/>
        </w:rPr>
        <w:t>1、满足《中华人民共和国政府采购法》第二十二条规定</w:t>
      </w:r>
    </w:p>
    <w:p>
      <w:pPr>
        <w:pStyle w:val="19"/>
        <w:shd w:val="clear" w:color="auto" w:fill="FFFFFF"/>
        <w:spacing w:before="0" w:beforeAutospacing="0" w:after="0" w:afterAutospacing="0" w:line="360" w:lineRule="auto"/>
        <w:ind w:firstLine="480"/>
      </w:pPr>
      <w:r>
        <w:rPr>
          <w:rFonts w:hint="eastAsia"/>
        </w:rPr>
        <w:t>2、落实政府采购政策需满足的资格要求：1、《政府采购促进中小企业发展暂行办法》的通知--财库[2011]181号。 2、 《财政部司法部关于政府采购支持监狱企业发展有关问题的通知》--财库[2014]68号。 3、 《国务院办公厅关于建立政府强制采购节能产品制度的通知》--国办发[2007]51号。 4、《节能产品政府采购实施意见》--财库[2004]185号。 5、《环境标志产品政府采购实施的意见》--财库[2006]90号。 6、《关于促进残疾人就业政府采购政策的通知》--财库[2017]141号。 7、《关于调整优化节能产品、环境标志产品政府采购执行机制的通知》--财库[2019]9号。 8、《关于运用政府采购政策支持脱贫攻坚的通知》--财库[2019]27号。9、《财政部办公厅关于政府采购进口产品管理有关问题的通知》（财办库[2008]248号）。</w:t>
      </w:r>
    </w:p>
    <w:p>
      <w:pPr>
        <w:pStyle w:val="19"/>
        <w:shd w:val="clear" w:color="auto" w:fill="FFFFFF"/>
        <w:spacing w:before="0" w:beforeAutospacing="0" w:after="0" w:afterAutospacing="0" w:line="360" w:lineRule="auto"/>
        <w:ind w:firstLine="480"/>
      </w:pPr>
      <w:r>
        <w:rPr>
          <w:rFonts w:hint="eastAsia"/>
        </w:rPr>
        <w:t>3、本项目的特定资格要求：1、投标供应商为独立承担民事责任能力的法人、其他组织或自然人，企业法人、其他组织须具有合法有效的营业执照（或事业单位法人证书）等证明资料,自然人须具有身份证明；2、具有法定代表人授权委托书（附法定代表人及被授权人身份证复印件)，法定代表人直接参加需提供法定代表人身份证明及身份证原件； 3、具有参加本次政府采购活动前三年内在经营活动中没有重大违法记录的书面声明函；4、具有近六个月内任意一个月依法缴纳社会保障资金的证明文件；具有近六个月内任意一个月依法缴纳税收的良好记录；5、</w:t>
      </w:r>
      <w:r>
        <w:rPr>
          <w:rFonts w:hint="eastAsia" w:cs="宋体"/>
          <w:shd w:val="clear" w:color="auto" w:fill="FFFFFF"/>
        </w:rPr>
        <w:t>具有中华人民共和国金融许可证的国有商业银行、股份制商业银行、邮政储蓄银行、城市商业银行、农村商业银行、农村合作银行、农村信用合作联社及政策性银行或银行分支机构（如分支机构参与投标，则需有省级分行的唯一授权）；</w:t>
      </w:r>
      <w:r>
        <w:rPr>
          <w:rFonts w:hint="eastAsia"/>
        </w:rPr>
        <w:t>6、供应商具有通过“信用中国”网站（www.creditchina.gov.cn）、中国政府采购网（www.ccgp.gov.cn）查询的相关主体信用记录，并将网页截图（加盖供应商红色公章）附在响应文件中，对列入失信被执行人、重大税收违法案件当事人、政府采购严重违法失信行为记录名单及其他不符合《中华人民共和国政府采购法》第二十二条规定条件的供应商，将拒绝其参与政府采购活动；7、本项目不接受联合体磋商。</w:t>
      </w:r>
    </w:p>
    <w:p>
      <w:pPr>
        <w:pStyle w:val="62"/>
        <w:shd w:val="clear" w:color="auto" w:fill="FFFFFF"/>
        <w:spacing w:before="150" w:line="360" w:lineRule="auto"/>
        <w:rPr>
          <w:b/>
          <w:bCs/>
        </w:rPr>
      </w:pPr>
      <w:r>
        <w:rPr>
          <w:rFonts w:hint="eastAsia"/>
          <w:b/>
          <w:bCs/>
        </w:rPr>
        <w:t>三、 采购文件的获取方式</w:t>
      </w:r>
    </w:p>
    <w:p>
      <w:pPr>
        <w:pStyle w:val="19"/>
        <w:shd w:val="clear" w:color="auto" w:fill="FFFFFF"/>
        <w:spacing w:before="0" w:beforeAutospacing="0" w:after="0" w:afterAutospacing="0" w:line="360" w:lineRule="auto"/>
        <w:ind w:firstLine="480"/>
      </w:pPr>
      <w:r>
        <w:rPr>
          <w:rFonts w:hint="eastAsia"/>
        </w:rPr>
        <w:t>时间：即日起至</w:t>
      </w:r>
      <w:r>
        <w:rPr>
          <w:rFonts w:hint="eastAsia"/>
          <w:color w:val="FF0000"/>
        </w:rPr>
        <w:t xml:space="preserve">2020-12-10 17:00:00 </w:t>
      </w:r>
      <w:r>
        <w:rPr>
          <w:rFonts w:hint="eastAsia"/>
        </w:rPr>
        <w:t>止</w:t>
      </w:r>
    </w:p>
    <w:p>
      <w:pPr>
        <w:pStyle w:val="19"/>
        <w:shd w:val="clear" w:color="auto" w:fill="FFFFFF"/>
        <w:spacing w:before="0" w:beforeAutospacing="0" w:after="0" w:afterAutospacing="0" w:line="360" w:lineRule="auto"/>
        <w:ind w:firstLine="480"/>
      </w:pPr>
      <w:r>
        <w:rPr>
          <w:rFonts w:hint="eastAsia"/>
        </w:rPr>
        <w:t>地点：陕西省西安市灞桥区沁水路1266号草北小区商务楼四楼陕西远华招标有限公司</w:t>
      </w:r>
    </w:p>
    <w:p>
      <w:pPr>
        <w:pStyle w:val="19"/>
        <w:shd w:val="clear" w:color="auto" w:fill="FFFFFF"/>
        <w:spacing w:before="0" w:beforeAutospacing="0" w:after="0" w:afterAutospacing="0" w:line="360" w:lineRule="auto"/>
        <w:ind w:firstLine="480"/>
      </w:pPr>
      <w:r>
        <w:rPr>
          <w:rFonts w:hint="eastAsia"/>
        </w:rPr>
        <w:t>方式：现场购买/邮寄</w:t>
      </w:r>
    </w:p>
    <w:p>
      <w:pPr>
        <w:pStyle w:val="19"/>
        <w:shd w:val="clear" w:color="auto" w:fill="FFFFFF"/>
        <w:spacing w:before="0" w:beforeAutospacing="0" w:after="0" w:afterAutospacing="0" w:line="360" w:lineRule="auto"/>
        <w:ind w:firstLine="480"/>
      </w:pPr>
      <w:r>
        <w:rPr>
          <w:rFonts w:hint="eastAsia"/>
        </w:rPr>
        <w:t>售价： 免费赠送</w:t>
      </w:r>
    </w:p>
    <w:p>
      <w:pPr>
        <w:pStyle w:val="19"/>
        <w:shd w:val="clear" w:color="auto" w:fill="FFFFFF"/>
        <w:spacing w:before="0" w:beforeAutospacing="0" w:after="0" w:afterAutospacing="0" w:line="360" w:lineRule="auto"/>
        <w:ind w:firstLine="480"/>
      </w:pPr>
      <w:r>
        <w:rPr>
          <w:rStyle w:val="23"/>
          <w:rFonts w:hint="eastAsia"/>
        </w:rPr>
        <w:t>注：获取磋商文件时需提供单位（公司）介绍信和本人身份证件原件或复印件。</w:t>
      </w:r>
    </w:p>
    <w:p>
      <w:pPr>
        <w:pStyle w:val="62"/>
        <w:shd w:val="clear" w:color="auto" w:fill="FFFFFF"/>
        <w:spacing w:before="150" w:line="360" w:lineRule="auto"/>
        <w:rPr>
          <w:b/>
          <w:bCs/>
        </w:rPr>
      </w:pPr>
      <w:r>
        <w:rPr>
          <w:rFonts w:hint="eastAsia"/>
          <w:b/>
          <w:bCs/>
        </w:rPr>
        <w:t>四、 响应文件递交</w:t>
      </w:r>
    </w:p>
    <w:p>
      <w:pPr>
        <w:pStyle w:val="19"/>
        <w:shd w:val="clear" w:color="auto" w:fill="FFFFFF"/>
        <w:spacing w:before="0" w:beforeAutospacing="0" w:after="0" w:afterAutospacing="0" w:line="360" w:lineRule="auto"/>
        <w:ind w:firstLine="480"/>
        <w:rPr>
          <w:color w:val="FF0000"/>
        </w:rPr>
      </w:pPr>
      <w:r>
        <w:rPr>
          <w:rFonts w:hint="eastAsia"/>
        </w:rPr>
        <w:t>截止时间：</w:t>
      </w:r>
      <w:r>
        <w:rPr>
          <w:rFonts w:hint="eastAsia"/>
          <w:color w:val="FF0000"/>
        </w:rPr>
        <w:t xml:space="preserve"> 2020-12-16 14:30:00</w:t>
      </w:r>
    </w:p>
    <w:p>
      <w:pPr>
        <w:pStyle w:val="19"/>
        <w:shd w:val="clear" w:color="auto" w:fill="FFFFFF"/>
        <w:spacing w:before="0" w:beforeAutospacing="0" w:after="0" w:afterAutospacing="0" w:line="360" w:lineRule="auto"/>
        <w:ind w:firstLine="480"/>
      </w:pPr>
      <w:r>
        <w:rPr>
          <w:rFonts w:hint="eastAsia"/>
        </w:rPr>
        <w:t>地点：陕西省西安市灞桥区沁水路1266号草北小区商务楼四楼陕西远华招标有限公司开标室</w:t>
      </w:r>
    </w:p>
    <w:p>
      <w:pPr>
        <w:pStyle w:val="62"/>
        <w:shd w:val="clear" w:color="auto" w:fill="FFFFFF"/>
        <w:spacing w:before="150" w:line="360" w:lineRule="auto"/>
        <w:rPr>
          <w:b/>
          <w:bCs/>
        </w:rPr>
      </w:pPr>
      <w:r>
        <w:rPr>
          <w:rFonts w:hint="eastAsia"/>
          <w:b/>
          <w:bCs/>
        </w:rPr>
        <w:t>五、公告期限</w:t>
      </w:r>
    </w:p>
    <w:p>
      <w:pPr>
        <w:pStyle w:val="19"/>
        <w:shd w:val="clear" w:color="auto" w:fill="FFFFFF"/>
        <w:spacing w:before="0" w:beforeAutospacing="0" w:after="0" w:afterAutospacing="0" w:line="360" w:lineRule="auto"/>
        <w:ind w:firstLine="480"/>
      </w:pPr>
      <w:r>
        <w:rPr>
          <w:rFonts w:hint="eastAsia"/>
        </w:rPr>
        <w:t>自本公告发布之日起3个工作日。</w:t>
      </w:r>
    </w:p>
    <w:p>
      <w:pPr>
        <w:pStyle w:val="62"/>
        <w:shd w:val="clear" w:color="auto" w:fill="FFFFFF"/>
        <w:spacing w:before="150" w:line="360" w:lineRule="auto"/>
        <w:rPr>
          <w:b/>
          <w:bCs/>
        </w:rPr>
      </w:pPr>
      <w:r>
        <w:rPr>
          <w:rFonts w:hint="eastAsia"/>
          <w:b/>
          <w:bCs/>
        </w:rPr>
        <w:t>六、其他补充事宜</w:t>
      </w:r>
    </w:p>
    <w:p>
      <w:pPr>
        <w:pStyle w:val="62"/>
        <w:shd w:val="clear" w:color="auto" w:fill="FFFFFF"/>
        <w:spacing w:before="150" w:line="360" w:lineRule="auto"/>
        <w:rPr>
          <w:b/>
          <w:bCs/>
        </w:rPr>
      </w:pPr>
      <w:r>
        <w:rPr>
          <w:rFonts w:hint="eastAsia"/>
          <w:b/>
          <w:bCs/>
        </w:rPr>
        <w:t>七、对本次采购提出询问，请按以下方式联系。</w:t>
      </w:r>
    </w:p>
    <w:p>
      <w:pPr>
        <w:pStyle w:val="19"/>
        <w:shd w:val="clear" w:color="auto" w:fill="FFFFFF"/>
        <w:spacing w:before="0" w:beforeAutospacing="0" w:after="0" w:afterAutospacing="0" w:line="360" w:lineRule="auto"/>
        <w:ind w:firstLine="480"/>
      </w:pPr>
      <w:r>
        <w:rPr>
          <w:rFonts w:hint="eastAsia"/>
        </w:rPr>
        <w:t>1、</w:t>
      </w:r>
      <w:r>
        <w:rPr>
          <w:rFonts w:hint="eastAsia"/>
          <w:color w:val="FF0000"/>
        </w:rPr>
        <w:t>采购人信息：</w:t>
      </w:r>
      <w:r>
        <w:t xml:space="preserve"> </w:t>
      </w:r>
    </w:p>
    <w:p>
      <w:pPr>
        <w:pStyle w:val="19"/>
        <w:shd w:val="clear" w:color="auto" w:fill="FFFFFF"/>
        <w:spacing w:before="0" w:beforeAutospacing="0" w:after="0" w:afterAutospacing="0" w:line="360" w:lineRule="auto"/>
        <w:ind w:firstLine="480"/>
      </w:pPr>
      <w:r>
        <w:rPr>
          <w:rFonts w:hint="eastAsia"/>
          <w:color w:val="FF0000"/>
        </w:rPr>
        <w:t>地址：西安市凤凰东路33号</w:t>
      </w:r>
    </w:p>
    <w:p>
      <w:pPr>
        <w:pStyle w:val="19"/>
        <w:shd w:val="clear" w:color="auto" w:fill="FFFFFF"/>
        <w:spacing w:before="0" w:beforeAutospacing="0" w:after="0" w:afterAutospacing="0" w:line="360" w:lineRule="auto"/>
        <w:ind w:firstLine="480"/>
      </w:pPr>
      <w:r>
        <w:rPr>
          <w:rFonts w:hint="eastAsia"/>
          <w:color w:val="FF0000"/>
        </w:rPr>
        <w:t>联系人：西安市阎良区财政局经办</w:t>
      </w:r>
    </w:p>
    <w:p>
      <w:pPr>
        <w:pStyle w:val="19"/>
        <w:shd w:val="clear" w:color="auto" w:fill="FFFFFF"/>
        <w:spacing w:before="0" w:beforeAutospacing="0" w:after="0" w:afterAutospacing="0" w:line="360" w:lineRule="auto"/>
        <w:ind w:firstLine="480"/>
      </w:pPr>
      <w:r>
        <w:rPr>
          <w:rFonts w:hint="eastAsia"/>
          <w:color w:val="FF0000"/>
        </w:rPr>
        <w:t>电话：029-</w:t>
      </w:r>
      <w:r>
        <w:t xml:space="preserve"> </w:t>
      </w:r>
      <w:r>
        <w:rPr>
          <w:color w:val="FF0000"/>
        </w:rPr>
        <w:t>86864678</w:t>
      </w:r>
    </w:p>
    <w:p>
      <w:pPr>
        <w:pStyle w:val="19"/>
        <w:shd w:val="clear" w:color="auto" w:fill="FFFFFF"/>
        <w:spacing w:before="0" w:beforeAutospacing="0" w:after="0" w:afterAutospacing="0" w:line="360" w:lineRule="auto"/>
        <w:ind w:firstLine="480"/>
      </w:pPr>
      <w:r>
        <w:rPr>
          <w:rFonts w:hint="eastAsia"/>
        </w:rPr>
        <w:t xml:space="preserve"> 2、项目联系方式</w:t>
      </w:r>
    </w:p>
    <w:p>
      <w:pPr>
        <w:pStyle w:val="19"/>
        <w:shd w:val="clear" w:color="auto" w:fill="FFFFFF"/>
        <w:spacing w:before="0" w:beforeAutospacing="0" w:after="0" w:afterAutospacing="0" w:line="360" w:lineRule="auto"/>
        <w:ind w:firstLine="480"/>
      </w:pPr>
      <w:r>
        <w:rPr>
          <w:rFonts w:hint="eastAsia"/>
        </w:rPr>
        <w:t>项目联系人：陈娟  晁曼</w:t>
      </w:r>
    </w:p>
    <w:p>
      <w:pPr>
        <w:pStyle w:val="19"/>
        <w:shd w:val="clear" w:color="auto" w:fill="FFFFFF"/>
        <w:spacing w:before="0" w:beforeAutospacing="0" w:after="0" w:afterAutospacing="0" w:line="360" w:lineRule="auto"/>
        <w:ind w:firstLine="480"/>
      </w:pPr>
      <w:r>
        <w:rPr>
          <w:rFonts w:hint="eastAsia"/>
        </w:rPr>
        <w:t>电 话：029-89331890</w:t>
      </w:r>
    </w:p>
    <w:p>
      <w:pPr>
        <w:pStyle w:val="19"/>
        <w:shd w:val="clear" w:color="auto" w:fill="FFFFFF"/>
        <w:spacing w:before="0" w:beforeAutospacing="0" w:after="0" w:afterAutospacing="0" w:line="360" w:lineRule="auto"/>
        <w:ind w:firstLine="480"/>
      </w:pPr>
      <w:r>
        <w:rPr>
          <w:rFonts w:hint="eastAsia"/>
        </w:rPr>
        <w:t>传 真：029-89331890</w:t>
      </w:r>
    </w:p>
    <w:p>
      <w:pPr>
        <w:pStyle w:val="19"/>
        <w:shd w:val="clear" w:color="auto" w:fill="FFFFFF"/>
        <w:spacing w:before="0" w:beforeAutospacing="0" w:after="0" w:afterAutospacing="0" w:line="360" w:lineRule="auto"/>
        <w:ind w:firstLine="480"/>
      </w:pPr>
      <w:r>
        <w:rPr>
          <w:rFonts w:hint="eastAsia"/>
        </w:rPr>
        <w:t>3、采购代理机构信息</w:t>
      </w:r>
    </w:p>
    <w:p>
      <w:pPr>
        <w:pStyle w:val="19"/>
        <w:shd w:val="clear" w:color="auto" w:fill="FFFFFF"/>
        <w:spacing w:before="0" w:beforeAutospacing="0" w:after="0" w:afterAutospacing="0" w:line="360" w:lineRule="auto"/>
        <w:ind w:firstLine="480"/>
      </w:pPr>
      <w:r>
        <w:rPr>
          <w:rFonts w:hint="eastAsia"/>
        </w:rPr>
        <w:t>名称：陕西远华招标有限公司</w:t>
      </w:r>
    </w:p>
    <w:p>
      <w:pPr>
        <w:pStyle w:val="19"/>
        <w:shd w:val="clear" w:color="auto" w:fill="FFFFFF"/>
        <w:spacing w:before="0" w:beforeAutospacing="0" w:after="0" w:afterAutospacing="0" w:line="360" w:lineRule="auto"/>
        <w:ind w:firstLine="480"/>
      </w:pPr>
      <w:r>
        <w:rPr>
          <w:rFonts w:hint="eastAsia"/>
        </w:rPr>
        <w:t>联系地址：陕西省西安市灞桥区沁水路1266号草北小区商务楼四楼陕西远华招标有限公司</w:t>
      </w:r>
    </w:p>
    <w:p>
      <w:pPr>
        <w:pStyle w:val="19"/>
        <w:shd w:val="clear" w:color="auto" w:fill="FFFFFF"/>
        <w:spacing w:before="0" w:beforeAutospacing="0" w:after="0" w:afterAutospacing="0" w:line="360" w:lineRule="auto"/>
        <w:ind w:firstLine="480"/>
      </w:pPr>
      <w:r>
        <w:rPr>
          <w:rFonts w:hint="eastAsia"/>
        </w:rPr>
        <w:t>联系方式：http://www.ccgp.gov.cn/agency/a_agencylist.html</w:t>
      </w:r>
    </w:p>
    <w:p>
      <w:pPr>
        <w:spacing w:line="360" w:lineRule="auto"/>
        <w:jc w:val="left"/>
        <w:rPr>
          <w:rFonts w:ascii="宋体" w:hAnsi="宋体" w:cs="宋体"/>
          <w:kern w:val="0"/>
          <w:sz w:val="24"/>
          <w:szCs w:val="24"/>
        </w:rPr>
      </w:pPr>
    </w:p>
    <w:p>
      <w:pPr>
        <w:widowControl/>
        <w:jc w:val="left"/>
        <w:rPr>
          <w:b/>
          <w:bCs/>
          <w:kern w:val="44"/>
          <w:sz w:val="44"/>
          <w:szCs w:val="44"/>
        </w:rPr>
      </w:pPr>
      <w:r>
        <w:br w:type="page"/>
      </w:r>
    </w:p>
    <w:p>
      <w:pPr>
        <w:pStyle w:val="2"/>
        <w:jc w:val="center"/>
      </w:pPr>
      <w:bookmarkStart w:id="2" w:name="_Toc57822481"/>
      <w:r>
        <w:rPr>
          <w:rFonts w:hint="eastAsia"/>
        </w:rPr>
        <w:t>二、磋商须知前附表</w:t>
      </w:r>
      <w:bookmarkEnd w:id="2"/>
    </w:p>
    <w:tbl>
      <w:tblPr>
        <w:tblStyle w:val="20"/>
        <w:tblW w:w="916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616"/>
        <w:gridCol w:w="1701"/>
        <w:gridCol w:w="685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tblHeader/>
          <w:jc w:val="center"/>
        </w:trPr>
        <w:tc>
          <w:tcPr>
            <w:tcW w:w="616" w:type="dxa"/>
            <w:vAlign w:val="center"/>
          </w:tcPr>
          <w:p>
            <w:pPr>
              <w:snapToGrid w:val="0"/>
              <w:spacing w:line="460" w:lineRule="exact"/>
              <w:ind w:left="9"/>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序号</w:t>
            </w:r>
          </w:p>
        </w:tc>
        <w:tc>
          <w:tcPr>
            <w:tcW w:w="1701" w:type="dxa"/>
            <w:vAlign w:val="center"/>
          </w:tcPr>
          <w:p>
            <w:pPr>
              <w:snapToGrid w:val="0"/>
              <w:spacing w:line="460" w:lineRule="exact"/>
              <w:ind w:left="3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条款名称</w:t>
            </w:r>
          </w:p>
        </w:tc>
        <w:tc>
          <w:tcPr>
            <w:tcW w:w="6850" w:type="dxa"/>
            <w:vAlign w:val="center"/>
          </w:tcPr>
          <w:p>
            <w:pPr>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说明和要求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77" w:hRule="atLeast"/>
          <w:jc w:val="center"/>
        </w:trPr>
        <w:tc>
          <w:tcPr>
            <w:tcW w:w="616" w:type="dxa"/>
            <w:vMerge w:val="restart"/>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w:t>
            </w:r>
          </w:p>
        </w:tc>
        <w:tc>
          <w:tcPr>
            <w:tcW w:w="1701" w:type="dxa"/>
            <w:vAlign w:val="center"/>
          </w:tcPr>
          <w:p>
            <w:pPr>
              <w:snapToGrid w:val="0"/>
              <w:spacing w:line="460" w:lineRule="exact"/>
              <w:ind w:left="3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采购项目名称</w:t>
            </w:r>
          </w:p>
        </w:tc>
        <w:tc>
          <w:tcPr>
            <w:tcW w:w="6850" w:type="dxa"/>
            <w:vAlign w:val="center"/>
          </w:tcPr>
          <w:p>
            <w:pPr>
              <w:shd w:val="clear" w:color="auto" w:fill="FCFCFC"/>
              <w:snapToGrid w:val="0"/>
              <w:spacing w:line="460" w:lineRule="exact"/>
              <w:rPr>
                <w:rFonts w:asciiTheme="minorEastAsia" w:hAnsiTheme="minorEastAsia" w:eastAsiaTheme="minorEastAsia"/>
                <w:color w:val="FF0000"/>
                <w:kern w:val="0"/>
                <w:sz w:val="24"/>
                <w:szCs w:val="24"/>
              </w:rPr>
            </w:pPr>
            <w:r>
              <w:rPr>
                <w:rFonts w:hint="eastAsia" w:asciiTheme="minorEastAsia" w:hAnsiTheme="minorEastAsia" w:eastAsiaTheme="minorEastAsia"/>
                <w:color w:val="FF0000"/>
                <w:sz w:val="24"/>
                <w:szCs w:val="24"/>
              </w:rPr>
              <w:t>阎良区财政惠民补贴“一卡通”服务采购项目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7" w:hRule="atLeast"/>
          <w:jc w:val="center"/>
        </w:trPr>
        <w:tc>
          <w:tcPr>
            <w:tcW w:w="616" w:type="dxa"/>
            <w:vMerge w:val="continue"/>
            <w:vAlign w:val="center"/>
          </w:tcPr>
          <w:p>
            <w:pPr>
              <w:widowControl/>
              <w:snapToGrid w:val="0"/>
              <w:spacing w:line="460" w:lineRule="exact"/>
              <w:jc w:val="center"/>
              <w:rPr>
                <w:rFonts w:asciiTheme="minorEastAsia" w:hAnsiTheme="minorEastAsia" w:eastAsiaTheme="minorEastAsia"/>
                <w:kern w:val="0"/>
                <w:sz w:val="24"/>
                <w:szCs w:val="24"/>
              </w:rPr>
            </w:pPr>
          </w:p>
        </w:tc>
        <w:tc>
          <w:tcPr>
            <w:tcW w:w="1701" w:type="dxa"/>
            <w:vAlign w:val="center"/>
          </w:tcPr>
          <w:p>
            <w:pPr>
              <w:snapToGrid w:val="0"/>
              <w:spacing w:line="460" w:lineRule="exact"/>
              <w:ind w:left="3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项目编号</w:t>
            </w:r>
          </w:p>
        </w:tc>
        <w:tc>
          <w:tcPr>
            <w:tcW w:w="6850" w:type="dxa"/>
            <w:vAlign w:val="center"/>
          </w:tcPr>
          <w:p>
            <w:pPr>
              <w:shd w:val="clear" w:color="auto" w:fill="FCFCFC"/>
              <w:snapToGrid w:val="0"/>
              <w:spacing w:line="460" w:lineRule="exact"/>
              <w:rPr>
                <w:rFonts w:asciiTheme="minorEastAsia" w:hAnsiTheme="minorEastAsia" w:eastAsiaTheme="minorEastAsia"/>
                <w:color w:val="FF0000"/>
                <w:sz w:val="24"/>
                <w:szCs w:val="24"/>
              </w:rPr>
            </w:pPr>
            <w:r>
              <w:rPr>
                <w:rFonts w:hint="eastAsia" w:asciiTheme="minorEastAsia" w:hAnsiTheme="minorEastAsia" w:eastAsiaTheme="minorEastAsia"/>
                <w:color w:val="FF0000"/>
                <w:sz w:val="24"/>
                <w:szCs w:val="24"/>
              </w:rPr>
              <w:t>YHZB2020-J-034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9"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2</w:t>
            </w:r>
          </w:p>
        </w:tc>
        <w:tc>
          <w:tcPr>
            <w:tcW w:w="1701" w:type="dxa"/>
            <w:vAlign w:val="center"/>
          </w:tcPr>
          <w:p>
            <w:pPr>
              <w:snapToGrid w:val="0"/>
              <w:spacing w:line="460" w:lineRule="exact"/>
              <w:ind w:left="3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采购人</w:t>
            </w:r>
          </w:p>
        </w:tc>
        <w:tc>
          <w:tcPr>
            <w:tcW w:w="6850" w:type="dxa"/>
            <w:vAlign w:val="center"/>
          </w:tcPr>
          <w:p>
            <w:pPr>
              <w:shd w:val="clear" w:color="auto" w:fill="FCFCFC"/>
              <w:snapToGrid w:val="0"/>
              <w:spacing w:line="460" w:lineRule="exact"/>
              <w:rPr>
                <w:rFonts w:asciiTheme="minorEastAsia" w:hAnsiTheme="minorEastAsia" w:eastAsiaTheme="minorEastAsia"/>
                <w:color w:val="FF0000"/>
                <w:sz w:val="24"/>
                <w:szCs w:val="24"/>
              </w:rPr>
            </w:pPr>
            <w:r>
              <w:rPr>
                <w:rFonts w:hint="eastAsia" w:asciiTheme="minorEastAsia" w:hAnsiTheme="minorEastAsia" w:eastAsiaTheme="minorEastAsia"/>
                <w:color w:val="FF0000"/>
                <w:sz w:val="24"/>
                <w:szCs w:val="24"/>
              </w:rPr>
              <w:t>西安市阎良区财政局</w:t>
            </w:r>
          </w:p>
          <w:p>
            <w:pPr>
              <w:shd w:val="clear" w:color="auto" w:fill="FCFCFC"/>
              <w:snapToGrid w:val="0"/>
              <w:spacing w:line="460" w:lineRule="exact"/>
              <w:rPr>
                <w:rFonts w:asciiTheme="minorEastAsia" w:hAnsiTheme="minorEastAsia" w:eastAsiaTheme="minorEastAsia"/>
                <w:color w:val="FF0000"/>
                <w:sz w:val="24"/>
                <w:szCs w:val="24"/>
              </w:rPr>
            </w:pPr>
            <w:r>
              <w:rPr>
                <w:rFonts w:hint="eastAsia" w:asciiTheme="minorEastAsia" w:hAnsiTheme="minorEastAsia" w:eastAsiaTheme="minorEastAsia"/>
                <w:color w:val="FF0000"/>
                <w:sz w:val="24"/>
                <w:szCs w:val="24"/>
              </w:rPr>
              <w:t>地址：西安市凤凰东路33号</w:t>
            </w:r>
          </w:p>
          <w:p>
            <w:pPr>
              <w:shd w:val="clear" w:color="auto" w:fill="FCFCFC"/>
              <w:snapToGrid w:val="0"/>
              <w:spacing w:line="460" w:lineRule="exact"/>
              <w:rPr>
                <w:rFonts w:asciiTheme="minorEastAsia" w:hAnsiTheme="minorEastAsia" w:eastAsiaTheme="minorEastAsia"/>
                <w:kern w:val="0"/>
                <w:sz w:val="24"/>
                <w:szCs w:val="24"/>
              </w:rPr>
            </w:pPr>
            <w:r>
              <w:rPr>
                <w:rFonts w:hint="eastAsia" w:asciiTheme="minorEastAsia" w:hAnsiTheme="minorEastAsia" w:eastAsiaTheme="minorEastAsia"/>
                <w:color w:val="FF0000"/>
                <w:sz w:val="24"/>
                <w:szCs w:val="24"/>
              </w:rPr>
              <w:t>电话：029-</w:t>
            </w:r>
            <w:r>
              <w:t xml:space="preserve"> </w:t>
            </w:r>
            <w:r>
              <w:rPr>
                <w:rFonts w:asciiTheme="minorEastAsia" w:hAnsiTheme="minorEastAsia" w:eastAsiaTheme="minorEastAsia"/>
                <w:color w:val="FF0000"/>
                <w:sz w:val="24"/>
                <w:szCs w:val="24"/>
              </w:rPr>
              <w:t>86864678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93"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3</w:t>
            </w:r>
          </w:p>
        </w:tc>
        <w:tc>
          <w:tcPr>
            <w:tcW w:w="1701" w:type="dxa"/>
            <w:vAlign w:val="center"/>
          </w:tcPr>
          <w:p>
            <w:pPr>
              <w:snapToGrid w:val="0"/>
              <w:spacing w:line="460" w:lineRule="exact"/>
              <w:ind w:left="38"/>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采购代理机构</w:t>
            </w:r>
          </w:p>
        </w:tc>
        <w:tc>
          <w:tcPr>
            <w:tcW w:w="6850" w:type="dxa"/>
            <w:vAlign w:val="center"/>
          </w:tcPr>
          <w:p>
            <w:pPr>
              <w:shd w:val="clear" w:color="auto" w:fill="FCFCFC"/>
              <w:snapToGrid w:val="0"/>
              <w:spacing w:line="46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陕西远华招标有限公司</w:t>
            </w:r>
          </w:p>
          <w:p>
            <w:pPr>
              <w:snapToGrid w:val="0"/>
              <w:spacing w:line="460" w:lineRule="exact"/>
              <w:jc w:val="left"/>
              <w:rPr>
                <w:rFonts w:asciiTheme="minorEastAsia" w:hAnsiTheme="minorEastAsia" w:eastAsiaTheme="minorEastAsia"/>
                <w:kern w:val="0"/>
                <w:sz w:val="24"/>
                <w:szCs w:val="24"/>
              </w:rPr>
            </w:pPr>
            <w:r>
              <w:rPr>
                <w:rFonts w:hint="eastAsia" w:asciiTheme="minorEastAsia" w:hAnsiTheme="minorEastAsia" w:eastAsiaTheme="minorEastAsia"/>
                <w:sz w:val="24"/>
                <w:szCs w:val="24"/>
              </w:rPr>
              <w:t>地址：</w:t>
            </w:r>
            <w:r>
              <w:rPr>
                <w:rFonts w:hint="eastAsia" w:asciiTheme="minorEastAsia" w:hAnsiTheme="minorEastAsia" w:eastAsiaTheme="minorEastAsia"/>
                <w:kern w:val="0"/>
                <w:sz w:val="24"/>
                <w:szCs w:val="24"/>
              </w:rPr>
              <w:t>西安市</w:t>
            </w:r>
            <w:r>
              <w:rPr>
                <w:rFonts w:asciiTheme="minorEastAsia" w:hAnsiTheme="minorEastAsia" w:eastAsiaTheme="minorEastAsia"/>
                <w:kern w:val="0"/>
                <w:sz w:val="24"/>
                <w:szCs w:val="24"/>
              </w:rPr>
              <w:t>长乐坡沁水路1266</w:t>
            </w:r>
            <w:r>
              <w:rPr>
                <w:rFonts w:hint="eastAsia" w:asciiTheme="minorEastAsia" w:hAnsiTheme="minorEastAsia" w:eastAsiaTheme="minorEastAsia"/>
                <w:kern w:val="0"/>
                <w:sz w:val="24"/>
                <w:szCs w:val="24"/>
              </w:rPr>
              <w:t>号草北小区商务楼四楼</w:t>
            </w:r>
          </w:p>
          <w:p>
            <w:pPr>
              <w:shd w:val="clear" w:color="auto" w:fill="FCFCFC"/>
              <w:snapToGrid w:val="0"/>
              <w:spacing w:line="46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联系方式：029-89331890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59"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4</w:t>
            </w:r>
          </w:p>
        </w:tc>
        <w:tc>
          <w:tcPr>
            <w:tcW w:w="1701" w:type="dxa"/>
            <w:vAlign w:val="center"/>
          </w:tcPr>
          <w:p>
            <w:pPr>
              <w:snapToGrid w:val="0"/>
              <w:spacing w:line="460" w:lineRule="exact"/>
              <w:jc w:val="center"/>
              <w:rPr>
                <w:rFonts w:ascii="宋体" w:hAnsi="宋体"/>
                <w:color w:val="FF0000"/>
                <w:sz w:val="24"/>
                <w:szCs w:val="24"/>
              </w:rPr>
            </w:pPr>
            <w:r>
              <w:rPr>
                <w:rFonts w:hint="eastAsia" w:ascii="宋体" w:hAnsi="宋体"/>
                <w:color w:val="FF0000"/>
                <w:sz w:val="24"/>
                <w:szCs w:val="24"/>
              </w:rPr>
              <w:t>服务期限</w:t>
            </w:r>
          </w:p>
        </w:tc>
        <w:tc>
          <w:tcPr>
            <w:tcW w:w="6850" w:type="dxa"/>
            <w:vAlign w:val="center"/>
          </w:tcPr>
          <w:p>
            <w:pPr>
              <w:snapToGrid w:val="0"/>
              <w:spacing w:line="460" w:lineRule="exact"/>
              <w:rPr>
                <w:rFonts w:ascii="宋体" w:hAnsi="宋体"/>
                <w:color w:val="FF0000"/>
                <w:kern w:val="0"/>
                <w:sz w:val="24"/>
                <w:szCs w:val="24"/>
              </w:rPr>
            </w:pPr>
            <w:r>
              <w:rPr>
                <w:rFonts w:hint="eastAsia" w:ascii="宋体" w:hAnsi="宋体"/>
                <w:color w:val="FF0000"/>
                <w:sz w:val="24"/>
                <w:szCs w:val="24"/>
              </w:rPr>
              <w:t>本项目服务期限为三年。</w:t>
            </w:r>
            <w:r>
              <w:rPr>
                <w:rFonts w:hint="eastAsia" w:ascii="宋体" w:hAnsi="宋体" w:cs="宋体"/>
                <w:bCs/>
                <w:sz w:val="24"/>
              </w:rPr>
              <w:t xml:space="preserve"> 采购合同每年签订一次，符合考核标准方可续签下一年合同。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95"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5</w:t>
            </w:r>
          </w:p>
        </w:tc>
        <w:tc>
          <w:tcPr>
            <w:tcW w:w="1701" w:type="dxa"/>
            <w:vAlign w:val="center"/>
          </w:tcPr>
          <w:p>
            <w:pPr>
              <w:snapToGrid w:val="0"/>
              <w:spacing w:line="460" w:lineRule="exact"/>
              <w:jc w:val="center"/>
              <w:rPr>
                <w:rFonts w:ascii="宋体" w:hAnsi="宋体"/>
                <w:color w:val="FF0000"/>
                <w:sz w:val="24"/>
                <w:szCs w:val="24"/>
              </w:rPr>
            </w:pPr>
            <w:r>
              <w:rPr>
                <w:rFonts w:hint="eastAsia" w:ascii="宋体" w:hAnsi="宋体"/>
                <w:color w:val="FF0000"/>
                <w:sz w:val="24"/>
                <w:szCs w:val="24"/>
              </w:rPr>
              <w:t>服务地点</w:t>
            </w:r>
          </w:p>
        </w:tc>
        <w:tc>
          <w:tcPr>
            <w:tcW w:w="6850" w:type="dxa"/>
            <w:vAlign w:val="center"/>
          </w:tcPr>
          <w:p>
            <w:pPr>
              <w:snapToGrid w:val="0"/>
              <w:spacing w:line="460" w:lineRule="exact"/>
              <w:rPr>
                <w:rFonts w:ascii="宋体" w:hAnsi="宋体"/>
                <w:color w:val="FF0000"/>
                <w:kern w:val="0"/>
                <w:sz w:val="24"/>
                <w:szCs w:val="24"/>
              </w:rPr>
            </w:pPr>
            <w:r>
              <w:rPr>
                <w:rFonts w:hint="eastAsia" w:ascii="宋体" w:hAnsi="宋体" w:cs="宋体"/>
                <w:color w:val="FF0000"/>
                <w:sz w:val="24"/>
              </w:rPr>
              <w:t>阎良区范围内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2"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6</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采购方式</w:t>
            </w:r>
          </w:p>
        </w:tc>
        <w:tc>
          <w:tcPr>
            <w:tcW w:w="6850" w:type="dxa"/>
            <w:vAlign w:val="center"/>
          </w:tcPr>
          <w:p>
            <w:pPr>
              <w:pStyle w:val="37"/>
              <w:snapToGrid w:val="0"/>
              <w:spacing w:line="460" w:lineRule="exact"/>
              <w:rPr>
                <w:rFonts w:asciiTheme="minorEastAsia" w:hAnsiTheme="minorEastAsia" w:eastAsiaTheme="minorEastAsia"/>
              </w:rPr>
            </w:pPr>
            <w:r>
              <w:rPr>
                <w:rFonts w:hint="eastAsia" w:asciiTheme="minorEastAsia" w:hAnsiTheme="minorEastAsia" w:eastAsiaTheme="minorEastAsia"/>
              </w:rPr>
              <w:t>竞争性磋商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7</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评审办法</w:t>
            </w:r>
          </w:p>
        </w:tc>
        <w:tc>
          <w:tcPr>
            <w:tcW w:w="6850" w:type="dxa"/>
            <w:vAlign w:val="center"/>
          </w:tcPr>
          <w:p>
            <w:pPr>
              <w:pStyle w:val="37"/>
              <w:snapToGrid w:val="0"/>
              <w:spacing w:line="460" w:lineRule="exact"/>
              <w:rPr>
                <w:rFonts w:asciiTheme="minorEastAsia" w:hAnsiTheme="minorEastAsia" w:eastAsiaTheme="minorEastAsia"/>
              </w:rPr>
            </w:pPr>
            <w:r>
              <w:rPr>
                <w:rFonts w:hint="eastAsia" w:asciiTheme="minorEastAsia" w:hAnsiTheme="minorEastAsia" w:eastAsiaTheme="minorEastAsia"/>
              </w:rPr>
              <w:t>综合评分法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17"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8</w:t>
            </w:r>
          </w:p>
        </w:tc>
        <w:tc>
          <w:tcPr>
            <w:tcW w:w="1701"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响应有效期</w:t>
            </w:r>
          </w:p>
        </w:tc>
        <w:tc>
          <w:tcPr>
            <w:tcW w:w="6850" w:type="dxa"/>
            <w:vAlign w:val="center"/>
          </w:tcPr>
          <w:p>
            <w:pPr>
              <w:widowControl/>
              <w:snapToGrid w:val="0"/>
              <w:spacing w:line="460" w:lineRule="exac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响应文件从文件递交截止之日起，响应有效期为90日历天。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8"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9</w:t>
            </w:r>
          </w:p>
        </w:tc>
        <w:tc>
          <w:tcPr>
            <w:tcW w:w="1701" w:type="dxa"/>
            <w:vAlign w:val="center"/>
          </w:tcPr>
          <w:p>
            <w:pPr>
              <w:pStyle w:val="37"/>
              <w:snapToGrid w:val="0"/>
              <w:spacing w:line="460" w:lineRule="exact"/>
              <w:ind w:left="96"/>
              <w:jc w:val="center"/>
              <w:rPr>
                <w:rFonts w:cs="Times New Roman" w:asciiTheme="minorEastAsia" w:hAnsiTheme="minorEastAsia" w:eastAsiaTheme="minorEastAsia"/>
                <w:kern w:val="2"/>
              </w:rPr>
            </w:pPr>
            <w:r>
              <w:rPr>
                <w:rFonts w:hint="eastAsia" w:cs="Times New Roman" w:asciiTheme="minorEastAsia" w:hAnsiTheme="minorEastAsia" w:eastAsiaTheme="minorEastAsia"/>
                <w:kern w:val="2"/>
              </w:rPr>
              <w:t>响应文件</w:t>
            </w:r>
          </w:p>
        </w:tc>
        <w:tc>
          <w:tcPr>
            <w:tcW w:w="6850" w:type="dxa"/>
            <w:vAlign w:val="center"/>
          </w:tcPr>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一套正本“磋商响应文件”、二套副本“磋商响应文件”、一套电子版“磋商响应文件”（U盘）。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8"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10</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asciiTheme="minorEastAsia" w:hAnsiTheme="minorEastAsia" w:eastAsiaTheme="minorEastAsia"/>
                <w:sz w:val="24"/>
                <w:szCs w:val="24"/>
              </w:rPr>
              <w:t>装订要求</w:t>
            </w:r>
          </w:p>
        </w:tc>
        <w:tc>
          <w:tcPr>
            <w:tcW w:w="6850" w:type="dxa"/>
            <w:vAlign w:val="center"/>
          </w:tcPr>
          <w:p>
            <w:pPr>
              <w:widowControl/>
              <w:snapToGrid w:val="0"/>
              <w:spacing w:line="46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磋商响应文件正、副本应分别胶装成册，胶装应牢固、不易拆散和换页。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12"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11</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资格证明文件</w:t>
            </w:r>
          </w:p>
        </w:tc>
        <w:tc>
          <w:tcPr>
            <w:tcW w:w="6850" w:type="dxa"/>
            <w:vAlign w:val="center"/>
          </w:tcPr>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1、投标供应商为</w:t>
            </w:r>
            <w:r>
              <w:rPr>
                <w:rFonts w:ascii="宋体" w:hAnsi="宋体"/>
                <w:sz w:val="24"/>
              </w:rPr>
              <w:t>独立承担民事责任能力的法人、其他组织或自然人，企业法人、其他组织须</w:t>
            </w:r>
            <w:r>
              <w:rPr>
                <w:rFonts w:hint="eastAsia" w:ascii="宋体" w:hAnsi="宋体" w:cs="仿宋"/>
                <w:sz w:val="24"/>
              </w:rPr>
              <w:t>提供</w:t>
            </w:r>
            <w:r>
              <w:rPr>
                <w:rFonts w:ascii="宋体" w:hAnsi="宋体"/>
                <w:sz w:val="24"/>
              </w:rPr>
              <w:t>合法有效的营业执照（或事业单位法人证书）等证明资料,自然人须</w:t>
            </w:r>
            <w:r>
              <w:rPr>
                <w:rFonts w:hint="eastAsia" w:ascii="宋体" w:hAnsi="宋体" w:cs="仿宋"/>
                <w:sz w:val="24"/>
              </w:rPr>
              <w:t>提供</w:t>
            </w:r>
            <w:r>
              <w:rPr>
                <w:rFonts w:ascii="宋体" w:hAnsi="宋体"/>
                <w:sz w:val="24"/>
              </w:rPr>
              <w:t>身份证明；</w:t>
            </w:r>
          </w:p>
          <w:p>
            <w:pPr>
              <w:pStyle w:val="38"/>
              <w:snapToGrid w:val="0"/>
              <w:spacing w:line="460" w:lineRule="exact"/>
              <w:ind w:firstLine="0" w:firstLineChars="0"/>
              <w:rPr>
                <w:rFonts w:asciiTheme="minorEastAsia" w:hAnsiTheme="minorEastAsia" w:eastAsiaTheme="minorEastAsia"/>
                <w:kern w:val="0"/>
                <w:sz w:val="24"/>
              </w:rPr>
            </w:pPr>
            <w:r>
              <w:rPr>
                <w:rFonts w:asciiTheme="minorEastAsia" w:hAnsiTheme="minorEastAsia" w:eastAsiaTheme="minorEastAsia"/>
                <w:kern w:val="0"/>
                <w:sz w:val="24"/>
              </w:rPr>
              <w:t>2、</w:t>
            </w:r>
            <w:r>
              <w:rPr>
                <w:rFonts w:hint="eastAsia" w:ascii="宋体" w:hAnsi="宋体"/>
                <w:sz w:val="24"/>
              </w:rPr>
              <w:t>提供</w:t>
            </w:r>
            <w:r>
              <w:rPr>
                <w:rFonts w:ascii="宋体" w:hAnsi="宋体"/>
                <w:sz w:val="24"/>
              </w:rPr>
              <w:t>法定代表人授权委托书（附法定代表人及被授权人身份证复印件</w:t>
            </w:r>
            <w:r>
              <w:rPr>
                <w:rFonts w:hint="eastAsia" w:ascii="宋体" w:hAnsi="宋体"/>
                <w:sz w:val="24"/>
              </w:rPr>
              <w:t>)</w:t>
            </w:r>
            <w:r>
              <w:rPr>
                <w:rFonts w:ascii="宋体" w:hAnsi="宋体"/>
                <w:sz w:val="24"/>
              </w:rPr>
              <w:t>，法定代表人直接参加需提供法定代表人身份证</w:t>
            </w:r>
            <w:r>
              <w:rPr>
                <w:rFonts w:hint="eastAsia" w:ascii="宋体" w:hAnsi="宋体"/>
                <w:sz w:val="24"/>
              </w:rPr>
              <w:t>明及身份证原件</w:t>
            </w:r>
            <w:r>
              <w:rPr>
                <w:rFonts w:asciiTheme="minorEastAsia" w:hAnsiTheme="minorEastAsia" w:eastAsiaTheme="minorEastAsia"/>
                <w:kern w:val="0"/>
                <w:sz w:val="24"/>
              </w:rPr>
              <w:t xml:space="preserve">； </w:t>
            </w:r>
          </w:p>
          <w:p>
            <w:pPr>
              <w:snapToGrid w:val="0"/>
              <w:spacing w:line="460" w:lineRule="exact"/>
              <w:jc w:val="left"/>
              <w:rPr>
                <w:rFonts w:ascii="宋体" w:hAnsi="宋体"/>
                <w:kern w:val="0"/>
                <w:sz w:val="24"/>
                <w:szCs w:val="24"/>
              </w:rPr>
            </w:pPr>
            <w:r>
              <w:rPr>
                <w:rFonts w:asciiTheme="minorEastAsia" w:hAnsiTheme="minorEastAsia" w:eastAsiaTheme="minorEastAsia"/>
                <w:kern w:val="0"/>
                <w:sz w:val="24"/>
              </w:rPr>
              <w:t>3、</w:t>
            </w:r>
            <w:r>
              <w:rPr>
                <w:rFonts w:hint="eastAsia" w:ascii="宋体" w:hAnsi="宋体"/>
                <w:sz w:val="24"/>
              </w:rPr>
              <w:t>提供</w:t>
            </w:r>
            <w:r>
              <w:rPr>
                <w:rFonts w:ascii="宋体" w:hAnsi="宋体"/>
                <w:sz w:val="24"/>
                <w:szCs w:val="24"/>
              </w:rPr>
              <w:t>参加本次政府采购活动前三年内在经营活动中没有重大违法记录的书面声明函</w:t>
            </w:r>
            <w:r>
              <w:rPr>
                <w:rFonts w:hint="eastAsia" w:asciiTheme="minorEastAsia" w:hAnsiTheme="minorEastAsia" w:eastAsiaTheme="minorEastAsia"/>
                <w:kern w:val="0"/>
                <w:sz w:val="24"/>
              </w:rPr>
              <w:t>（原件）</w:t>
            </w:r>
            <w:r>
              <w:rPr>
                <w:rFonts w:asciiTheme="minorEastAsia" w:hAnsiTheme="minorEastAsia" w:eastAsiaTheme="minorEastAsia"/>
                <w:kern w:val="0"/>
                <w:sz w:val="24"/>
              </w:rPr>
              <w:t>；</w:t>
            </w:r>
          </w:p>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4</w:t>
            </w:r>
            <w:r>
              <w:rPr>
                <w:rFonts w:asciiTheme="minorEastAsia" w:hAnsiTheme="minorEastAsia" w:eastAsiaTheme="minorEastAsia"/>
                <w:kern w:val="0"/>
                <w:sz w:val="24"/>
              </w:rPr>
              <w:t>、</w:t>
            </w:r>
            <w:r>
              <w:rPr>
                <w:rFonts w:hint="eastAsia" w:ascii="宋体" w:hAnsi="宋体"/>
                <w:sz w:val="24"/>
              </w:rPr>
              <w:t>提供</w:t>
            </w:r>
            <w:r>
              <w:rPr>
                <w:rFonts w:ascii="宋体" w:hAnsi="宋体"/>
                <w:sz w:val="24"/>
              </w:rPr>
              <w:t>近六个月内任意一个月依法缴纳社会保障资金</w:t>
            </w:r>
            <w:r>
              <w:rPr>
                <w:sz w:val="24"/>
              </w:rPr>
              <w:t>的</w:t>
            </w:r>
            <w:r>
              <w:rPr>
                <w:rFonts w:ascii="宋体" w:hAnsi="宋体"/>
                <w:sz w:val="24"/>
              </w:rPr>
              <w:t>证明文件；</w:t>
            </w:r>
            <w:r>
              <w:rPr>
                <w:rFonts w:hint="eastAsia" w:ascii="宋体" w:hAnsi="宋体"/>
                <w:sz w:val="24"/>
              </w:rPr>
              <w:t>提供</w:t>
            </w:r>
            <w:r>
              <w:rPr>
                <w:rFonts w:ascii="宋体" w:hAnsi="宋体"/>
                <w:sz w:val="24"/>
              </w:rPr>
              <w:t>近六个月内任意一个月依法缴纳税收的良好记录；</w:t>
            </w:r>
          </w:p>
          <w:p>
            <w:pPr>
              <w:pStyle w:val="38"/>
              <w:snapToGrid w:val="0"/>
              <w:spacing w:line="460" w:lineRule="exact"/>
              <w:ind w:firstLine="0" w:firstLineChars="0"/>
              <w:rPr>
                <w:rFonts w:ascii="宋体" w:hAnsi="宋体"/>
                <w:color w:val="FF0000"/>
                <w:sz w:val="24"/>
              </w:rPr>
            </w:pPr>
            <w:r>
              <w:rPr>
                <w:rFonts w:hint="eastAsia" w:asciiTheme="minorEastAsia" w:hAnsiTheme="minorEastAsia" w:eastAsiaTheme="minorEastAsia"/>
                <w:kern w:val="0"/>
                <w:sz w:val="24"/>
              </w:rPr>
              <w:t>5</w:t>
            </w:r>
            <w:r>
              <w:rPr>
                <w:rFonts w:asciiTheme="minorEastAsia" w:hAnsiTheme="minorEastAsia" w:eastAsiaTheme="minorEastAsia"/>
                <w:kern w:val="0"/>
                <w:sz w:val="24"/>
              </w:rPr>
              <w:t>、</w:t>
            </w:r>
            <w:r>
              <w:rPr>
                <w:rFonts w:hint="eastAsia" w:ascii="宋体" w:hAnsi="宋体"/>
                <w:color w:val="FF0000"/>
                <w:sz w:val="24"/>
              </w:rPr>
              <w:t>提供中华人民共和国金融许可证的国有商业银行、股份制商业银行、邮政储蓄银行、城市商业银行、农村商业银行、农村合作银行、农村信用合作联社及政策性银行或银行分支机构（如分支机构参与投标，则需有省级分行的唯一授权）</w:t>
            </w:r>
          </w:p>
          <w:p>
            <w:pPr>
              <w:pStyle w:val="38"/>
              <w:snapToGrid w:val="0"/>
              <w:spacing w:line="460" w:lineRule="exact"/>
              <w:ind w:firstLine="0" w:firstLineChars="0"/>
              <w:rPr>
                <w:rFonts w:ascii="宋体" w:hAnsi="宋体"/>
                <w:sz w:val="24"/>
              </w:rPr>
            </w:pPr>
            <w:r>
              <w:rPr>
                <w:rFonts w:hint="eastAsia" w:ascii="宋体" w:hAnsi="宋体"/>
                <w:sz w:val="24"/>
              </w:rPr>
              <w:t>6、供应商提供通过“信用中国”网站（www.creditchina.gov.cn）、中国政府采购网（www.ccgp.gov.cn）查询的相关主体信用记录，并将网页截图（加盖供应商红色公章）附在响应文件中，对列入失信被执行人、重大税收违法案件当事人、政府采购严重违法失信行为记录名单及其他不符合《中华人民共和国政府采购法》第二十二条规定条件的供应商，将拒绝其参与政府采购活动。</w:t>
            </w:r>
          </w:p>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注：</w:t>
            </w:r>
          </w:p>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1、以上资格证明文件投标供应商必须完全提供，且胶装于磋商响应文件中，一项不合格即按照无效响应处理。</w:t>
            </w:r>
          </w:p>
          <w:p>
            <w:pPr>
              <w:pStyle w:val="38"/>
              <w:snapToGrid w:val="0"/>
              <w:spacing w:line="460" w:lineRule="exact"/>
              <w:ind w:firstLine="0" w:firstLineChars="0"/>
              <w:rPr>
                <w:rFonts w:asciiTheme="minorEastAsia" w:hAnsiTheme="minorEastAsia" w:eastAsiaTheme="minorEastAsia"/>
                <w:kern w:val="0"/>
                <w:sz w:val="24"/>
              </w:rPr>
            </w:pPr>
            <w:r>
              <w:rPr>
                <w:rFonts w:hint="eastAsia" w:asciiTheme="minorEastAsia" w:hAnsiTheme="minorEastAsia" w:eastAsiaTheme="minorEastAsia"/>
                <w:kern w:val="0"/>
                <w:sz w:val="24"/>
              </w:rPr>
              <w:t>2、除注明原件外，均为复印件并加盖投标供应商公章。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12</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评审办法</w:t>
            </w:r>
          </w:p>
        </w:tc>
        <w:tc>
          <w:tcPr>
            <w:tcW w:w="6850" w:type="dxa"/>
            <w:vAlign w:val="center"/>
          </w:tcPr>
          <w:p>
            <w:pPr>
              <w:pStyle w:val="37"/>
              <w:snapToGrid w:val="0"/>
              <w:spacing w:line="460" w:lineRule="exact"/>
              <w:rPr>
                <w:rFonts w:asciiTheme="minorEastAsia" w:hAnsiTheme="minorEastAsia" w:eastAsiaTheme="minorEastAsia"/>
              </w:rPr>
            </w:pPr>
            <w:r>
              <w:rPr>
                <w:rFonts w:hint="eastAsia" w:asciiTheme="minorEastAsia" w:hAnsiTheme="minorEastAsia" w:eastAsiaTheme="minorEastAsia"/>
              </w:rPr>
              <w:t>综合评分法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44"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13</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特殊情况处理</w:t>
            </w:r>
          </w:p>
        </w:tc>
        <w:tc>
          <w:tcPr>
            <w:tcW w:w="6850" w:type="dxa"/>
            <w:vAlign w:val="center"/>
          </w:tcPr>
          <w:p>
            <w:pPr>
              <w:snapToGrid w:val="0"/>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本项目投标供应商不足三家时，按国家、省、市的相关规定执行。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14</w:t>
            </w:r>
          </w:p>
        </w:tc>
        <w:tc>
          <w:tcPr>
            <w:tcW w:w="1701" w:type="dxa"/>
            <w:vAlign w:val="center"/>
          </w:tcPr>
          <w:p>
            <w:pPr>
              <w:snapToGrid w:val="0"/>
              <w:spacing w:line="460" w:lineRule="exact"/>
              <w:jc w:val="center"/>
              <w:rPr>
                <w:rFonts w:asciiTheme="minorEastAsia" w:hAnsiTheme="minorEastAsia" w:eastAsiaTheme="minorEastAsia"/>
                <w:color w:val="FF0000"/>
                <w:sz w:val="24"/>
                <w:szCs w:val="24"/>
              </w:rPr>
            </w:pPr>
            <w:r>
              <w:rPr>
                <w:rFonts w:hint="eastAsia" w:asciiTheme="minorEastAsia" w:hAnsiTheme="minorEastAsia" w:eastAsiaTheme="minorEastAsia"/>
                <w:color w:val="FF0000"/>
                <w:sz w:val="24"/>
                <w:szCs w:val="24"/>
              </w:rPr>
              <w:t>采购代理服务费</w:t>
            </w:r>
          </w:p>
        </w:tc>
        <w:tc>
          <w:tcPr>
            <w:tcW w:w="6850" w:type="dxa"/>
            <w:vAlign w:val="center"/>
          </w:tcPr>
          <w:p>
            <w:pPr>
              <w:snapToGrid w:val="0"/>
              <w:spacing w:line="460" w:lineRule="exact"/>
              <w:rPr>
                <w:rFonts w:ascii="宋体" w:hAnsi="宋体"/>
                <w:color w:val="FF0000"/>
                <w:sz w:val="24"/>
                <w:szCs w:val="24"/>
              </w:rPr>
            </w:pPr>
            <w:r>
              <w:rPr>
                <w:rFonts w:hint="eastAsia" w:ascii="宋体" w:hAnsi="宋体"/>
                <w:color w:val="FF0000"/>
                <w:sz w:val="24"/>
                <w:szCs w:val="24"/>
              </w:rPr>
              <w:t>采购代理服务费用：成交单位领取成交结果通知书时，由成交单位按国家计委颁发的《招标代理服务收费管理暂行办法》（计价格[2002]1980号）向采购代理机构一次支付招标代理服务费贰万元整（¥20000.00元）。</w:t>
            </w:r>
          </w:p>
          <w:p>
            <w:pPr>
              <w:widowControl/>
              <w:snapToGrid w:val="0"/>
              <w:spacing w:line="460" w:lineRule="exact"/>
              <w:rPr>
                <w:rFonts w:ascii="宋体" w:hAnsi="宋体"/>
                <w:color w:val="FF0000"/>
                <w:kern w:val="0"/>
                <w:sz w:val="24"/>
                <w:szCs w:val="24"/>
              </w:rPr>
            </w:pPr>
            <w:r>
              <w:rPr>
                <w:rFonts w:hint="eastAsia" w:ascii="宋体" w:hAnsi="宋体"/>
                <w:color w:val="FF0000"/>
                <w:kern w:val="0"/>
                <w:sz w:val="24"/>
                <w:szCs w:val="24"/>
              </w:rPr>
              <w:t>开户名称：陕西远华招标有限公司</w:t>
            </w:r>
          </w:p>
          <w:p>
            <w:pPr>
              <w:widowControl/>
              <w:snapToGrid w:val="0"/>
              <w:spacing w:line="460" w:lineRule="exact"/>
              <w:rPr>
                <w:rFonts w:ascii="宋体" w:hAnsi="宋体"/>
                <w:color w:val="FF0000"/>
                <w:kern w:val="0"/>
                <w:sz w:val="24"/>
                <w:szCs w:val="24"/>
              </w:rPr>
            </w:pPr>
            <w:r>
              <w:rPr>
                <w:rFonts w:hint="eastAsia" w:ascii="宋体" w:hAnsi="宋体"/>
                <w:color w:val="FF0000"/>
                <w:kern w:val="0"/>
                <w:sz w:val="24"/>
                <w:szCs w:val="24"/>
              </w:rPr>
              <w:t>开户行名称：西安</w:t>
            </w:r>
            <w:r>
              <w:rPr>
                <w:rFonts w:ascii="宋体" w:hAnsi="宋体"/>
                <w:color w:val="FF0000"/>
                <w:kern w:val="0"/>
                <w:sz w:val="24"/>
                <w:szCs w:val="24"/>
              </w:rPr>
              <w:t>银行</w:t>
            </w:r>
            <w:r>
              <w:rPr>
                <w:rFonts w:hint="eastAsia" w:ascii="宋体" w:hAnsi="宋体"/>
                <w:color w:val="FF0000"/>
                <w:kern w:val="0"/>
                <w:sz w:val="24"/>
                <w:szCs w:val="24"/>
              </w:rPr>
              <w:t>股份</w:t>
            </w:r>
            <w:r>
              <w:rPr>
                <w:rFonts w:ascii="宋体" w:hAnsi="宋体"/>
                <w:color w:val="FF0000"/>
                <w:kern w:val="0"/>
                <w:sz w:val="24"/>
                <w:szCs w:val="24"/>
              </w:rPr>
              <w:t>有限公司纺织城支行</w:t>
            </w:r>
          </w:p>
          <w:p>
            <w:pPr>
              <w:widowControl/>
              <w:snapToGrid w:val="0"/>
              <w:spacing w:line="460" w:lineRule="exact"/>
              <w:rPr>
                <w:rFonts w:ascii="宋体" w:hAnsi="宋体"/>
                <w:color w:val="FF0000"/>
                <w:kern w:val="0"/>
                <w:sz w:val="24"/>
                <w:szCs w:val="24"/>
              </w:rPr>
            </w:pPr>
            <w:r>
              <w:rPr>
                <w:rFonts w:hint="eastAsia" w:ascii="宋体" w:hAnsi="宋体"/>
                <w:color w:val="FF0000"/>
                <w:kern w:val="0"/>
                <w:sz w:val="24"/>
                <w:szCs w:val="24"/>
              </w:rPr>
              <w:t>帐   号：</w:t>
            </w:r>
            <w:r>
              <w:rPr>
                <w:rFonts w:ascii="宋体" w:hAnsi="宋体"/>
                <w:color w:val="FF0000"/>
                <w:kern w:val="0"/>
                <w:sz w:val="24"/>
                <w:szCs w:val="24"/>
              </w:rPr>
              <w:t>381011580000091472</w:t>
            </w:r>
          </w:p>
          <w:p>
            <w:pPr>
              <w:snapToGrid w:val="0"/>
              <w:spacing w:line="460" w:lineRule="exact"/>
              <w:ind w:left="105" w:right="105"/>
              <w:rPr>
                <w:rFonts w:asciiTheme="minorEastAsia" w:hAnsiTheme="minorEastAsia" w:eastAsiaTheme="minorEastAsia"/>
                <w:color w:val="FF0000"/>
                <w:sz w:val="24"/>
                <w:szCs w:val="24"/>
              </w:rPr>
            </w:pPr>
            <w:r>
              <w:rPr>
                <w:rFonts w:hint="eastAsia" w:ascii="宋体" w:hAnsi="宋体"/>
                <w:color w:val="FF0000"/>
                <w:kern w:val="0"/>
                <w:sz w:val="24"/>
                <w:szCs w:val="24"/>
              </w:rPr>
              <w:t>（提交代理服务费时，请标明项目名称、事由）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616" w:type="dxa"/>
            <w:vAlign w:val="center"/>
          </w:tcPr>
          <w:p>
            <w:pPr>
              <w:widowControl/>
              <w:snapToGrid w:val="0"/>
              <w:spacing w:line="460" w:lineRule="exact"/>
              <w:jc w:val="center"/>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15</w:t>
            </w:r>
          </w:p>
        </w:tc>
        <w:tc>
          <w:tcPr>
            <w:tcW w:w="1701" w:type="dxa"/>
            <w:vAlign w:val="center"/>
          </w:tcPr>
          <w:p>
            <w:pPr>
              <w:widowControl/>
              <w:snapToGrid w:val="0"/>
              <w:spacing w:line="460" w:lineRule="exact"/>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备案</w:t>
            </w:r>
          </w:p>
        </w:tc>
        <w:tc>
          <w:tcPr>
            <w:tcW w:w="6850" w:type="dxa"/>
            <w:vAlign w:val="center"/>
          </w:tcPr>
          <w:p>
            <w:pPr>
              <w:widowControl/>
              <w:snapToGrid w:val="0"/>
              <w:spacing w:line="460" w:lineRule="exact"/>
              <w:rPr>
                <w:rFonts w:asciiTheme="minorEastAsia" w:hAnsiTheme="minorEastAsia" w:eastAsiaTheme="minorEastAsia"/>
                <w:sz w:val="24"/>
                <w:szCs w:val="24"/>
              </w:rPr>
            </w:pPr>
            <w:r>
              <w:rPr>
                <w:rFonts w:hint="eastAsia" w:ascii="宋体" w:hAnsi="宋体"/>
                <w:bCs/>
                <w:sz w:val="24"/>
                <w:szCs w:val="24"/>
              </w:rPr>
              <w:t>根据《陕西省财政厅关于政府采购供应商注册登记有关事项的通知》，政府采购供应商需自行通过陕西省政府采购网注册登记加入陕西省政府采购供应商库。</w:t>
            </w:r>
          </w:p>
        </w:tc>
      </w:tr>
    </w:tbl>
    <w:p>
      <w:pPr>
        <w:pStyle w:val="2"/>
        <w:jc w:val="center"/>
      </w:pPr>
      <w:bookmarkStart w:id="3" w:name="_Toc57822482"/>
      <w:r>
        <w:rPr>
          <w:rFonts w:hint="eastAsia"/>
        </w:rPr>
        <w:t>三、磋商须知</w:t>
      </w:r>
      <w:bookmarkEnd w:id="3"/>
    </w:p>
    <w:p>
      <w:pPr>
        <w:pStyle w:val="36"/>
        <w:spacing w:line="360" w:lineRule="auto"/>
        <w:ind w:left="420" w:firstLine="0" w:firstLineChars="0"/>
        <w:jc w:val="center"/>
        <w:rPr>
          <w:rFonts w:asciiTheme="minorEastAsia" w:hAnsiTheme="minorEastAsia"/>
          <w:b/>
          <w:sz w:val="32"/>
          <w:szCs w:val="32"/>
        </w:rPr>
      </w:pPr>
      <w:r>
        <w:rPr>
          <w:rFonts w:hint="eastAsia" w:asciiTheme="minorEastAsia" w:hAnsiTheme="minorEastAsia"/>
          <w:b/>
          <w:sz w:val="32"/>
          <w:szCs w:val="32"/>
        </w:rPr>
        <w:t>A总则</w:t>
      </w:r>
    </w:p>
    <w:p>
      <w:pPr>
        <w:overflowPunct w:val="0"/>
        <w:adjustRightInd w:val="0"/>
        <w:snapToGrid w:val="0"/>
        <w:spacing w:line="360" w:lineRule="auto"/>
        <w:rPr>
          <w:rFonts w:asciiTheme="minorEastAsia" w:hAnsiTheme="minorEastAsia"/>
          <w:b/>
          <w:sz w:val="24"/>
          <w:szCs w:val="24"/>
        </w:rPr>
      </w:pPr>
      <w:bookmarkStart w:id="4" w:name="_Toc495564411"/>
      <w:bookmarkStart w:id="5" w:name="_Toc498691040"/>
      <w:bookmarkStart w:id="6" w:name="_Toc484435222"/>
      <w:bookmarkStart w:id="7" w:name="_Toc498359561"/>
      <w:bookmarkStart w:id="8" w:name="_Toc498008063"/>
      <w:bookmarkStart w:id="9" w:name="_Toc498008153"/>
      <w:bookmarkStart w:id="10" w:name="_Toc498523628"/>
      <w:bookmarkStart w:id="11" w:name="_Toc485202616"/>
      <w:bookmarkStart w:id="12" w:name="_Toc485202693"/>
      <w:bookmarkStart w:id="13" w:name="_Toc498505882"/>
      <w:r>
        <w:rPr>
          <w:rFonts w:asciiTheme="minorEastAsia" w:hAnsiTheme="minorEastAsia"/>
          <w:b/>
          <w:sz w:val="24"/>
          <w:szCs w:val="24"/>
        </w:rPr>
        <w:t>1、适用范围</w:t>
      </w:r>
      <w:bookmarkEnd w:id="4"/>
      <w:bookmarkEnd w:id="5"/>
      <w:bookmarkEnd w:id="6"/>
      <w:bookmarkEnd w:id="7"/>
      <w:bookmarkEnd w:id="8"/>
      <w:bookmarkEnd w:id="9"/>
      <w:bookmarkEnd w:id="10"/>
      <w:bookmarkEnd w:id="11"/>
      <w:bookmarkEnd w:id="12"/>
      <w:bookmarkEnd w:id="13"/>
    </w:p>
    <w:p>
      <w:pPr>
        <w:tabs>
          <w:tab w:val="left" w:pos="7665"/>
        </w:tabs>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1.1</w:t>
      </w:r>
      <w:r>
        <w:rPr>
          <w:rFonts w:asciiTheme="minorEastAsia" w:hAnsiTheme="minorEastAsia"/>
          <w:sz w:val="24"/>
          <w:szCs w:val="24"/>
        </w:rPr>
        <w:t>本磋商</w:t>
      </w:r>
      <w:r>
        <w:rPr>
          <w:rFonts w:hint="eastAsia" w:asciiTheme="minorEastAsia" w:hAnsiTheme="minorEastAsia"/>
          <w:sz w:val="24"/>
          <w:szCs w:val="24"/>
        </w:rPr>
        <w:t>文件</w:t>
      </w:r>
      <w:r>
        <w:rPr>
          <w:rFonts w:asciiTheme="minorEastAsia" w:hAnsiTheme="minorEastAsia"/>
          <w:sz w:val="24"/>
          <w:szCs w:val="24"/>
        </w:rPr>
        <w:t>仅适用于本磋商</w:t>
      </w:r>
      <w:r>
        <w:rPr>
          <w:rFonts w:hint="eastAsia" w:asciiTheme="minorEastAsia" w:hAnsiTheme="minorEastAsia"/>
          <w:sz w:val="24"/>
          <w:szCs w:val="24"/>
        </w:rPr>
        <w:t>文件</w:t>
      </w:r>
      <w:r>
        <w:rPr>
          <w:rFonts w:asciiTheme="minorEastAsia" w:hAnsiTheme="minorEastAsia"/>
          <w:sz w:val="24"/>
          <w:szCs w:val="24"/>
        </w:rPr>
        <w:t>中所叙述项目</w:t>
      </w:r>
      <w:r>
        <w:rPr>
          <w:rFonts w:hint="eastAsia" w:asciiTheme="minorEastAsia" w:hAnsiTheme="minorEastAsia"/>
          <w:sz w:val="24"/>
          <w:szCs w:val="24"/>
        </w:rPr>
        <w:t>的</w:t>
      </w:r>
      <w:r>
        <w:rPr>
          <w:rFonts w:hint="eastAsia" w:ascii="宋体" w:hAnsi="宋体"/>
          <w:sz w:val="24"/>
          <w:szCs w:val="24"/>
        </w:rPr>
        <w:t>服务</w:t>
      </w:r>
      <w:r>
        <w:rPr>
          <w:rFonts w:asciiTheme="minorEastAsia" w:hAnsiTheme="minorEastAsia"/>
          <w:sz w:val="24"/>
          <w:szCs w:val="24"/>
        </w:rPr>
        <w:t>采购。</w:t>
      </w:r>
    </w:p>
    <w:p>
      <w:pPr>
        <w:tabs>
          <w:tab w:val="left" w:pos="7665"/>
        </w:tabs>
        <w:snapToGrid w:val="0"/>
        <w:spacing w:line="360" w:lineRule="auto"/>
        <w:ind w:firstLine="480" w:firstLineChars="200"/>
        <w:rPr>
          <w:rFonts w:ascii="宋体" w:hAnsi="宋体"/>
          <w:sz w:val="24"/>
          <w:szCs w:val="24"/>
        </w:rPr>
      </w:pPr>
      <w:r>
        <w:rPr>
          <w:rFonts w:hint="eastAsia" w:asciiTheme="minorEastAsia" w:hAnsiTheme="minorEastAsia"/>
          <w:sz w:val="24"/>
          <w:szCs w:val="24"/>
        </w:rPr>
        <w:t>1.2本次</w:t>
      </w:r>
      <w:r>
        <w:rPr>
          <w:rFonts w:hint="eastAsia" w:asciiTheme="minorEastAsia" w:hAnsiTheme="minorEastAsia"/>
          <w:color w:val="FF0000"/>
          <w:sz w:val="24"/>
          <w:szCs w:val="24"/>
        </w:rPr>
        <w:t>采购属</w:t>
      </w:r>
      <w:r>
        <w:rPr>
          <w:rFonts w:hint="eastAsia" w:ascii="宋体" w:hAnsi="宋体"/>
          <w:color w:val="FF0000"/>
          <w:sz w:val="24"/>
          <w:szCs w:val="24"/>
        </w:rPr>
        <w:t>服务类</w:t>
      </w:r>
      <w:r>
        <w:rPr>
          <w:rFonts w:hint="eastAsia" w:asciiTheme="minorEastAsia" w:hAnsiTheme="minorEastAsia"/>
          <w:sz w:val="24"/>
          <w:szCs w:val="24"/>
        </w:rPr>
        <w:t>政府采购，</w:t>
      </w:r>
      <w:bookmarkStart w:id="14" w:name="_Toc485202617"/>
      <w:bookmarkStart w:id="15" w:name="_Toc485202694"/>
      <w:bookmarkStart w:id="16" w:name="_Toc484435223"/>
      <w:bookmarkStart w:id="17" w:name="_Toc495564412"/>
      <w:r>
        <w:rPr>
          <w:rFonts w:hint="eastAsia" w:ascii="宋体" w:hAnsi="宋体"/>
          <w:sz w:val="24"/>
          <w:szCs w:val="24"/>
        </w:rPr>
        <w:t>采购人、采购代理机构、供应商、磋商小组的相关行为均受《中华人民共和国政府采购法》、《中华人民共和国政府采购法实施条例》、财政部规章及政府采购项目所在地有关法规、规章和其他有关法律法规的规定，其权利受到上述法律法规的保护。</w:t>
      </w:r>
    </w:p>
    <w:p>
      <w:pPr>
        <w:overflowPunct w:val="0"/>
        <w:adjustRightInd w:val="0"/>
        <w:snapToGrid w:val="0"/>
        <w:spacing w:line="360" w:lineRule="auto"/>
        <w:rPr>
          <w:rFonts w:asciiTheme="minorEastAsia" w:hAnsiTheme="minorEastAsia"/>
          <w:b/>
          <w:sz w:val="24"/>
          <w:szCs w:val="24"/>
        </w:rPr>
      </w:pPr>
      <w:bookmarkStart w:id="18" w:name="_Toc498008064"/>
      <w:bookmarkStart w:id="19" w:name="_Toc498359562"/>
      <w:bookmarkStart w:id="20" w:name="_Toc498523629"/>
      <w:bookmarkStart w:id="21" w:name="_Toc498008154"/>
      <w:bookmarkStart w:id="22" w:name="_Toc498691041"/>
      <w:bookmarkStart w:id="23" w:name="_Toc498505883"/>
      <w:r>
        <w:rPr>
          <w:rFonts w:asciiTheme="minorEastAsia" w:hAnsiTheme="minorEastAsia"/>
          <w:b/>
          <w:sz w:val="24"/>
          <w:szCs w:val="24"/>
        </w:rPr>
        <w:t>2、定义</w:t>
      </w:r>
      <w:bookmarkEnd w:id="14"/>
      <w:bookmarkEnd w:id="15"/>
      <w:bookmarkEnd w:id="16"/>
      <w:bookmarkEnd w:id="17"/>
      <w:bookmarkEnd w:id="18"/>
      <w:bookmarkEnd w:id="19"/>
      <w:bookmarkEnd w:id="20"/>
      <w:bookmarkEnd w:id="21"/>
      <w:bookmarkEnd w:id="22"/>
      <w:bookmarkEnd w:id="23"/>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2.1 “采购人”系指</w:t>
      </w:r>
      <w:r>
        <w:rPr>
          <w:rFonts w:hint="eastAsia" w:asciiTheme="minorEastAsia" w:hAnsiTheme="minorEastAsia" w:eastAsiaTheme="minorEastAsia"/>
          <w:color w:val="FF0000"/>
          <w:sz w:val="24"/>
          <w:szCs w:val="24"/>
        </w:rPr>
        <w:t>西安市</w:t>
      </w:r>
      <w:r>
        <w:rPr>
          <w:rFonts w:hint="eastAsia" w:ascii="宋体" w:hAnsi="宋体"/>
          <w:color w:val="FF0000"/>
          <w:kern w:val="0"/>
          <w:sz w:val="24"/>
          <w:szCs w:val="24"/>
        </w:rPr>
        <w:t>阎良区财政局</w:t>
      </w:r>
      <w:r>
        <w:rPr>
          <w:rFonts w:hint="eastAsia" w:asciiTheme="minorEastAsia" w:hAnsiTheme="minorEastAsia" w:eastAsiaTheme="minorEastAsia"/>
          <w:sz w:val="24"/>
          <w:szCs w:val="24"/>
        </w:rPr>
        <w:t>；</w:t>
      </w:r>
    </w:p>
    <w:p>
      <w:pPr>
        <w:overflowPunct w:val="0"/>
        <w:adjustRightInd w:val="0"/>
        <w:snapToGrid w:val="0"/>
        <w:spacing w:line="360" w:lineRule="auto"/>
        <w:ind w:firstLine="960" w:firstLineChars="400"/>
        <w:rPr>
          <w:rFonts w:asciiTheme="minorEastAsia" w:hAnsiTheme="minorEastAsia" w:eastAsiaTheme="minorEastAsia"/>
          <w:sz w:val="24"/>
          <w:szCs w:val="24"/>
        </w:rPr>
      </w:pPr>
      <w:r>
        <w:rPr>
          <w:rFonts w:hint="eastAsia" w:asciiTheme="minorEastAsia" w:hAnsiTheme="minorEastAsia" w:eastAsiaTheme="minorEastAsia"/>
          <w:sz w:val="24"/>
          <w:szCs w:val="24"/>
        </w:rPr>
        <w:t>“采购代理机构”系指陕西远华招标有限公司；</w:t>
      </w:r>
    </w:p>
    <w:p>
      <w:pPr>
        <w:overflowPunct w:val="0"/>
        <w:adjustRightInd w:val="0"/>
        <w:snapToGrid w:val="0"/>
        <w:spacing w:line="360" w:lineRule="auto"/>
        <w:ind w:firstLine="480" w:firstLineChars="200"/>
        <w:rPr>
          <w:rFonts w:ascii="宋体" w:hAnsi="宋体"/>
          <w:sz w:val="24"/>
          <w:szCs w:val="24"/>
        </w:rPr>
      </w:pPr>
      <w:r>
        <w:rPr>
          <w:rFonts w:hint="eastAsia" w:asciiTheme="minorEastAsia" w:hAnsiTheme="minorEastAsia" w:eastAsiaTheme="minorEastAsia"/>
          <w:sz w:val="24"/>
          <w:szCs w:val="24"/>
        </w:rPr>
        <w:t>2.2 “投标供应商”系指响应磋商</w:t>
      </w:r>
      <w:r>
        <w:rPr>
          <w:rFonts w:hint="eastAsia" w:ascii="宋体" w:hAnsi="宋体"/>
          <w:sz w:val="24"/>
          <w:szCs w:val="24"/>
        </w:rPr>
        <w:t>、参加竞争性磋商的法人、其他组织或者自然人；</w:t>
      </w:r>
    </w:p>
    <w:p>
      <w:pPr>
        <w:overflowPunct w:val="0"/>
        <w:adjustRightInd w:val="0"/>
        <w:snapToGrid w:val="0"/>
        <w:spacing w:line="360" w:lineRule="auto"/>
        <w:ind w:firstLine="480" w:firstLineChars="200"/>
        <w:rPr>
          <w:rFonts w:ascii="宋体" w:hAnsi="宋体"/>
          <w:sz w:val="24"/>
          <w:szCs w:val="24"/>
        </w:rPr>
      </w:pPr>
      <w:bookmarkStart w:id="24" w:name="_Toc498008065"/>
      <w:bookmarkStart w:id="25" w:name="_Toc498505884"/>
      <w:bookmarkStart w:id="26" w:name="_Toc311415573"/>
      <w:bookmarkStart w:id="27" w:name="_Toc498008155"/>
      <w:bookmarkStart w:id="28" w:name="_Toc498523630"/>
      <w:bookmarkStart w:id="29" w:name="_Toc498359563"/>
      <w:bookmarkStart w:id="30" w:name="_Toc498691042"/>
      <w:bookmarkStart w:id="31" w:name="_Toc485202619"/>
      <w:bookmarkStart w:id="32" w:name="_Toc485202696"/>
      <w:bookmarkStart w:id="33" w:name="_Toc484435225"/>
      <w:bookmarkStart w:id="34" w:name="_Toc495564414"/>
      <w:r>
        <w:rPr>
          <w:rFonts w:hint="eastAsia" w:ascii="宋体" w:hAnsi="宋体"/>
          <w:sz w:val="24"/>
          <w:szCs w:val="24"/>
        </w:rPr>
        <w:t>2.3 “服务”系指磋商文件规定供应商须</w:t>
      </w:r>
      <w:r>
        <w:rPr>
          <w:rFonts w:hint="eastAsia" w:ascii="宋体" w:hAnsi="宋体"/>
          <w:sz w:val="24"/>
        </w:rPr>
        <w:t>提供的服务。</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2.5“响应文件”是指供应商根据本磋商文件向采购人提交的全部文件；</w:t>
      </w:r>
    </w:p>
    <w:p>
      <w:pPr>
        <w:tabs>
          <w:tab w:val="left" w:pos="7665"/>
        </w:tabs>
        <w:snapToGrid w:val="0"/>
        <w:spacing w:line="360" w:lineRule="auto"/>
        <w:ind w:firstLine="480" w:firstLineChars="200"/>
        <w:rPr>
          <w:rFonts w:ascii="宋体" w:hAnsi="宋体"/>
          <w:sz w:val="24"/>
          <w:szCs w:val="24"/>
        </w:rPr>
      </w:pPr>
      <w:r>
        <w:rPr>
          <w:rFonts w:hint="eastAsia" w:ascii="宋体" w:hAnsi="宋体"/>
          <w:sz w:val="24"/>
          <w:szCs w:val="24"/>
        </w:rPr>
        <w:t>2.6“书面形式”是指任何手写、打印或印刷的各种函件，不包括电传、电报、电子邮件；</w:t>
      </w:r>
    </w:p>
    <w:p>
      <w:pPr>
        <w:snapToGrid w:val="0"/>
        <w:spacing w:line="360" w:lineRule="auto"/>
        <w:ind w:firstLine="480" w:firstLineChars="200"/>
        <w:rPr>
          <w:rFonts w:ascii="宋体" w:hAnsi="宋体"/>
          <w:sz w:val="24"/>
          <w:szCs w:val="24"/>
        </w:rPr>
      </w:pPr>
      <w:r>
        <w:rPr>
          <w:rFonts w:hint="eastAsia" w:ascii="宋体" w:hAnsi="宋体"/>
          <w:sz w:val="24"/>
          <w:szCs w:val="24"/>
        </w:rPr>
        <w:t>2.7如供应商代表不是法定代表人，须随响应文件提供 《法定代表人授权委托书》。</w:t>
      </w:r>
    </w:p>
    <w:p>
      <w:pPr>
        <w:overflowPunct w:val="0"/>
        <w:adjustRightInd w:val="0"/>
        <w:snapToGrid w:val="0"/>
        <w:spacing w:line="360" w:lineRule="auto"/>
        <w:rPr>
          <w:rFonts w:asciiTheme="minorEastAsia" w:hAnsiTheme="minorEastAsia"/>
          <w:b/>
          <w:sz w:val="24"/>
          <w:szCs w:val="24"/>
        </w:rPr>
      </w:pPr>
      <w:r>
        <w:rPr>
          <w:rFonts w:hint="eastAsia" w:asciiTheme="minorEastAsia" w:hAnsiTheme="minorEastAsia"/>
          <w:b/>
          <w:sz w:val="24"/>
          <w:szCs w:val="24"/>
        </w:rPr>
        <w:t>3、合格的投标供应商</w:t>
      </w:r>
      <w:bookmarkEnd w:id="24"/>
      <w:bookmarkEnd w:id="25"/>
      <w:bookmarkEnd w:id="26"/>
      <w:bookmarkEnd w:id="27"/>
      <w:bookmarkEnd w:id="28"/>
      <w:bookmarkEnd w:id="29"/>
      <w:bookmarkEnd w:id="30"/>
    </w:p>
    <w:p>
      <w:pPr>
        <w:spacing w:line="360" w:lineRule="auto"/>
        <w:ind w:firstLine="480" w:firstLineChars="200"/>
        <w:rPr>
          <w:rFonts w:ascii="宋体" w:hAnsi="宋体"/>
          <w:sz w:val="24"/>
          <w:szCs w:val="24"/>
        </w:rPr>
      </w:pPr>
      <w:bookmarkStart w:id="35" w:name="_Toc498008066"/>
      <w:bookmarkStart w:id="36" w:name="_Toc498505885"/>
      <w:bookmarkStart w:id="37" w:name="_Toc498008156"/>
      <w:bookmarkStart w:id="38" w:name="_Toc498523631"/>
      <w:bookmarkStart w:id="39" w:name="_Toc311415574"/>
      <w:bookmarkStart w:id="40" w:name="_Toc498359564"/>
      <w:r>
        <w:rPr>
          <w:rFonts w:ascii="宋体" w:hAnsi="宋体"/>
          <w:sz w:val="24"/>
          <w:szCs w:val="24"/>
        </w:rPr>
        <w:t>具备下列条件，方为合格的投标供应商</w:t>
      </w:r>
    </w:p>
    <w:p>
      <w:pPr>
        <w:spacing w:line="360" w:lineRule="auto"/>
        <w:ind w:firstLine="480" w:firstLineChars="200"/>
        <w:rPr>
          <w:rFonts w:ascii="宋体" w:hAnsi="宋体"/>
          <w:sz w:val="24"/>
          <w:szCs w:val="24"/>
        </w:rPr>
      </w:pPr>
      <w:r>
        <w:rPr>
          <w:rFonts w:hint="eastAsia" w:ascii="宋体" w:hAnsi="宋体"/>
          <w:sz w:val="24"/>
          <w:szCs w:val="24"/>
        </w:rPr>
        <w:t>3.1投标供应商应符合《中华人民共和国政府采购法》第二十二条规定的相关条件；</w:t>
      </w:r>
    </w:p>
    <w:p>
      <w:pPr>
        <w:snapToGrid w:val="0"/>
        <w:spacing w:line="360" w:lineRule="auto"/>
        <w:ind w:firstLine="480" w:firstLineChars="200"/>
        <w:rPr>
          <w:rFonts w:ascii="宋体" w:hAnsi="宋体"/>
          <w:sz w:val="24"/>
          <w:szCs w:val="24"/>
        </w:rPr>
      </w:pPr>
      <w:r>
        <w:rPr>
          <w:rFonts w:hint="eastAsia" w:ascii="宋体" w:hAnsi="宋体"/>
          <w:sz w:val="24"/>
          <w:szCs w:val="24"/>
        </w:rPr>
        <w:t>3.2</w:t>
      </w:r>
      <w:r>
        <w:rPr>
          <w:rFonts w:ascii="宋体" w:hAnsi="宋体"/>
          <w:sz w:val="24"/>
          <w:szCs w:val="24"/>
        </w:rPr>
        <w:t>根据本次采购项目的要求，规定的投标供应商</w:t>
      </w:r>
      <w:r>
        <w:rPr>
          <w:rFonts w:hint="eastAsia" w:ascii="宋体" w:hAnsi="宋体"/>
          <w:sz w:val="24"/>
          <w:szCs w:val="24"/>
        </w:rPr>
        <w:t>资格</w:t>
      </w:r>
      <w:r>
        <w:rPr>
          <w:rFonts w:ascii="宋体" w:hAnsi="宋体"/>
          <w:sz w:val="24"/>
          <w:szCs w:val="24"/>
        </w:rPr>
        <w:t>条件（见</w:t>
      </w:r>
      <w:r>
        <w:rPr>
          <w:rFonts w:hint="eastAsia" w:ascii="宋体" w:hAnsi="宋体"/>
          <w:sz w:val="24"/>
          <w:szCs w:val="24"/>
        </w:rPr>
        <w:t>磋商</w:t>
      </w:r>
      <w:r>
        <w:rPr>
          <w:rFonts w:ascii="宋体" w:hAnsi="宋体"/>
          <w:sz w:val="24"/>
          <w:szCs w:val="24"/>
        </w:rPr>
        <w:t>须知前附表</w:t>
      </w:r>
      <w:r>
        <w:rPr>
          <w:rFonts w:hint="eastAsia" w:ascii="宋体" w:hAnsi="宋体"/>
          <w:sz w:val="24"/>
          <w:szCs w:val="24"/>
        </w:rPr>
        <w:t>第11条</w:t>
      </w:r>
      <w:r>
        <w:rPr>
          <w:rFonts w:ascii="宋体" w:hAnsi="宋体"/>
          <w:sz w:val="24"/>
          <w:szCs w:val="24"/>
        </w:rPr>
        <w:t>）。</w:t>
      </w:r>
    </w:p>
    <w:p>
      <w:pPr>
        <w:snapToGrid w:val="0"/>
        <w:spacing w:line="360" w:lineRule="auto"/>
        <w:ind w:firstLine="480" w:firstLineChars="200"/>
        <w:rPr>
          <w:rFonts w:ascii="宋体" w:hAnsi="宋体"/>
          <w:sz w:val="24"/>
          <w:szCs w:val="24"/>
        </w:rPr>
      </w:pPr>
      <w:r>
        <w:rPr>
          <w:rFonts w:hint="eastAsia" w:ascii="宋体" w:hAnsi="宋体"/>
          <w:sz w:val="24"/>
          <w:szCs w:val="24"/>
        </w:rPr>
        <w:t>3.3单位负责人为同一人或者存在直接控股、管理关系的不同供应商，不得同时参加本项目的磋商。如果供应商在磋商中隐瞒了上述关系，其磋商响应文件按照无效处理。</w:t>
      </w:r>
    </w:p>
    <w:bookmarkEnd w:id="35"/>
    <w:bookmarkEnd w:id="36"/>
    <w:bookmarkEnd w:id="37"/>
    <w:bookmarkEnd w:id="38"/>
    <w:bookmarkEnd w:id="39"/>
    <w:bookmarkEnd w:id="40"/>
    <w:p>
      <w:pPr>
        <w:overflowPunct w:val="0"/>
        <w:adjustRightInd w:val="0"/>
        <w:snapToGrid w:val="0"/>
        <w:spacing w:line="360" w:lineRule="auto"/>
        <w:rPr>
          <w:rFonts w:asciiTheme="minorEastAsia" w:hAnsiTheme="minorEastAsia"/>
          <w:b/>
          <w:sz w:val="24"/>
          <w:szCs w:val="24"/>
        </w:rPr>
      </w:pPr>
      <w:bookmarkStart w:id="41" w:name="_Toc498359565"/>
      <w:bookmarkStart w:id="42" w:name="_Toc498505886"/>
      <w:bookmarkStart w:id="43" w:name="_Toc498008157"/>
      <w:bookmarkStart w:id="44" w:name="_Toc498523632"/>
      <w:bookmarkStart w:id="45" w:name="_Toc498008067"/>
      <w:bookmarkStart w:id="46" w:name="_Toc498691044"/>
      <w:r>
        <w:rPr>
          <w:rFonts w:hint="eastAsia" w:asciiTheme="minorEastAsia" w:hAnsiTheme="minorEastAsia"/>
          <w:b/>
          <w:sz w:val="24"/>
          <w:szCs w:val="24"/>
        </w:rPr>
        <w:t>4、合格的货物和服务</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4.1投标供应商提供的所有货物及其有关服务的原产地，均应来自国家有关政府采购规定的货物和服务的合格来源国，采购人支付也仅限于这些货物和服务。</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4.2</w:t>
      </w:r>
      <w:r>
        <w:rPr>
          <w:rFonts w:ascii="宋体" w:hAnsi="宋体"/>
          <w:sz w:val="24"/>
          <w:szCs w:val="24"/>
        </w:rPr>
        <w:t>投标货物</w:t>
      </w:r>
      <w:r>
        <w:rPr>
          <w:rFonts w:hint="eastAsia" w:ascii="宋体" w:hAnsi="宋体"/>
          <w:sz w:val="24"/>
          <w:szCs w:val="24"/>
        </w:rPr>
        <w:t>或服务</w:t>
      </w:r>
      <w:r>
        <w:rPr>
          <w:rFonts w:ascii="宋体" w:hAnsi="宋体"/>
          <w:sz w:val="24"/>
          <w:szCs w:val="24"/>
        </w:rPr>
        <w:t>应满足</w:t>
      </w:r>
      <w:r>
        <w:rPr>
          <w:rFonts w:hint="eastAsia" w:ascii="宋体" w:hAnsi="宋体"/>
          <w:sz w:val="24"/>
          <w:szCs w:val="24"/>
        </w:rPr>
        <w:t>磋商</w:t>
      </w:r>
      <w:r>
        <w:rPr>
          <w:rFonts w:ascii="宋体" w:hAnsi="宋体"/>
          <w:sz w:val="24"/>
          <w:szCs w:val="24"/>
        </w:rPr>
        <w:t>文件的要求</w:t>
      </w:r>
      <w:r>
        <w:rPr>
          <w:rFonts w:hint="eastAsia" w:ascii="宋体" w:hAnsi="宋体"/>
          <w:sz w:val="24"/>
          <w:szCs w:val="24"/>
        </w:rPr>
        <w:t>，</w:t>
      </w:r>
      <w:r>
        <w:rPr>
          <w:rFonts w:ascii="宋体" w:hAnsi="宋体"/>
          <w:sz w:val="24"/>
          <w:szCs w:val="24"/>
        </w:rPr>
        <w:t>并应符合国家法律法规</w:t>
      </w:r>
      <w:r>
        <w:rPr>
          <w:rFonts w:ascii="仿宋" w:hAnsi="仿宋" w:eastAsia="仿宋"/>
          <w:sz w:val="24"/>
          <w:szCs w:val="24"/>
        </w:rPr>
        <w:t>、</w:t>
      </w:r>
      <w:r>
        <w:rPr>
          <w:rFonts w:hint="eastAsia" w:ascii="宋体" w:hAnsi="宋体"/>
          <w:sz w:val="24"/>
          <w:szCs w:val="24"/>
        </w:rPr>
        <w:t>符合</w:t>
      </w:r>
      <w:r>
        <w:rPr>
          <w:rFonts w:ascii="宋体" w:hAnsi="宋体"/>
          <w:sz w:val="24"/>
          <w:szCs w:val="24"/>
        </w:rPr>
        <w:t>行业管理部门</w:t>
      </w:r>
      <w:r>
        <w:rPr>
          <w:rFonts w:hint="eastAsia" w:ascii="宋体" w:hAnsi="宋体"/>
          <w:sz w:val="24"/>
          <w:szCs w:val="24"/>
        </w:rPr>
        <w:t>所</w:t>
      </w:r>
      <w:r>
        <w:rPr>
          <w:rFonts w:ascii="宋体" w:hAnsi="宋体"/>
          <w:sz w:val="24"/>
          <w:szCs w:val="24"/>
        </w:rPr>
        <w:t>要求的其他强制性标准</w:t>
      </w:r>
      <w:r>
        <w:rPr>
          <w:rFonts w:hint="eastAsia"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4.3 本款所述的“原产地”是指货物设计、生产和提供有关服务的来源地。所述的“货物”是指制造、加工或实质上装配了主要部件而形成的货物，商业上公认的产品是指在基本特征、性能或功能上与部件有着实质性区别的产品。</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4.4 通过签署磋商响应函，供应商应确认其为所供硬件和软件的知识产权的合法所有人，或已经从其所有人那里得到了适当的许可。在此方面恶意地提供错误事实，将导致响应被拒绝。</w:t>
      </w:r>
    </w:p>
    <w:p>
      <w:pPr>
        <w:overflowPunct w:val="0"/>
        <w:adjustRightInd w:val="0"/>
        <w:snapToGrid w:val="0"/>
        <w:spacing w:line="360" w:lineRule="auto"/>
        <w:rPr>
          <w:rFonts w:asciiTheme="minorEastAsia" w:hAnsiTheme="minorEastAsia"/>
          <w:b/>
          <w:sz w:val="24"/>
          <w:szCs w:val="24"/>
        </w:rPr>
      </w:pPr>
      <w:r>
        <w:rPr>
          <w:rFonts w:hint="eastAsia" w:asciiTheme="minorEastAsia" w:hAnsiTheme="minorEastAsia"/>
          <w:b/>
          <w:sz w:val="24"/>
          <w:szCs w:val="24"/>
        </w:rPr>
        <w:t>5</w:t>
      </w:r>
      <w:r>
        <w:rPr>
          <w:rFonts w:asciiTheme="minorEastAsia" w:hAnsiTheme="minorEastAsia"/>
          <w:b/>
          <w:sz w:val="24"/>
          <w:szCs w:val="24"/>
        </w:rPr>
        <w:t>、费用</w:t>
      </w:r>
      <w:bookmarkEnd w:id="31"/>
      <w:bookmarkEnd w:id="32"/>
      <w:bookmarkEnd w:id="33"/>
      <w:bookmarkEnd w:id="34"/>
      <w:bookmarkEnd w:id="41"/>
      <w:bookmarkEnd w:id="42"/>
      <w:bookmarkEnd w:id="43"/>
      <w:bookmarkEnd w:id="44"/>
      <w:bookmarkEnd w:id="45"/>
      <w:bookmarkEnd w:id="46"/>
    </w:p>
    <w:p>
      <w:pPr>
        <w:spacing w:line="360" w:lineRule="auto"/>
        <w:ind w:firstLine="360" w:firstLineChars="150"/>
        <w:rPr>
          <w:rFonts w:asciiTheme="minorEastAsia" w:hAnsiTheme="minorEastAsia" w:eastAsiaTheme="minorEastAsia"/>
          <w:sz w:val="24"/>
          <w:szCs w:val="24"/>
        </w:rPr>
      </w:pPr>
      <w:r>
        <w:rPr>
          <w:rFonts w:hint="eastAsia" w:asciiTheme="minorEastAsia" w:hAnsiTheme="minorEastAsia" w:eastAsiaTheme="minorEastAsia"/>
          <w:sz w:val="24"/>
          <w:szCs w:val="24"/>
        </w:rPr>
        <w:t>投标供应商应承担所有与编写和提交磋商响应文件有关的费用，无论磋商过程中的做法和结果如何，采购方和采购代理机构在任何情况下均无义务和责任承担这些费用。</w:t>
      </w:r>
    </w:p>
    <w:p>
      <w:pPr>
        <w:pStyle w:val="36"/>
        <w:spacing w:line="360" w:lineRule="auto"/>
        <w:ind w:left="420" w:firstLine="0" w:firstLineChars="0"/>
        <w:jc w:val="center"/>
        <w:rPr>
          <w:rFonts w:asciiTheme="minorEastAsia" w:hAnsiTheme="minorEastAsia"/>
          <w:b/>
          <w:sz w:val="32"/>
          <w:szCs w:val="32"/>
        </w:rPr>
      </w:pPr>
      <w:r>
        <w:rPr>
          <w:rFonts w:hint="eastAsia" w:asciiTheme="minorEastAsia" w:hAnsiTheme="minorEastAsia"/>
          <w:b/>
          <w:sz w:val="32"/>
          <w:szCs w:val="32"/>
        </w:rPr>
        <w:t>B磋商文件说明</w:t>
      </w:r>
    </w:p>
    <w:p>
      <w:pPr>
        <w:overflowPunct w:val="0"/>
        <w:adjustRightInd w:val="0"/>
        <w:snapToGrid w:val="0"/>
        <w:spacing w:line="360" w:lineRule="auto"/>
        <w:rPr>
          <w:rFonts w:asciiTheme="minorEastAsia" w:hAnsiTheme="minorEastAsia"/>
          <w:b/>
          <w:sz w:val="24"/>
          <w:szCs w:val="24"/>
        </w:rPr>
      </w:pPr>
      <w:bookmarkStart w:id="47" w:name="_Toc485202697"/>
      <w:bookmarkStart w:id="48" w:name="_Toc484435226"/>
      <w:bookmarkStart w:id="49" w:name="_Toc498359566"/>
      <w:bookmarkStart w:id="50" w:name="_Toc498505887"/>
      <w:bookmarkStart w:id="51" w:name="_Toc485202620"/>
      <w:bookmarkStart w:id="52" w:name="_Toc495564415"/>
      <w:bookmarkStart w:id="53" w:name="_Toc498691045"/>
      <w:bookmarkStart w:id="54" w:name="_Toc498008068"/>
      <w:bookmarkStart w:id="55" w:name="_Toc498008158"/>
      <w:bookmarkStart w:id="56" w:name="_Toc498523633"/>
      <w:r>
        <w:rPr>
          <w:rFonts w:hint="eastAsia" w:asciiTheme="minorEastAsia" w:hAnsiTheme="minorEastAsia"/>
          <w:b/>
          <w:sz w:val="24"/>
          <w:szCs w:val="24"/>
        </w:rPr>
        <w:t>6</w:t>
      </w:r>
      <w:r>
        <w:rPr>
          <w:rFonts w:asciiTheme="minorEastAsia" w:hAnsiTheme="minorEastAsia"/>
          <w:b/>
          <w:sz w:val="24"/>
          <w:szCs w:val="24"/>
        </w:rPr>
        <w:t>、磋商</w:t>
      </w:r>
      <w:r>
        <w:rPr>
          <w:rFonts w:hint="eastAsia" w:asciiTheme="minorEastAsia" w:hAnsiTheme="minorEastAsia"/>
          <w:b/>
          <w:sz w:val="24"/>
          <w:szCs w:val="24"/>
        </w:rPr>
        <w:t>文件的构成</w:t>
      </w:r>
      <w:bookmarkEnd w:id="47"/>
      <w:bookmarkEnd w:id="48"/>
      <w:bookmarkEnd w:id="49"/>
      <w:bookmarkEnd w:id="50"/>
      <w:bookmarkEnd w:id="51"/>
      <w:bookmarkEnd w:id="52"/>
      <w:bookmarkEnd w:id="53"/>
      <w:bookmarkEnd w:id="54"/>
      <w:bookmarkEnd w:id="55"/>
      <w:bookmarkEnd w:id="56"/>
    </w:p>
    <w:p>
      <w:pPr>
        <w:pStyle w:val="11"/>
        <w:spacing w:line="360" w:lineRule="auto"/>
        <w:ind w:firstLine="480" w:firstLineChars="200"/>
        <w:rPr>
          <w:rFonts w:cs="Times New Roman" w:asciiTheme="minorEastAsia" w:hAnsiTheme="minorEastAsia" w:eastAsiaTheme="minorEastAsia"/>
          <w:sz w:val="24"/>
          <w:szCs w:val="24"/>
        </w:rPr>
      </w:pPr>
      <w:r>
        <w:rPr>
          <w:rFonts w:hint="eastAsia" w:cs="Times New Roman" w:asciiTheme="minorEastAsia" w:hAnsiTheme="minorEastAsia" w:eastAsiaTheme="minorEastAsia"/>
          <w:sz w:val="24"/>
          <w:szCs w:val="24"/>
        </w:rPr>
        <w:t>6</w:t>
      </w:r>
      <w:r>
        <w:rPr>
          <w:rFonts w:cs="Times New Roman" w:asciiTheme="minorEastAsia" w:hAnsiTheme="minorEastAsia" w:eastAsiaTheme="minorEastAsia"/>
          <w:sz w:val="24"/>
          <w:szCs w:val="24"/>
        </w:rPr>
        <w:t>.1磋商</w:t>
      </w:r>
      <w:r>
        <w:rPr>
          <w:rFonts w:hint="eastAsia" w:asciiTheme="minorEastAsia" w:hAnsiTheme="minorEastAsia" w:eastAsiaTheme="minorEastAsia"/>
          <w:sz w:val="24"/>
          <w:szCs w:val="24"/>
        </w:rPr>
        <w:t>文件包括下列内容：</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磋商邀请函</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（2）磋商须知</w:t>
      </w:r>
      <w:r>
        <w:rPr>
          <w:rFonts w:hint="eastAsia" w:asciiTheme="minorEastAsia" w:hAnsiTheme="minorEastAsia" w:eastAsiaTheme="minorEastAsia"/>
          <w:sz w:val="24"/>
        </w:rPr>
        <w:t>前附表</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磋商须知</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（4）</w:t>
      </w:r>
      <w:r>
        <w:rPr>
          <w:rFonts w:hint="eastAsia" w:asciiTheme="minorEastAsia" w:hAnsiTheme="minorEastAsia" w:eastAsiaTheme="minorEastAsia"/>
          <w:sz w:val="24"/>
        </w:rPr>
        <w:t>磋商内容及说明</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（5）</w:t>
      </w:r>
      <w:r>
        <w:rPr>
          <w:rFonts w:hint="eastAsia" w:asciiTheme="minorEastAsia" w:hAnsiTheme="minorEastAsia" w:eastAsiaTheme="minorEastAsia"/>
          <w:sz w:val="24"/>
        </w:rPr>
        <w:t>合同草案条款</w:t>
      </w:r>
    </w:p>
    <w:p>
      <w:pPr>
        <w:pStyle w:val="38"/>
        <w:spacing w:line="360" w:lineRule="auto"/>
        <w:ind w:firstLine="480"/>
        <w:rPr>
          <w:rFonts w:asciiTheme="minorEastAsia" w:hAnsiTheme="minorEastAsia" w:eastAsiaTheme="minorEastAsia"/>
          <w:sz w:val="24"/>
        </w:rPr>
      </w:pPr>
      <w:r>
        <w:rPr>
          <w:rFonts w:asciiTheme="minorEastAsia" w:hAnsiTheme="minorEastAsia" w:eastAsiaTheme="minorEastAsia"/>
          <w:sz w:val="24"/>
        </w:rPr>
        <w:t>（</w:t>
      </w:r>
      <w:r>
        <w:rPr>
          <w:rFonts w:hint="eastAsia" w:asciiTheme="minorEastAsia" w:hAnsiTheme="minorEastAsia" w:eastAsiaTheme="minorEastAsia"/>
          <w:sz w:val="24"/>
        </w:rPr>
        <w:t>6</w:t>
      </w:r>
      <w:r>
        <w:rPr>
          <w:rFonts w:asciiTheme="minorEastAsia" w:hAnsiTheme="minorEastAsia" w:eastAsiaTheme="minorEastAsia"/>
          <w:sz w:val="24"/>
        </w:rPr>
        <w:t>）响应文件构成及格式</w:t>
      </w:r>
    </w:p>
    <w:p>
      <w:pPr>
        <w:overflowPunct w:val="0"/>
        <w:adjustRightInd w:val="0"/>
        <w:snapToGrid w:val="0"/>
        <w:spacing w:line="360" w:lineRule="auto"/>
        <w:ind w:firstLine="480" w:firstLineChars="200"/>
        <w:rPr>
          <w:rFonts w:ascii="宋体" w:hAnsi="宋体"/>
          <w:sz w:val="24"/>
          <w:szCs w:val="24"/>
        </w:rPr>
      </w:pPr>
      <w:bookmarkStart w:id="57" w:name="_Toc784"/>
      <w:bookmarkStart w:id="58" w:name="_Toc233435924"/>
      <w:bookmarkStart w:id="59" w:name="_Toc485202621"/>
      <w:bookmarkStart w:id="60" w:name="_Toc485202698"/>
      <w:bookmarkStart w:id="61" w:name="_Toc484435227"/>
      <w:bookmarkStart w:id="62" w:name="_Toc495564416"/>
      <w:r>
        <w:rPr>
          <w:rFonts w:hint="eastAsia" w:asciiTheme="minorEastAsia" w:hAnsiTheme="minorEastAsia" w:eastAsiaTheme="minorEastAsia"/>
          <w:sz w:val="24"/>
          <w:szCs w:val="24"/>
        </w:rPr>
        <w:t>6.2</w:t>
      </w:r>
      <w:r>
        <w:rPr>
          <w:rFonts w:ascii="宋体" w:hAnsi="宋体"/>
          <w:sz w:val="24"/>
          <w:szCs w:val="24"/>
        </w:rPr>
        <w:t>投标供应商应认真阅读</w:t>
      </w:r>
      <w:r>
        <w:rPr>
          <w:rFonts w:hint="eastAsia" w:ascii="宋体" w:hAnsi="宋体"/>
          <w:sz w:val="24"/>
          <w:szCs w:val="24"/>
        </w:rPr>
        <w:t>磋商</w:t>
      </w:r>
      <w:r>
        <w:rPr>
          <w:rFonts w:ascii="宋体" w:hAnsi="宋体"/>
          <w:sz w:val="24"/>
          <w:szCs w:val="24"/>
        </w:rPr>
        <w:t>文件中所有的事项、格式、条款和规范等要求。如果投标供应商没有按照</w:t>
      </w:r>
      <w:r>
        <w:rPr>
          <w:rFonts w:hint="eastAsia" w:ascii="宋体" w:hAnsi="宋体"/>
          <w:sz w:val="24"/>
          <w:szCs w:val="24"/>
        </w:rPr>
        <w:t>磋商</w:t>
      </w:r>
      <w:r>
        <w:rPr>
          <w:rFonts w:ascii="宋体" w:hAnsi="宋体"/>
          <w:sz w:val="24"/>
          <w:szCs w:val="24"/>
        </w:rPr>
        <w:t>文件要求提交全部资料，或者磋商响应文件没有对</w:t>
      </w:r>
      <w:r>
        <w:rPr>
          <w:rFonts w:hint="eastAsia" w:ascii="宋体" w:hAnsi="宋体"/>
          <w:sz w:val="24"/>
          <w:szCs w:val="24"/>
        </w:rPr>
        <w:t>磋商</w:t>
      </w:r>
      <w:r>
        <w:rPr>
          <w:rFonts w:ascii="宋体" w:hAnsi="宋体"/>
          <w:sz w:val="24"/>
          <w:szCs w:val="24"/>
        </w:rPr>
        <w:t>文件在各方面都做出实质性响应，由此带来的不利于投标供应商的评</w:t>
      </w:r>
      <w:r>
        <w:rPr>
          <w:rFonts w:hint="eastAsia" w:ascii="宋体" w:hAnsi="宋体"/>
          <w:sz w:val="24"/>
          <w:szCs w:val="24"/>
        </w:rPr>
        <w:t>审</w:t>
      </w:r>
      <w:r>
        <w:rPr>
          <w:rFonts w:ascii="宋体" w:hAnsi="宋体"/>
          <w:sz w:val="24"/>
          <w:szCs w:val="24"/>
        </w:rPr>
        <w:t>结果，其风险由投标供应商承担。</w:t>
      </w:r>
    </w:p>
    <w:p>
      <w:pPr>
        <w:spacing w:line="360" w:lineRule="auto"/>
        <w:ind w:firstLine="532"/>
        <w:rPr>
          <w:rFonts w:asciiTheme="minorEastAsia" w:hAnsiTheme="minorEastAsia" w:eastAsiaTheme="minorEastAsia"/>
          <w:sz w:val="24"/>
          <w:szCs w:val="24"/>
        </w:rPr>
      </w:pPr>
      <w:r>
        <w:rPr>
          <w:rFonts w:hint="eastAsia" w:asciiTheme="minorEastAsia" w:hAnsiTheme="minorEastAsia" w:eastAsiaTheme="minorEastAsia"/>
          <w:sz w:val="24"/>
          <w:szCs w:val="24"/>
        </w:rPr>
        <w:t>6.3磋商文件的获取：磋商采购公告发布后，有意向的投标供应商应从采购代理机构领取磋商文件，磋商文件仅作为本次磋商使用。</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6.4</w:t>
      </w:r>
      <w:r>
        <w:rPr>
          <w:rFonts w:ascii="宋体" w:hAnsi="宋体"/>
          <w:sz w:val="24"/>
          <w:szCs w:val="24"/>
        </w:rPr>
        <w:t>本</w:t>
      </w:r>
      <w:r>
        <w:rPr>
          <w:rFonts w:hint="eastAsia" w:ascii="宋体" w:hAnsi="宋体"/>
          <w:sz w:val="24"/>
          <w:szCs w:val="24"/>
        </w:rPr>
        <w:t>磋商文</w:t>
      </w:r>
      <w:r>
        <w:rPr>
          <w:rFonts w:ascii="宋体" w:hAnsi="宋体"/>
          <w:sz w:val="24"/>
          <w:szCs w:val="24"/>
        </w:rPr>
        <w:t>件的解释权归</w:t>
      </w:r>
      <w:r>
        <w:rPr>
          <w:rFonts w:hint="eastAsia" w:ascii="宋体" w:hAnsi="宋体"/>
          <w:sz w:val="24"/>
          <w:szCs w:val="24"/>
        </w:rPr>
        <w:t>陕西远华招标有限公司。</w:t>
      </w:r>
    </w:p>
    <w:bookmarkEnd w:id="57"/>
    <w:bookmarkEnd w:id="58"/>
    <w:bookmarkEnd w:id="59"/>
    <w:bookmarkEnd w:id="60"/>
    <w:bookmarkEnd w:id="61"/>
    <w:bookmarkEnd w:id="62"/>
    <w:p>
      <w:pPr>
        <w:spacing w:line="360" w:lineRule="auto"/>
        <w:jc w:val="left"/>
        <w:rPr>
          <w:rFonts w:ascii="宋体" w:hAnsi="宋体"/>
          <w:b/>
          <w:sz w:val="24"/>
          <w:szCs w:val="24"/>
        </w:rPr>
      </w:pPr>
      <w:bookmarkStart w:id="63" w:name="_Toc21636"/>
      <w:r>
        <w:rPr>
          <w:rFonts w:hint="eastAsia" w:ascii="宋体" w:hAnsi="宋体"/>
          <w:b/>
          <w:sz w:val="24"/>
          <w:szCs w:val="24"/>
        </w:rPr>
        <w:t>7、磋商文件的澄清修改和质疑答复</w:t>
      </w:r>
      <w:bookmarkEnd w:id="63"/>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7.1磋商采购单位如果对已发出的磋商文件进行必要的澄清或者修改，将在磋商文件要求提交首次磋商响应文件截止时间3个工作日前，以书面形式通知所有购买磋商文件的供应商，不足3个工作日的，将顺延提交首次磋商响应文件截止时间。该澄清或者修改的内容作为磋商文件的组成部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7.2 已经购买磋商文件的</w:t>
      </w:r>
      <w:r>
        <w:rPr>
          <w:rFonts w:ascii="宋体" w:hAnsi="宋体"/>
          <w:sz w:val="24"/>
          <w:szCs w:val="24"/>
        </w:rPr>
        <w:t>投标供应商</w:t>
      </w:r>
      <w:r>
        <w:rPr>
          <w:rFonts w:hint="eastAsia" w:asciiTheme="minorEastAsia" w:hAnsiTheme="minorEastAsia"/>
          <w:sz w:val="24"/>
          <w:szCs w:val="24"/>
        </w:rPr>
        <w:t>对磋商文件有询问或者质疑的，应当在“磋商须知前附表”规定的时间内以书面形式向采购代理机构提出，在此之后提出的询问和质疑为无效询问和质疑，采购代理机构不予受理。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7.3对于在规定时间内收到的</w:t>
      </w:r>
      <w:r>
        <w:rPr>
          <w:rFonts w:ascii="宋体" w:hAnsi="宋体"/>
          <w:sz w:val="24"/>
          <w:szCs w:val="24"/>
        </w:rPr>
        <w:t>投标供应商</w:t>
      </w:r>
      <w:r>
        <w:rPr>
          <w:rFonts w:hint="eastAsia" w:asciiTheme="minorEastAsia" w:hAnsiTheme="minorEastAsia"/>
          <w:sz w:val="24"/>
          <w:szCs w:val="24"/>
        </w:rPr>
        <w:t>依法提出的询问或者质疑，采购代理机构将按程序及时作出答复，若对磋商文件做出实质性变动，则按照相关规定延长磋商响应截止时间。</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7.4</w:t>
      </w:r>
      <w:r>
        <w:rPr>
          <w:rFonts w:ascii="宋体" w:hAnsi="宋体"/>
          <w:sz w:val="24"/>
          <w:szCs w:val="24"/>
        </w:rPr>
        <w:t>投标供应商</w:t>
      </w:r>
      <w:r>
        <w:rPr>
          <w:rFonts w:hint="eastAsia" w:asciiTheme="minorEastAsia" w:hAnsiTheme="minorEastAsia"/>
          <w:sz w:val="24"/>
          <w:szCs w:val="24"/>
        </w:rPr>
        <w:t>提出质疑应当有明确的请求和必要的证明材料。</w:t>
      </w:r>
    </w:p>
    <w:p>
      <w:pPr>
        <w:spacing w:line="360" w:lineRule="auto"/>
        <w:jc w:val="left"/>
        <w:rPr>
          <w:rFonts w:ascii="宋体" w:hAnsi="宋体"/>
          <w:b/>
          <w:sz w:val="24"/>
          <w:szCs w:val="24"/>
        </w:rPr>
      </w:pPr>
      <w:bookmarkStart w:id="64" w:name="_Toc22141"/>
      <w:r>
        <w:rPr>
          <w:rFonts w:hint="eastAsia" w:ascii="宋体" w:hAnsi="宋体"/>
          <w:b/>
          <w:sz w:val="24"/>
          <w:szCs w:val="24"/>
        </w:rPr>
        <w:t>8、磋商响应截止时间和磋商时间的延长</w:t>
      </w:r>
      <w:bookmarkEnd w:id="64"/>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8.1在磋商响应截止时间2日前，采购代理机构可以视采购具体情况延长磋商截止时间和磋商时间，并以书面形式通知所有购买磋商文件的供应商。</w:t>
      </w:r>
    </w:p>
    <w:p>
      <w:pPr>
        <w:overflowPunct w:val="0"/>
        <w:adjustRightInd w:val="0"/>
        <w:snapToGrid w:val="0"/>
        <w:spacing w:line="360" w:lineRule="auto"/>
        <w:ind w:firstLine="643" w:firstLineChars="200"/>
        <w:jc w:val="center"/>
        <w:rPr>
          <w:rFonts w:ascii="宋体" w:hAnsi="宋体"/>
          <w:b/>
          <w:sz w:val="32"/>
          <w:szCs w:val="32"/>
        </w:rPr>
      </w:pPr>
      <w:r>
        <w:rPr>
          <w:rFonts w:hint="eastAsia" w:ascii="宋体" w:hAnsi="宋体"/>
          <w:b/>
          <w:sz w:val="32"/>
          <w:szCs w:val="32"/>
        </w:rPr>
        <w:t>C磋商</w:t>
      </w:r>
      <w:r>
        <w:rPr>
          <w:rFonts w:ascii="宋体" w:hAnsi="宋体"/>
          <w:b/>
          <w:sz w:val="32"/>
          <w:szCs w:val="32"/>
        </w:rPr>
        <w:t>响应文件</w:t>
      </w:r>
    </w:p>
    <w:p>
      <w:pPr>
        <w:overflowPunct w:val="0"/>
        <w:adjustRightInd w:val="0"/>
        <w:snapToGrid w:val="0"/>
        <w:spacing w:line="360" w:lineRule="auto"/>
        <w:rPr>
          <w:rFonts w:asciiTheme="minorEastAsia" w:hAnsiTheme="minorEastAsia"/>
          <w:b/>
          <w:sz w:val="24"/>
          <w:szCs w:val="24"/>
        </w:rPr>
      </w:pPr>
      <w:bookmarkStart w:id="65" w:name="_Toc485202623"/>
      <w:bookmarkStart w:id="66" w:name="_Toc485202700"/>
      <w:bookmarkStart w:id="67" w:name="_Toc484435229"/>
      <w:bookmarkStart w:id="68" w:name="_Toc495564418"/>
      <w:bookmarkStart w:id="69" w:name="_Toc498008161"/>
      <w:bookmarkStart w:id="70" w:name="_Toc498691048"/>
      <w:bookmarkStart w:id="71" w:name="_Toc498359569"/>
      <w:bookmarkStart w:id="72" w:name="_Toc498505890"/>
      <w:bookmarkStart w:id="73" w:name="_Toc498008071"/>
      <w:bookmarkStart w:id="74" w:name="_Toc498523636"/>
      <w:r>
        <w:rPr>
          <w:rFonts w:hint="eastAsia" w:asciiTheme="minorEastAsia" w:hAnsiTheme="minorEastAsia"/>
          <w:b/>
          <w:sz w:val="24"/>
          <w:szCs w:val="24"/>
        </w:rPr>
        <w:t>9</w:t>
      </w:r>
      <w:r>
        <w:rPr>
          <w:rFonts w:asciiTheme="minorEastAsia" w:hAnsiTheme="minorEastAsia"/>
          <w:b/>
          <w:sz w:val="24"/>
          <w:szCs w:val="24"/>
        </w:rPr>
        <w:t>、</w:t>
      </w:r>
      <w:r>
        <w:rPr>
          <w:rFonts w:hint="eastAsia" w:asciiTheme="minorEastAsia" w:hAnsiTheme="minorEastAsia"/>
          <w:b/>
          <w:sz w:val="24"/>
          <w:szCs w:val="24"/>
        </w:rPr>
        <w:t>磋商</w:t>
      </w:r>
      <w:r>
        <w:rPr>
          <w:rFonts w:asciiTheme="minorEastAsia" w:hAnsiTheme="minorEastAsia"/>
          <w:b/>
          <w:sz w:val="24"/>
          <w:szCs w:val="24"/>
        </w:rPr>
        <w:t>响应文件</w:t>
      </w:r>
      <w:bookmarkEnd w:id="65"/>
      <w:bookmarkEnd w:id="66"/>
      <w:bookmarkEnd w:id="67"/>
      <w:bookmarkEnd w:id="68"/>
      <w:r>
        <w:rPr>
          <w:rFonts w:asciiTheme="minorEastAsia" w:hAnsiTheme="minorEastAsia"/>
          <w:b/>
          <w:sz w:val="24"/>
          <w:szCs w:val="24"/>
        </w:rPr>
        <w:t>编制的原则</w:t>
      </w:r>
      <w:bookmarkEnd w:id="69"/>
      <w:bookmarkEnd w:id="70"/>
      <w:bookmarkEnd w:id="71"/>
      <w:bookmarkEnd w:id="72"/>
      <w:bookmarkEnd w:id="73"/>
      <w:bookmarkEnd w:id="74"/>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9.1 投标供应商应在认真阅读磋商文件所有内容的基础上，按照磋商文件的要求编制完整的响应文件。磋商文件中对磋商响应文件格式有要求的，应按格式编制并逐项填写内容，不准有空项；无相应内容可填的项应填写“无”、“没有相应指标”等明确的回答文字。磋商响应文件中留有空项的，将被视为不完整响应的磋商响应文件，其响应将有可能被拒绝。</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9.2 投标供应商必须保证响应文件所提供的全部资料真实可靠，并接受对其中任何资料进一步审查的要求。</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9.3 磋商响应文件须对磋商文件中的内容做出实质性和完整性的响应，否则其响应将被视为无效响应，按废标处理。</w:t>
      </w:r>
      <w:bookmarkStart w:id="75" w:name="_Toc484435231"/>
      <w:bookmarkStart w:id="76" w:name="_Toc485202702"/>
      <w:bookmarkStart w:id="77" w:name="_Toc485202625"/>
      <w:bookmarkStart w:id="78" w:name="_Toc498523638"/>
      <w:bookmarkStart w:id="79" w:name="_Toc498359571"/>
      <w:bookmarkStart w:id="80" w:name="_Toc495564420"/>
      <w:bookmarkStart w:id="81" w:name="_Toc498008073"/>
      <w:bookmarkStart w:id="82" w:name="_Toc21943"/>
      <w:bookmarkStart w:id="83" w:name="_Toc233435928"/>
      <w:bookmarkStart w:id="84" w:name="_Toc498008163"/>
      <w:bookmarkStart w:id="85" w:name="_Toc498691050"/>
      <w:bookmarkStart w:id="86" w:name="_Toc498505892"/>
    </w:p>
    <w:p>
      <w:pPr>
        <w:spacing w:line="360" w:lineRule="auto"/>
        <w:jc w:val="left"/>
        <w:rPr>
          <w:rFonts w:ascii="宋体" w:hAnsi="宋体"/>
          <w:b/>
          <w:sz w:val="24"/>
          <w:szCs w:val="24"/>
        </w:rPr>
      </w:pPr>
      <w:bookmarkStart w:id="87" w:name="_Toc311415582"/>
      <w:r>
        <w:rPr>
          <w:rFonts w:hint="eastAsia" w:ascii="宋体" w:hAnsi="宋体"/>
          <w:b/>
          <w:sz w:val="24"/>
          <w:szCs w:val="24"/>
        </w:rPr>
        <w:t>10、投标语言</w:t>
      </w:r>
      <w:bookmarkEnd w:id="87"/>
    </w:p>
    <w:p>
      <w:pPr>
        <w:spacing w:line="360" w:lineRule="auto"/>
        <w:ind w:firstLine="480" w:firstLineChars="200"/>
        <w:rPr>
          <w:rFonts w:asciiTheme="minorEastAsia" w:hAnsiTheme="minorEastAsia"/>
          <w:sz w:val="24"/>
          <w:szCs w:val="24"/>
        </w:rPr>
      </w:pPr>
      <w:r>
        <w:rPr>
          <w:rFonts w:ascii="宋体" w:hAnsi="宋体"/>
          <w:sz w:val="24"/>
          <w:szCs w:val="24"/>
        </w:rPr>
        <w:t>投标供应商提交的</w:t>
      </w:r>
      <w:r>
        <w:rPr>
          <w:rFonts w:hint="eastAsia" w:ascii="宋体" w:hAnsi="宋体"/>
          <w:sz w:val="24"/>
          <w:szCs w:val="24"/>
        </w:rPr>
        <w:t>响应</w:t>
      </w:r>
      <w:r>
        <w:rPr>
          <w:rFonts w:ascii="宋体" w:hAnsi="宋体"/>
          <w:sz w:val="24"/>
          <w:szCs w:val="24"/>
        </w:rPr>
        <w:t>文件以及投标供应商与采购代理机构就有关投标的所有来往函电均应使用中文</w:t>
      </w:r>
      <w:r>
        <w:rPr>
          <w:rFonts w:hint="eastAsia" w:ascii="宋体" w:hAnsi="宋体"/>
          <w:sz w:val="24"/>
          <w:szCs w:val="24"/>
        </w:rPr>
        <w:t>。对不同文字文本响应文件的解释发生异议的，以中文文本为准。</w:t>
      </w:r>
    </w:p>
    <w:p>
      <w:pPr>
        <w:spacing w:line="360" w:lineRule="auto"/>
        <w:jc w:val="left"/>
        <w:rPr>
          <w:rFonts w:ascii="宋体" w:hAnsi="宋体"/>
          <w:b/>
          <w:sz w:val="24"/>
          <w:szCs w:val="24"/>
        </w:rPr>
      </w:pPr>
      <w:r>
        <w:rPr>
          <w:rFonts w:hint="eastAsia" w:ascii="宋体" w:hAnsi="宋体"/>
          <w:b/>
          <w:sz w:val="24"/>
          <w:szCs w:val="24"/>
        </w:rPr>
        <w:t>11</w:t>
      </w:r>
      <w:r>
        <w:rPr>
          <w:rFonts w:ascii="宋体" w:hAnsi="宋体"/>
          <w:b/>
          <w:sz w:val="24"/>
          <w:szCs w:val="24"/>
        </w:rPr>
        <w:t>、</w:t>
      </w:r>
      <w:r>
        <w:rPr>
          <w:rFonts w:hint="eastAsia" w:ascii="宋体" w:hAnsi="宋体"/>
          <w:b/>
          <w:sz w:val="24"/>
          <w:szCs w:val="24"/>
        </w:rPr>
        <w:t>计量单位</w:t>
      </w:r>
      <w:bookmarkEnd w:id="75"/>
      <w:bookmarkEnd w:id="76"/>
      <w:bookmarkEnd w:id="77"/>
      <w:bookmarkEnd w:id="78"/>
      <w:bookmarkEnd w:id="79"/>
      <w:bookmarkEnd w:id="80"/>
      <w:bookmarkEnd w:id="81"/>
      <w:bookmarkEnd w:id="82"/>
      <w:bookmarkEnd w:id="83"/>
      <w:bookmarkEnd w:id="84"/>
      <w:bookmarkEnd w:id="85"/>
      <w:bookmarkEnd w:id="86"/>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除在磋商文件的技术规格中另有规定外，计量单位应使用中华人民共和国法定计量单位。</w:t>
      </w:r>
    </w:p>
    <w:p>
      <w:pPr>
        <w:spacing w:line="360" w:lineRule="auto"/>
        <w:jc w:val="left"/>
        <w:rPr>
          <w:rFonts w:ascii="宋体" w:hAnsi="宋体"/>
          <w:b/>
          <w:sz w:val="24"/>
          <w:szCs w:val="24"/>
        </w:rPr>
      </w:pPr>
      <w:bookmarkStart w:id="88" w:name="_Toc498523639"/>
      <w:bookmarkStart w:id="89" w:name="_Toc498691051"/>
      <w:bookmarkStart w:id="90" w:name="_Toc498505893"/>
      <w:bookmarkStart w:id="91" w:name="_Toc498008074"/>
      <w:bookmarkStart w:id="92" w:name="_Toc498359572"/>
      <w:bookmarkStart w:id="93" w:name="_Toc498008164"/>
      <w:r>
        <w:rPr>
          <w:rFonts w:hint="eastAsia" w:ascii="宋体" w:hAnsi="宋体"/>
          <w:b/>
          <w:sz w:val="24"/>
          <w:szCs w:val="24"/>
        </w:rPr>
        <w:t>12、磋商响应文件的组成</w:t>
      </w:r>
      <w:bookmarkEnd w:id="88"/>
      <w:bookmarkEnd w:id="89"/>
      <w:bookmarkEnd w:id="90"/>
      <w:bookmarkEnd w:id="91"/>
      <w:bookmarkEnd w:id="92"/>
      <w:bookmarkEnd w:id="93"/>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12.1 </w:t>
      </w:r>
      <w:r>
        <w:rPr>
          <w:rFonts w:asciiTheme="minorEastAsia" w:hAnsiTheme="minorEastAsia"/>
          <w:sz w:val="24"/>
          <w:szCs w:val="24"/>
        </w:rPr>
        <w:t>供应商须按</w:t>
      </w:r>
      <w:r>
        <w:rPr>
          <w:rFonts w:hint="eastAsia" w:asciiTheme="minorEastAsia" w:hAnsiTheme="minorEastAsia"/>
          <w:sz w:val="24"/>
          <w:szCs w:val="24"/>
        </w:rPr>
        <w:t>磋商文件</w:t>
      </w:r>
      <w:r>
        <w:rPr>
          <w:rFonts w:asciiTheme="minorEastAsia" w:hAnsiTheme="minorEastAsia"/>
          <w:sz w:val="24"/>
          <w:szCs w:val="24"/>
        </w:rPr>
        <w:t>的要求编写响应文件，对</w:t>
      </w:r>
      <w:r>
        <w:rPr>
          <w:rFonts w:hint="eastAsia" w:asciiTheme="minorEastAsia" w:hAnsiTheme="minorEastAsia"/>
          <w:sz w:val="24"/>
          <w:szCs w:val="24"/>
        </w:rPr>
        <w:t>磋商文件</w:t>
      </w:r>
      <w:r>
        <w:rPr>
          <w:rFonts w:asciiTheme="minorEastAsia" w:hAnsiTheme="minorEastAsia"/>
          <w:sz w:val="24"/>
          <w:szCs w:val="24"/>
        </w:rPr>
        <w:t>提出的要求和条件做出实质性响应。响应文件应包括但不限于下列内容：</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磋商响应函、磋商报价表以及所有附件内容；</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供应商概况；</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磋商商务偏离表；</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提供磋商须知前附表第十一条要求的投标供应商资格证明文件；</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提供磋商文件要求的证明文件及供应商认为需加以说明的其他内容；</w:t>
      </w:r>
    </w:p>
    <w:p>
      <w:pPr>
        <w:pStyle w:val="53"/>
        <w:numPr>
          <w:ilvl w:val="0"/>
          <w:numId w:val="1"/>
        </w:numPr>
        <w:overflowPunct w:val="0"/>
        <w:adjustRightInd w:val="0"/>
        <w:snapToGrid w:val="0"/>
        <w:spacing w:line="360" w:lineRule="auto"/>
        <w:ind w:left="0" w:firstLine="420" w:firstLineChars="0"/>
        <w:rPr>
          <w:rFonts w:ascii="宋体" w:hAnsi="宋体"/>
          <w:sz w:val="24"/>
          <w:szCs w:val="24"/>
        </w:rPr>
      </w:pPr>
      <w:r>
        <w:rPr>
          <w:rFonts w:hint="eastAsia" w:ascii="宋体" w:hAnsi="宋体"/>
          <w:sz w:val="24"/>
          <w:szCs w:val="24"/>
        </w:rPr>
        <w:t>为保证在规定时间内完成项目，需提供详细的服务方案、人员安排并提供相应的证明材料；</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bookmarkStart w:id="94" w:name="_Toc6896"/>
      <w:bookmarkEnd w:id="94"/>
      <w:bookmarkStart w:id="95" w:name="_Toc347478687"/>
      <w:bookmarkEnd w:id="95"/>
      <w:r>
        <w:rPr>
          <w:rFonts w:hint="eastAsia" w:asciiTheme="minorEastAsia" w:hAnsiTheme="minorEastAsia"/>
          <w:sz w:val="24"/>
          <w:szCs w:val="24"/>
        </w:rPr>
        <w:t>磋商文件要求供应商提供的承诺书、承诺函及其他内容；</w:t>
      </w:r>
    </w:p>
    <w:p>
      <w:pPr>
        <w:pStyle w:val="53"/>
        <w:numPr>
          <w:ilvl w:val="0"/>
          <w:numId w:val="1"/>
        </w:numPr>
        <w:adjustRightInd w:val="0"/>
        <w:snapToGrid w:val="0"/>
        <w:spacing w:line="360" w:lineRule="auto"/>
        <w:ind w:left="0" w:firstLine="420" w:firstLineChars="0"/>
        <w:rPr>
          <w:rFonts w:asciiTheme="minorEastAsia" w:hAnsiTheme="minorEastAsia"/>
          <w:sz w:val="24"/>
          <w:szCs w:val="24"/>
        </w:rPr>
      </w:pPr>
      <w:r>
        <w:rPr>
          <w:rFonts w:hint="eastAsia" w:asciiTheme="minorEastAsia" w:hAnsiTheme="minorEastAsia"/>
          <w:sz w:val="24"/>
          <w:szCs w:val="24"/>
        </w:rPr>
        <w:t>供应商认为有必要，有利于磋商的证明文件及材料等其他内容。</w:t>
      </w:r>
    </w:p>
    <w:p>
      <w:pPr>
        <w:overflowPunct w:val="0"/>
        <w:adjustRightInd w:val="0"/>
        <w:snapToGrid w:val="0"/>
        <w:spacing w:line="360" w:lineRule="auto"/>
        <w:rPr>
          <w:rFonts w:asciiTheme="minorEastAsia" w:hAnsiTheme="minorEastAsia"/>
          <w:b/>
          <w:sz w:val="24"/>
          <w:szCs w:val="24"/>
        </w:rPr>
      </w:pPr>
      <w:bookmarkStart w:id="96" w:name="_Toc409689059"/>
      <w:bookmarkStart w:id="97" w:name="_Toc498691052"/>
      <w:bookmarkStart w:id="98" w:name="_Toc358364331"/>
      <w:bookmarkStart w:id="99" w:name="_Toc498008075"/>
      <w:bookmarkStart w:id="100" w:name="_Toc498505894"/>
      <w:bookmarkStart w:id="101" w:name="_Toc498008165"/>
      <w:bookmarkStart w:id="102" w:name="_Toc380336737"/>
      <w:bookmarkStart w:id="103" w:name="_Toc498359573"/>
      <w:bookmarkStart w:id="104" w:name="_Toc498523640"/>
      <w:r>
        <w:rPr>
          <w:rFonts w:hint="eastAsia" w:asciiTheme="minorEastAsia" w:hAnsiTheme="minorEastAsia"/>
          <w:b/>
          <w:sz w:val="24"/>
          <w:szCs w:val="24"/>
        </w:rPr>
        <w:t>13、磋商响应文件格式</w:t>
      </w:r>
      <w:bookmarkEnd w:id="96"/>
      <w:bookmarkEnd w:id="97"/>
      <w:bookmarkEnd w:id="98"/>
      <w:bookmarkEnd w:id="99"/>
      <w:bookmarkEnd w:id="100"/>
      <w:bookmarkEnd w:id="101"/>
      <w:bookmarkEnd w:id="102"/>
      <w:bookmarkEnd w:id="103"/>
      <w:bookmarkEnd w:id="104"/>
    </w:p>
    <w:p>
      <w:pPr>
        <w:overflowPunct w:val="0"/>
        <w:adjustRightInd w:val="0"/>
        <w:snapToGrid w:val="0"/>
        <w:spacing w:line="360" w:lineRule="auto"/>
        <w:ind w:firstLine="480" w:firstLineChars="200"/>
        <w:rPr>
          <w:rFonts w:ascii="宋体" w:hAnsi="宋体"/>
          <w:sz w:val="24"/>
          <w:szCs w:val="24"/>
        </w:rPr>
      </w:pPr>
      <w:bookmarkStart w:id="105" w:name="_Toc22581"/>
      <w:bookmarkEnd w:id="105"/>
      <w:bookmarkStart w:id="106" w:name="_Toc347478688"/>
      <w:bookmarkEnd w:id="106"/>
      <w:r>
        <w:rPr>
          <w:rFonts w:hint="eastAsia" w:ascii="宋体" w:hAnsi="宋体"/>
          <w:sz w:val="24"/>
          <w:szCs w:val="24"/>
        </w:rPr>
        <w:t>投标供应商应按磋商文件中提供的响应文件格式填写“磋商响应函”、“磋商报价表”、“磋商商务偏离表”等以及其他相关文件等。</w:t>
      </w:r>
    </w:p>
    <w:p>
      <w:pPr>
        <w:overflowPunct w:val="0"/>
        <w:adjustRightInd w:val="0"/>
        <w:snapToGrid w:val="0"/>
        <w:spacing w:line="360" w:lineRule="auto"/>
        <w:rPr>
          <w:rFonts w:asciiTheme="minorEastAsia" w:hAnsiTheme="minorEastAsia"/>
          <w:b/>
          <w:sz w:val="24"/>
          <w:szCs w:val="24"/>
        </w:rPr>
      </w:pPr>
      <w:bookmarkStart w:id="107" w:name="_Toc485202703"/>
      <w:bookmarkStart w:id="108" w:name="_Toc498008166"/>
      <w:bookmarkStart w:id="109" w:name="_Toc498359574"/>
      <w:bookmarkStart w:id="110" w:name="_Toc498505895"/>
      <w:bookmarkStart w:id="111" w:name="_Toc498523641"/>
      <w:bookmarkStart w:id="112" w:name="_Toc498691053"/>
      <w:bookmarkStart w:id="113" w:name="_Toc485202626"/>
      <w:bookmarkStart w:id="114" w:name="_Toc498008076"/>
      <w:bookmarkStart w:id="115" w:name="_Toc484435232"/>
      <w:bookmarkStart w:id="116" w:name="_Toc495564421"/>
      <w:r>
        <w:rPr>
          <w:rFonts w:hint="eastAsia" w:asciiTheme="minorEastAsia" w:hAnsiTheme="minorEastAsia"/>
          <w:b/>
          <w:sz w:val="24"/>
          <w:szCs w:val="24"/>
        </w:rPr>
        <w:t>14</w:t>
      </w:r>
      <w:r>
        <w:rPr>
          <w:rFonts w:asciiTheme="minorEastAsia" w:hAnsiTheme="minorEastAsia"/>
          <w:b/>
          <w:sz w:val="24"/>
          <w:szCs w:val="24"/>
        </w:rPr>
        <w:t>、报价</w:t>
      </w:r>
      <w:bookmarkEnd w:id="107"/>
      <w:bookmarkEnd w:id="108"/>
      <w:bookmarkEnd w:id="109"/>
      <w:bookmarkEnd w:id="110"/>
      <w:bookmarkEnd w:id="111"/>
      <w:bookmarkEnd w:id="112"/>
      <w:bookmarkEnd w:id="113"/>
      <w:bookmarkEnd w:id="114"/>
      <w:bookmarkEnd w:id="115"/>
      <w:bookmarkEnd w:id="116"/>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招标文件要求报价时， “报价表”的填写应注意下列要求：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14.1.本项目的磋商报价应结合市场自主报价并承担风险；</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14.2 磋商报价依据现行及省级有关规定并结合市场情况填报投标报价；</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14.3 各供应商应在响应文件中标明分项报价；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14.4</w:t>
      </w:r>
      <w:bookmarkStart w:id="117" w:name="_Toc347478689"/>
      <w:bookmarkEnd w:id="117"/>
      <w:bookmarkStart w:id="118" w:name="_Toc30437"/>
      <w:bookmarkEnd w:id="118"/>
      <w:r>
        <w:rPr>
          <w:rFonts w:hint="eastAsia" w:asciiTheme="minorEastAsia" w:hAnsiTheme="minorEastAsia"/>
          <w:sz w:val="24"/>
          <w:szCs w:val="24"/>
        </w:rPr>
        <w:t>凡因供应商对磋商文件阅读不深、理解不透、误解、疏漏、或因市场行情了解不清造成的后果和风险均由各供应商自负；</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14.5最低报价不作为成交的唯一条件。</w:t>
      </w:r>
    </w:p>
    <w:p>
      <w:pPr>
        <w:overflowPunct w:val="0"/>
        <w:adjustRightInd w:val="0"/>
        <w:snapToGrid w:val="0"/>
        <w:spacing w:line="360" w:lineRule="auto"/>
        <w:rPr>
          <w:rFonts w:asciiTheme="minorEastAsia" w:hAnsiTheme="minorEastAsia"/>
          <w:b/>
          <w:sz w:val="24"/>
          <w:szCs w:val="24"/>
        </w:rPr>
      </w:pPr>
      <w:bookmarkStart w:id="119" w:name="_Toc485202704"/>
      <w:bookmarkStart w:id="120" w:name="_Toc485202627"/>
      <w:bookmarkStart w:id="121" w:name="_Toc495564422"/>
      <w:bookmarkStart w:id="122" w:name="_Toc484435233"/>
      <w:r>
        <w:rPr>
          <w:rFonts w:hint="eastAsia" w:asciiTheme="minorEastAsia" w:hAnsiTheme="minorEastAsia"/>
          <w:b/>
          <w:sz w:val="24"/>
          <w:szCs w:val="24"/>
        </w:rPr>
        <w:t>15、磋商货币</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ascii="宋体" w:hAnsi="宋体"/>
          <w:sz w:val="24"/>
          <w:szCs w:val="24"/>
        </w:rPr>
        <w:t>响应文件应以人民币报价，任何包含非人民币报价的投标</w:t>
      </w:r>
      <w:r>
        <w:rPr>
          <w:rFonts w:hint="eastAsia" w:ascii="宋体" w:hAnsi="宋体"/>
          <w:sz w:val="24"/>
          <w:szCs w:val="24"/>
        </w:rPr>
        <w:t>均按照无效响应处理</w:t>
      </w:r>
      <w:r>
        <w:rPr>
          <w:rFonts w:ascii="宋体" w:hAnsi="宋体"/>
          <w:sz w:val="24"/>
          <w:szCs w:val="24"/>
        </w:rPr>
        <w:t>。</w:t>
      </w:r>
    </w:p>
    <w:p>
      <w:pPr>
        <w:overflowPunct w:val="0"/>
        <w:adjustRightInd w:val="0"/>
        <w:snapToGrid w:val="0"/>
        <w:spacing w:line="360" w:lineRule="auto"/>
        <w:rPr>
          <w:rFonts w:asciiTheme="minorEastAsia" w:hAnsiTheme="minorEastAsia"/>
          <w:b/>
          <w:sz w:val="24"/>
          <w:szCs w:val="24"/>
        </w:rPr>
      </w:pPr>
      <w:bookmarkStart w:id="123" w:name="_Toc498008077"/>
      <w:bookmarkStart w:id="124" w:name="_Toc498008167"/>
      <w:bookmarkStart w:id="125" w:name="_Toc498359575"/>
      <w:bookmarkStart w:id="126" w:name="_Toc498505896"/>
      <w:bookmarkStart w:id="127" w:name="_Toc498523642"/>
      <w:bookmarkStart w:id="128" w:name="_Toc498691054"/>
      <w:r>
        <w:rPr>
          <w:rFonts w:hint="eastAsia" w:asciiTheme="minorEastAsia" w:hAnsiTheme="minorEastAsia"/>
          <w:b/>
          <w:sz w:val="24"/>
          <w:szCs w:val="24"/>
        </w:rPr>
        <w:t>16</w:t>
      </w:r>
      <w:r>
        <w:rPr>
          <w:rFonts w:asciiTheme="minorEastAsia" w:hAnsiTheme="minorEastAsia"/>
          <w:b/>
          <w:sz w:val="24"/>
          <w:szCs w:val="24"/>
        </w:rPr>
        <w:t>、</w:t>
      </w:r>
      <w:r>
        <w:rPr>
          <w:rFonts w:hint="eastAsia" w:asciiTheme="minorEastAsia" w:hAnsiTheme="minorEastAsia"/>
          <w:b/>
          <w:sz w:val="24"/>
          <w:szCs w:val="24"/>
        </w:rPr>
        <w:t>供应商提供的证明文件</w:t>
      </w:r>
      <w:bookmarkEnd w:id="119"/>
      <w:bookmarkEnd w:id="120"/>
      <w:bookmarkEnd w:id="121"/>
      <w:bookmarkEnd w:id="122"/>
      <w:bookmarkEnd w:id="123"/>
      <w:bookmarkEnd w:id="124"/>
      <w:bookmarkEnd w:id="125"/>
      <w:bookmarkEnd w:id="126"/>
      <w:bookmarkEnd w:id="127"/>
      <w:bookmarkEnd w:id="128"/>
      <w:bookmarkStart w:id="129" w:name="_Toc485202628"/>
      <w:bookmarkStart w:id="130" w:name="_Toc485202705"/>
      <w:bookmarkStart w:id="131" w:name="_Toc484435234"/>
      <w:bookmarkStart w:id="132" w:name="_Toc495564423"/>
    </w:p>
    <w:bookmarkEnd w:id="129"/>
    <w:bookmarkEnd w:id="130"/>
    <w:bookmarkEnd w:id="131"/>
    <w:bookmarkEnd w:id="132"/>
    <w:p>
      <w:pPr>
        <w:spacing w:line="360" w:lineRule="auto"/>
        <w:ind w:firstLine="480" w:firstLineChars="200"/>
        <w:rPr>
          <w:rFonts w:ascii="宋体" w:hAnsi="宋体"/>
          <w:sz w:val="24"/>
          <w:szCs w:val="24"/>
        </w:rPr>
      </w:pPr>
      <w:bookmarkStart w:id="133" w:name="_Toc498359576"/>
      <w:bookmarkStart w:id="134" w:name="_Toc495564424"/>
      <w:bookmarkStart w:id="135" w:name="_Toc498008078"/>
      <w:bookmarkStart w:id="136" w:name="_Toc498505897"/>
      <w:bookmarkStart w:id="137" w:name="_Toc498523643"/>
      <w:bookmarkStart w:id="138" w:name="_Toc484435235"/>
      <w:bookmarkStart w:id="139" w:name="_Toc485202706"/>
      <w:bookmarkStart w:id="140" w:name="_Toc485202629"/>
      <w:bookmarkStart w:id="141" w:name="_Toc498008168"/>
      <w:r>
        <w:rPr>
          <w:rFonts w:hint="eastAsia" w:ascii="宋体" w:hAnsi="宋体"/>
          <w:sz w:val="24"/>
          <w:szCs w:val="24"/>
        </w:rPr>
        <w:t>16.1投标供应商</w:t>
      </w:r>
      <w:r>
        <w:rPr>
          <w:rFonts w:ascii="宋体" w:hAnsi="宋体"/>
          <w:sz w:val="24"/>
          <w:szCs w:val="24"/>
        </w:rPr>
        <w:t>须提</w:t>
      </w:r>
      <w:r>
        <w:rPr>
          <w:rFonts w:hint="eastAsia" w:ascii="宋体" w:hAnsi="宋体"/>
          <w:sz w:val="24"/>
          <w:szCs w:val="24"/>
        </w:rPr>
        <w:t>供磋商文件供应商须知前附表第十一条要求的</w:t>
      </w:r>
      <w:r>
        <w:rPr>
          <w:rFonts w:ascii="宋体" w:hAnsi="宋体"/>
          <w:sz w:val="24"/>
          <w:szCs w:val="24"/>
        </w:rPr>
        <w:t>资格</w:t>
      </w:r>
      <w:r>
        <w:rPr>
          <w:rFonts w:hint="eastAsia" w:ascii="宋体" w:hAnsi="宋体"/>
          <w:sz w:val="24"/>
          <w:szCs w:val="24"/>
        </w:rPr>
        <w:t>证明文件，如资格证明文件不全或不合格的，其投标按照无效响应处理。</w:t>
      </w:r>
    </w:p>
    <w:p>
      <w:pPr>
        <w:spacing w:line="360" w:lineRule="auto"/>
        <w:ind w:firstLine="480" w:firstLineChars="200"/>
        <w:rPr>
          <w:rFonts w:ascii="宋体" w:hAnsi="宋体"/>
          <w:sz w:val="24"/>
          <w:szCs w:val="24"/>
        </w:rPr>
      </w:pPr>
      <w:r>
        <w:rPr>
          <w:rFonts w:hint="eastAsia" w:ascii="宋体" w:hAnsi="宋体"/>
          <w:sz w:val="24"/>
          <w:szCs w:val="24"/>
        </w:rPr>
        <w:t>16.2如果磋商须知前附表有要求，投标供应商还应按照要求提交证明文件的原件。如果未能提供原件或者提供原件不全的，其磋商投标按照无效响应处理。</w:t>
      </w:r>
    </w:p>
    <w:p>
      <w:pPr>
        <w:spacing w:line="360" w:lineRule="auto"/>
        <w:ind w:firstLine="480" w:firstLineChars="200"/>
        <w:rPr>
          <w:rFonts w:ascii="宋体" w:hAnsi="宋体"/>
          <w:sz w:val="24"/>
          <w:szCs w:val="24"/>
        </w:rPr>
      </w:pPr>
      <w:r>
        <w:rPr>
          <w:rFonts w:hint="eastAsia" w:ascii="宋体" w:hAnsi="宋体"/>
          <w:sz w:val="24"/>
          <w:szCs w:val="24"/>
        </w:rPr>
        <w:t>16.3所提供的证明文件有效期从开标之日起算不得少于响应文件有效期，否则其证明文件按照无效证明文件处理。</w:t>
      </w:r>
    </w:p>
    <w:p>
      <w:pPr>
        <w:spacing w:line="360" w:lineRule="auto"/>
        <w:ind w:firstLine="480" w:firstLineChars="200"/>
        <w:rPr>
          <w:rFonts w:ascii="宋体" w:hAnsi="宋体"/>
          <w:sz w:val="24"/>
          <w:szCs w:val="24"/>
        </w:rPr>
      </w:pPr>
      <w:r>
        <w:rPr>
          <w:rFonts w:hint="eastAsia" w:ascii="宋体" w:hAnsi="宋体"/>
          <w:sz w:val="24"/>
          <w:szCs w:val="24"/>
        </w:rPr>
        <w:t>16.4投标供应商所提供生产厂家出具的证明文件（若有）均需加盖生产厂家鲜章，否则视为无效证明文件。</w:t>
      </w:r>
    </w:p>
    <w:bookmarkEnd w:id="133"/>
    <w:bookmarkEnd w:id="134"/>
    <w:bookmarkEnd w:id="135"/>
    <w:bookmarkEnd w:id="136"/>
    <w:bookmarkEnd w:id="137"/>
    <w:bookmarkEnd w:id="138"/>
    <w:bookmarkEnd w:id="139"/>
    <w:bookmarkEnd w:id="140"/>
    <w:bookmarkEnd w:id="141"/>
    <w:p>
      <w:pPr>
        <w:overflowPunct w:val="0"/>
        <w:adjustRightInd w:val="0"/>
        <w:snapToGrid w:val="0"/>
        <w:spacing w:line="360" w:lineRule="auto"/>
        <w:rPr>
          <w:rFonts w:asciiTheme="minorEastAsia" w:hAnsiTheme="minorEastAsia"/>
          <w:b/>
          <w:sz w:val="24"/>
          <w:szCs w:val="24"/>
        </w:rPr>
      </w:pPr>
      <w:bookmarkStart w:id="142" w:name="_Toc495564425"/>
      <w:bookmarkStart w:id="143" w:name="_Toc498008079"/>
      <w:bookmarkStart w:id="144" w:name="_Toc485202630"/>
      <w:bookmarkStart w:id="145" w:name="_Toc498523644"/>
      <w:bookmarkStart w:id="146" w:name="_Toc498691056"/>
      <w:bookmarkStart w:id="147" w:name="_Toc484435236"/>
      <w:bookmarkStart w:id="148" w:name="_Toc498359577"/>
      <w:bookmarkStart w:id="149" w:name="_Toc498505898"/>
      <w:bookmarkStart w:id="150" w:name="_Toc498008169"/>
      <w:bookmarkStart w:id="151" w:name="_Toc485202707"/>
      <w:r>
        <w:rPr>
          <w:rFonts w:hint="eastAsia" w:asciiTheme="minorEastAsia" w:hAnsiTheme="minorEastAsia"/>
          <w:b/>
          <w:sz w:val="24"/>
          <w:szCs w:val="24"/>
        </w:rPr>
        <w:t>17、磋商有效期</w:t>
      </w:r>
      <w:bookmarkEnd w:id="142"/>
      <w:bookmarkEnd w:id="143"/>
      <w:bookmarkEnd w:id="144"/>
      <w:bookmarkEnd w:id="145"/>
      <w:bookmarkEnd w:id="146"/>
      <w:bookmarkEnd w:id="147"/>
      <w:bookmarkEnd w:id="148"/>
      <w:bookmarkEnd w:id="149"/>
      <w:bookmarkEnd w:id="150"/>
      <w:bookmarkEnd w:id="151"/>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17.1磋商有效期为自磋商之日起90个日历天。</w:t>
      </w:r>
      <w:bookmarkStart w:id="152" w:name="_Toc484435237"/>
      <w:bookmarkStart w:id="153" w:name="_Toc495564426"/>
      <w:bookmarkStart w:id="154" w:name="_Toc485202708"/>
      <w:bookmarkStart w:id="155" w:name="_Toc485202631"/>
      <w:r>
        <w:rPr>
          <w:rFonts w:hint="eastAsia" w:ascii="宋体" w:hAnsi="宋体"/>
          <w:sz w:val="24"/>
          <w:szCs w:val="24"/>
        </w:rPr>
        <w:t>磋商响应文件的有效期比本须知规定的有效期短的，</w:t>
      </w:r>
      <w:r>
        <w:rPr>
          <w:rFonts w:ascii="宋体" w:hAnsi="宋体"/>
          <w:sz w:val="24"/>
          <w:szCs w:val="24"/>
        </w:rPr>
        <w:t>将</w:t>
      </w:r>
      <w:r>
        <w:rPr>
          <w:rFonts w:hint="eastAsia" w:ascii="宋体" w:hAnsi="宋体"/>
          <w:sz w:val="24"/>
          <w:szCs w:val="24"/>
        </w:rPr>
        <w:t>按照无效响应处理</w:t>
      </w:r>
      <w:r>
        <w:rPr>
          <w:rFonts w:ascii="宋体" w:hAnsi="宋体"/>
          <w:sz w:val="24"/>
          <w:szCs w:val="24"/>
        </w:rPr>
        <w:t>。</w:t>
      </w:r>
    </w:p>
    <w:p>
      <w:pPr>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17.2</w:t>
      </w:r>
      <w:r>
        <w:rPr>
          <w:rFonts w:ascii="宋体" w:hAnsi="宋体"/>
          <w:sz w:val="24"/>
          <w:szCs w:val="24"/>
        </w:rPr>
        <w:t>在特殊情况下，在原磋商有效期期满之前，</w:t>
      </w:r>
      <w:r>
        <w:rPr>
          <w:rFonts w:hint="eastAsia" w:ascii="宋体" w:hAnsi="宋体"/>
          <w:sz w:val="24"/>
          <w:szCs w:val="24"/>
        </w:rPr>
        <w:t>采购代理</w:t>
      </w:r>
      <w:r>
        <w:rPr>
          <w:rFonts w:ascii="宋体" w:hAnsi="宋体"/>
          <w:sz w:val="24"/>
          <w:szCs w:val="24"/>
        </w:rPr>
        <w:t>机构可向投标供应商提出延长投标有效期的要求。这种要求与答复均应以书面的形式。投标供应商可以拒绝</w:t>
      </w:r>
      <w:r>
        <w:rPr>
          <w:rFonts w:hint="eastAsia" w:ascii="宋体" w:hAnsi="宋体"/>
          <w:sz w:val="24"/>
          <w:szCs w:val="24"/>
        </w:rPr>
        <w:t>采购代理</w:t>
      </w:r>
      <w:r>
        <w:rPr>
          <w:rFonts w:ascii="宋体" w:hAnsi="宋体"/>
          <w:sz w:val="24"/>
          <w:szCs w:val="24"/>
        </w:rPr>
        <w:t>机构的这种要求,其投标保证金</w:t>
      </w:r>
      <w:r>
        <w:rPr>
          <w:rFonts w:hint="eastAsia" w:ascii="宋体" w:hAnsi="宋体"/>
          <w:sz w:val="24"/>
          <w:szCs w:val="24"/>
        </w:rPr>
        <w:t>（若有）予以退还</w:t>
      </w:r>
      <w:r>
        <w:rPr>
          <w:rFonts w:ascii="宋体" w:hAnsi="宋体"/>
          <w:sz w:val="24"/>
          <w:szCs w:val="24"/>
        </w:rPr>
        <w:t>。同意延长的投标供应商既不能要求也不允许修改其磋商响应文件，但要相应延长其磋商保证金</w:t>
      </w:r>
      <w:r>
        <w:rPr>
          <w:rFonts w:hint="eastAsia" w:ascii="宋体" w:hAnsi="宋体"/>
          <w:sz w:val="24"/>
          <w:szCs w:val="24"/>
        </w:rPr>
        <w:t>（若有）</w:t>
      </w:r>
      <w:r>
        <w:rPr>
          <w:rFonts w:ascii="宋体" w:hAnsi="宋体"/>
          <w:sz w:val="24"/>
          <w:szCs w:val="24"/>
        </w:rPr>
        <w:t>的有效期。</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17.3成交</w:t>
      </w:r>
      <w:r>
        <w:rPr>
          <w:rFonts w:hint="eastAsia" w:ascii="宋体" w:hAnsi="宋体"/>
          <w:sz w:val="24"/>
          <w:szCs w:val="24"/>
        </w:rPr>
        <w:t>供应商响应文件有效期自动延长至合同执行完毕。</w:t>
      </w:r>
    </w:p>
    <w:p>
      <w:pPr>
        <w:overflowPunct w:val="0"/>
        <w:adjustRightInd w:val="0"/>
        <w:snapToGrid w:val="0"/>
        <w:spacing w:line="360" w:lineRule="auto"/>
        <w:rPr>
          <w:rFonts w:asciiTheme="minorEastAsia" w:hAnsiTheme="minorEastAsia"/>
          <w:b/>
          <w:sz w:val="24"/>
          <w:szCs w:val="24"/>
        </w:rPr>
      </w:pPr>
      <w:bookmarkStart w:id="156" w:name="_Toc498008080"/>
      <w:bookmarkStart w:id="157" w:name="_Toc498505899"/>
      <w:bookmarkStart w:id="158" w:name="_Toc498691057"/>
      <w:bookmarkStart w:id="159" w:name="_Toc498359578"/>
      <w:bookmarkStart w:id="160" w:name="_Toc498008170"/>
      <w:bookmarkStart w:id="161" w:name="_Toc498523645"/>
      <w:r>
        <w:rPr>
          <w:rFonts w:hint="eastAsia" w:asciiTheme="minorEastAsia" w:hAnsiTheme="minorEastAsia"/>
          <w:b/>
          <w:sz w:val="24"/>
          <w:szCs w:val="24"/>
        </w:rPr>
        <w:t>18、磋商响应文件的数量及签署规定</w:t>
      </w:r>
      <w:bookmarkEnd w:id="152"/>
      <w:bookmarkEnd w:id="153"/>
      <w:bookmarkEnd w:id="154"/>
      <w:bookmarkEnd w:id="155"/>
      <w:bookmarkEnd w:id="156"/>
      <w:bookmarkEnd w:id="157"/>
      <w:bookmarkEnd w:id="158"/>
      <w:bookmarkEnd w:id="159"/>
      <w:bookmarkEnd w:id="160"/>
      <w:bookmarkEnd w:id="161"/>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18.1</w:t>
      </w:r>
      <w:r>
        <w:rPr>
          <w:rFonts w:ascii="宋体" w:hAnsi="宋体"/>
          <w:sz w:val="24"/>
          <w:szCs w:val="24"/>
        </w:rPr>
        <w:t>投标供应商应按照磋商须知前附表的要求, 准备一份磋商响应文件正本和“磋商须知前附表”中规定数量的副本，</w:t>
      </w:r>
      <w:r>
        <w:rPr>
          <w:rFonts w:hint="eastAsia" w:ascii="宋体" w:hAnsi="宋体"/>
          <w:sz w:val="24"/>
          <w:szCs w:val="24"/>
        </w:rPr>
        <w:t>副本可以是正本的复印件。</w:t>
      </w:r>
      <w:r>
        <w:rPr>
          <w:rFonts w:ascii="宋体" w:hAnsi="宋体"/>
          <w:sz w:val="24"/>
          <w:szCs w:val="24"/>
        </w:rPr>
        <w:t>每套响应文件须清楚地标明“正本”或“副本”。如果发生正本与副本不一致的情况，以正本为准。</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18.2</w:t>
      </w:r>
      <w:r>
        <w:rPr>
          <w:rFonts w:hint="eastAsia" w:ascii="宋体" w:hAnsi="宋体"/>
          <w:sz w:val="24"/>
          <w:szCs w:val="24"/>
        </w:rPr>
        <w:t>如果磋商文件有要求，还应</w:t>
      </w:r>
      <w:r>
        <w:rPr>
          <w:rFonts w:ascii="宋体" w:hAnsi="宋体"/>
          <w:sz w:val="24"/>
          <w:szCs w:val="24"/>
        </w:rPr>
        <w:t>按照</w:t>
      </w:r>
      <w:r>
        <w:rPr>
          <w:rFonts w:hint="eastAsia" w:ascii="宋体" w:hAnsi="宋体"/>
          <w:sz w:val="24"/>
          <w:szCs w:val="24"/>
        </w:rPr>
        <w:t>“磋商</w:t>
      </w:r>
      <w:r>
        <w:rPr>
          <w:rFonts w:ascii="宋体" w:hAnsi="宋体"/>
          <w:sz w:val="24"/>
          <w:szCs w:val="24"/>
        </w:rPr>
        <w:t>须知</w:t>
      </w:r>
      <w:r>
        <w:rPr>
          <w:rFonts w:hint="eastAsia" w:ascii="宋体" w:hAnsi="宋体"/>
          <w:sz w:val="24"/>
          <w:szCs w:val="24"/>
        </w:rPr>
        <w:t>前附表”</w:t>
      </w:r>
      <w:r>
        <w:rPr>
          <w:rFonts w:ascii="宋体" w:hAnsi="宋体"/>
          <w:sz w:val="24"/>
          <w:szCs w:val="24"/>
        </w:rPr>
        <w:t>的要求</w:t>
      </w:r>
      <w:r>
        <w:rPr>
          <w:rFonts w:hint="eastAsia" w:ascii="宋体" w:hAnsi="宋体"/>
          <w:sz w:val="24"/>
          <w:szCs w:val="24"/>
        </w:rPr>
        <w:t>准备相应格式和载体的电子版文件。</w:t>
      </w:r>
    </w:p>
    <w:p>
      <w:pPr>
        <w:overflowPunct w:val="0"/>
        <w:adjustRightInd w:val="0"/>
        <w:snapToGrid w:val="0"/>
        <w:spacing w:line="360" w:lineRule="auto"/>
        <w:ind w:firstLine="480" w:firstLineChars="200"/>
        <w:rPr>
          <w:rFonts w:ascii="宋体" w:hAnsi="宋体"/>
          <w:sz w:val="24"/>
          <w:szCs w:val="24"/>
        </w:rPr>
      </w:pPr>
      <w:r>
        <w:rPr>
          <w:rFonts w:hint="eastAsia" w:asciiTheme="minorEastAsia" w:hAnsiTheme="minorEastAsia" w:eastAsiaTheme="minorEastAsia"/>
          <w:sz w:val="24"/>
          <w:szCs w:val="24"/>
        </w:rPr>
        <w:t>18.3</w:t>
      </w:r>
      <w:r>
        <w:rPr>
          <w:rFonts w:ascii="宋体" w:hAnsi="宋体"/>
          <w:sz w:val="24"/>
          <w:szCs w:val="24"/>
        </w:rPr>
        <w:t>磋商响应文件正本需打印或用不褪色的蓝(黑)色墨水(汁)书写,并由投标供应商法人代表或经法人代表正式授权的代表签字，授权代表须将按磋商文件规定的格式出具的“法人代表授权书”附在磋商响应文件中。</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18.4</w:t>
      </w:r>
      <w:r>
        <w:rPr>
          <w:rFonts w:ascii="宋体" w:hAnsi="宋体"/>
          <w:sz w:val="24"/>
          <w:szCs w:val="24"/>
        </w:rPr>
        <w:t>任何行间插字、涂改和增删，必须由磋商响应文件的签字人在旁边签字才有效。</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18.5</w:t>
      </w:r>
      <w:r>
        <w:rPr>
          <w:rFonts w:ascii="宋体" w:hAnsi="宋体"/>
          <w:sz w:val="24"/>
          <w:szCs w:val="24"/>
        </w:rPr>
        <w:t>因字迹潦草、表述不清或不按磋商文件格式编制的磋商响应文件，所引起的对投标供应商不利的后果，由投标供应商自行负责。</w:t>
      </w:r>
    </w:p>
    <w:p>
      <w:pPr>
        <w:overflowPunct w:val="0"/>
        <w:adjustRightInd w:val="0"/>
        <w:snapToGrid w:val="0"/>
        <w:spacing w:line="360" w:lineRule="auto"/>
        <w:rPr>
          <w:rFonts w:asciiTheme="minorEastAsia" w:hAnsiTheme="minorEastAsia"/>
          <w:b/>
          <w:sz w:val="24"/>
          <w:szCs w:val="24"/>
        </w:rPr>
      </w:pPr>
      <w:bookmarkStart w:id="162" w:name="_Toc495564427"/>
      <w:bookmarkStart w:id="163" w:name="_Toc485202709"/>
      <w:bookmarkStart w:id="164" w:name="_Toc498359579"/>
      <w:bookmarkStart w:id="165" w:name="_Toc485202632"/>
      <w:bookmarkStart w:id="166" w:name="_Toc498008171"/>
      <w:bookmarkStart w:id="167" w:name="_Toc498523646"/>
      <w:bookmarkStart w:id="168" w:name="_Toc484435238"/>
      <w:bookmarkStart w:id="169" w:name="_Toc498008081"/>
      <w:bookmarkStart w:id="170" w:name="_Toc498691058"/>
      <w:bookmarkStart w:id="171" w:name="_Toc498505900"/>
      <w:r>
        <w:rPr>
          <w:rFonts w:hint="eastAsia" w:asciiTheme="minorEastAsia" w:hAnsiTheme="minorEastAsia"/>
          <w:b/>
          <w:sz w:val="24"/>
          <w:szCs w:val="24"/>
        </w:rPr>
        <w:t>19、磋商响应文件的包装和标记</w:t>
      </w:r>
      <w:bookmarkEnd w:id="162"/>
      <w:bookmarkEnd w:id="163"/>
      <w:bookmarkEnd w:id="164"/>
      <w:bookmarkEnd w:id="165"/>
      <w:bookmarkEnd w:id="166"/>
      <w:bookmarkEnd w:id="167"/>
      <w:bookmarkEnd w:id="168"/>
      <w:bookmarkEnd w:id="169"/>
      <w:bookmarkEnd w:id="170"/>
      <w:bookmarkEnd w:id="171"/>
    </w:p>
    <w:p>
      <w:pPr>
        <w:widowControl/>
        <w:spacing w:line="360" w:lineRule="auto"/>
        <w:ind w:firstLine="480" w:firstLineChars="200"/>
        <w:rPr>
          <w:rFonts w:ascii="宋体" w:hAnsi="宋体"/>
          <w:sz w:val="24"/>
          <w:szCs w:val="24"/>
        </w:rPr>
      </w:pPr>
      <w:bookmarkStart w:id="172" w:name="_Toc484435239"/>
      <w:bookmarkStart w:id="173" w:name="_Toc485202633"/>
      <w:bookmarkStart w:id="174" w:name="_Toc485202710"/>
      <w:bookmarkStart w:id="175" w:name="_Toc495564428"/>
      <w:r>
        <w:rPr>
          <w:rFonts w:hint="eastAsia" w:asciiTheme="minorEastAsia" w:hAnsiTheme="minorEastAsia" w:eastAsiaTheme="minorEastAsia"/>
          <w:sz w:val="24"/>
          <w:szCs w:val="24"/>
        </w:rPr>
        <w:t>19.1</w:t>
      </w:r>
      <w:r>
        <w:rPr>
          <w:rFonts w:hint="eastAsia" w:ascii="宋体" w:hAnsi="宋体"/>
          <w:sz w:val="24"/>
          <w:szCs w:val="24"/>
        </w:rPr>
        <w:t>投标供应商应将磋商响应文件的正本和所有副本分别胶装成册（不得采用活页夹），每套“磋商响应文件”封面的右上角应注明“正本”或“副本”。一旦正本与副本不符，以正本为主。</w:t>
      </w:r>
    </w:p>
    <w:p>
      <w:pPr>
        <w:widowControl/>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19.2磋商响应文件必须密封递交。对封装材料及样式不作特别规定，但投标供应商应当保证其封装的可靠性，不致因搬运、堆放等原因散开。磋商时，投标供应商应当将磋商响应文件正本以密封袋/箱单独密封，所有的副本以密封袋/箱单独密封，或者正、副本密封袋/箱放入一个密封包装箱里。所有密封袋/箱正面和磋商响应文件封面须标明采购项目名称、采购项目编号、投标供应商名称及“正本”、“副本”字样，电子版文档装入磋商响应文件正本中。</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19.3所有磋商响应文件的密封袋/箱的封口处应加盖投标供应商公章并由法定代表人或授权代表签字或盖章。</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19.4如果未按上述规定进行密封和标记，引起的一切风险和后果由投标供应商自行承担。</w:t>
      </w:r>
    </w:p>
    <w:p>
      <w:pPr>
        <w:overflowPunct w:val="0"/>
        <w:adjustRightInd w:val="0"/>
        <w:snapToGrid w:val="0"/>
        <w:spacing w:line="360" w:lineRule="auto"/>
        <w:rPr>
          <w:rFonts w:asciiTheme="minorEastAsia" w:hAnsiTheme="minorEastAsia"/>
          <w:b/>
          <w:sz w:val="24"/>
          <w:szCs w:val="24"/>
        </w:rPr>
      </w:pPr>
      <w:bookmarkStart w:id="176" w:name="_Toc498008082"/>
      <w:bookmarkStart w:id="177" w:name="_Toc498359580"/>
      <w:bookmarkStart w:id="178" w:name="_Toc498505901"/>
      <w:bookmarkStart w:id="179" w:name="_Toc498523647"/>
      <w:bookmarkStart w:id="180" w:name="_Toc498691059"/>
      <w:bookmarkStart w:id="181" w:name="_Toc498008172"/>
      <w:r>
        <w:rPr>
          <w:rFonts w:hint="eastAsia" w:asciiTheme="minorEastAsia" w:hAnsiTheme="minorEastAsia"/>
          <w:b/>
          <w:sz w:val="24"/>
          <w:szCs w:val="24"/>
        </w:rPr>
        <w:t>20、磋商响应文件递交截止时间</w:t>
      </w:r>
      <w:bookmarkEnd w:id="172"/>
      <w:bookmarkEnd w:id="173"/>
      <w:bookmarkEnd w:id="174"/>
      <w:bookmarkEnd w:id="175"/>
      <w:bookmarkEnd w:id="176"/>
      <w:bookmarkEnd w:id="177"/>
      <w:bookmarkEnd w:id="178"/>
      <w:bookmarkEnd w:id="179"/>
      <w:bookmarkEnd w:id="180"/>
      <w:bookmarkEnd w:id="181"/>
    </w:p>
    <w:p>
      <w:pPr>
        <w:overflowPunct w:val="0"/>
        <w:adjustRightInd w:val="0"/>
        <w:snapToGrid w:val="0"/>
        <w:spacing w:line="360" w:lineRule="auto"/>
        <w:ind w:firstLine="480" w:firstLineChars="200"/>
        <w:rPr>
          <w:rFonts w:asciiTheme="minorEastAsia" w:hAnsiTheme="minorEastAsia" w:eastAsiaTheme="minorEastAsia"/>
          <w:sz w:val="24"/>
          <w:szCs w:val="24"/>
        </w:rPr>
      </w:pPr>
      <w:bookmarkStart w:id="182" w:name="_Toc495564429"/>
      <w:bookmarkStart w:id="183" w:name="_Toc485202634"/>
      <w:bookmarkStart w:id="184" w:name="_Toc485202711"/>
      <w:bookmarkStart w:id="185" w:name="_Toc484435240"/>
      <w:r>
        <w:rPr>
          <w:rFonts w:hint="eastAsia" w:asciiTheme="minorEastAsia" w:hAnsiTheme="minorEastAsia" w:eastAsiaTheme="minorEastAsia"/>
          <w:sz w:val="24"/>
          <w:szCs w:val="24"/>
        </w:rPr>
        <w:t>20.1</w:t>
      </w:r>
      <w:r>
        <w:rPr>
          <w:rFonts w:hint="eastAsia" w:ascii="宋体" w:hAnsi="宋体"/>
          <w:sz w:val="24"/>
          <w:szCs w:val="24"/>
        </w:rPr>
        <w:t>所有磋商响应文件都必须按“磋商公告”中规定的磋商文件递交</w:t>
      </w:r>
      <w:r>
        <w:rPr>
          <w:rFonts w:ascii="宋体" w:hAnsi="宋体"/>
          <w:sz w:val="24"/>
          <w:szCs w:val="24"/>
        </w:rPr>
        <w:t>截止时间前</w:t>
      </w:r>
      <w:r>
        <w:rPr>
          <w:rFonts w:hint="eastAsia" w:ascii="宋体" w:hAnsi="宋体"/>
          <w:sz w:val="24"/>
          <w:szCs w:val="24"/>
        </w:rPr>
        <w:t>，</w:t>
      </w:r>
      <w:r>
        <w:rPr>
          <w:rFonts w:ascii="宋体" w:hAnsi="宋体"/>
          <w:sz w:val="24"/>
          <w:szCs w:val="24"/>
        </w:rPr>
        <w:t>将全部磋商响应文件和磋商资料递交至磋商地点</w:t>
      </w:r>
      <w:r>
        <w:rPr>
          <w:rFonts w:hint="eastAsia" w:ascii="宋体" w:hAnsi="宋体"/>
          <w:sz w:val="24"/>
          <w:szCs w:val="24"/>
        </w:rPr>
        <w:t>并签字确认。磋商地点见</w:t>
      </w:r>
      <w:r>
        <w:rPr>
          <w:rFonts w:ascii="宋体" w:hAnsi="宋体"/>
          <w:sz w:val="24"/>
          <w:szCs w:val="24"/>
        </w:rPr>
        <w:t>“磋商须知前附表”</w:t>
      </w:r>
      <w:r>
        <w:rPr>
          <w:rFonts w:hint="eastAsia" w:ascii="宋体" w:hAnsi="宋体"/>
          <w:sz w:val="24"/>
          <w:szCs w:val="24"/>
        </w:rPr>
        <w:t>指明的地址或采购代理机构另行通知的地址。</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20.2 出现第8款因磋商文件的修改推迟磋商截止日期时，则按采购方修改通知规定的时间递交。</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20.3在磋商响应文件递交时间之后的任何磋商响应文件将被拒绝接收。</w:t>
      </w:r>
    </w:p>
    <w:p>
      <w:pPr>
        <w:overflowPunct w:val="0"/>
        <w:adjustRightInd w:val="0"/>
        <w:snapToGrid w:val="0"/>
        <w:spacing w:line="360" w:lineRule="auto"/>
        <w:rPr>
          <w:rFonts w:asciiTheme="minorEastAsia" w:hAnsiTheme="minorEastAsia"/>
          <w:b/>
          <w:sz w:val="24"/>
          <w:szCs w:val="24"/>
        </w:rPr>
      </w:pPr>
      <w:bookmarkStart w:id="186" w:name="_Toc498505902"/>
      <w:bookmarkStart w:id="187" w:name="_Toc498008173"/>
      <w:bookmarkStart w:id="188" w:name="_Toc498008083"/>
      <w:bookmarkStart w:id="189" w:name="_Toc498523648"/>
      <w:bookmarkStart w:id="190" w:name="_Toc498359581"/>
      <w:bookmarkStart w:id="191" w:name="_Toc498691060"/>
      <w:r>
        <w:rPr>
          <w:rFonts w:hint="eastAsia" w:asciiTheme="minorEastAsia" w:hAnsiTheme="minorEastAsia"/>
          <w:b/>
          <w:sz w:val="24"/>
          <w:szCs w:val="24"/>
        </w:rPr>
        <w:t>21、磋商响应文件的修改与撤回</w:t>
      </w:r>
      <w:bookmarkEnd w:id="182"/>
      <w:bookmarkEnd w:id="183"/>
      <w:bookmarkEnd w:id="184"/>
      <w:bookmarkEnd w:id="185"/>
      <w:bookmarkEnd w:id="186"/>
      <w:bookmarkEnd w:id="187"/>
      <w:bookmarkEnd w:id="188"/>
      <w:bookmarkEnd w:id="189"/>
      <w:bookmarkEnd w:id="190"/>
      <w:bookmarkEnd w:id="191"/>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21.1 投标供应商在磋商截止时间前，可以对所递交的磋商响应文件进行补充、修改或者撤回，并书面通知采购人或者采购代理机构。</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21.2 投标供应商的修改或撤回内容，应按第18条和19条规定签署、盖章、密封后，作为磋商响应文件的组成部分递交。</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21.3 在磋商截止期之后，投标供应商不得对其响应做任何修改。</w:t>
      </w:r>
    </w:p>
    <w:p>
      <w:pPr>
        <w:overflowPunct w:val="0"/>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21.4 从磋商截止期至投标供应商在投标函格式中确定的投标有效期之间的这段时间内，投标供应商不得撤回其响应，否则引起的一切后果由投标供应商自行承担。</w:t>
      </w:r>
    </w:p>
    <w:p>
      <w:pPr>
        <w:pStyle w:val="36"/>
        <w:spacing w:line="360" w:lineRule="auto"/>
        <w:ind w:left="420" w:firstLine="0" w:firstLineChars="0"/>
        <w:jc w:val="center"/>
        <w:rPr>
          <w:rFonts w:asciiTheme="minorEastAsia" w:hAnsiTheme="minorEastAsia"/>
          <w:b/>
          <w:sz w:val="32"/>
          <w:szCs w:val="32"/>
        </w:rPr>
      </w:pPr>
      <w:r>
        <w:rPr>
          <w:rFonts w:hint="eastAsia" w:asciiTheme="minorEastAsia" w:hAnsiTheme="minorEastAsia"/>
          <w:b/>
          <w:sz w:val="32"/>
          <w:szCs w:val="32"/>
        </w:rPr>
        <w:t>D磋商</w:t>
      </w:r>
    </w:p>
    <w:p>
      <w:pPr>
        <w:overflowPunct w:val="0"/>
        <w:adjustRightInd w:val="0"/>
        <w:snapToGrid w:val="0"/>
        <w:spacing w:line="360" w:lineRule="auto"/>
        <w:rPr>
          <w:rFonts w:asciiTheme="minorEastAsia" w:hAnsiTheme="minorEastAsia"/>
          <w:b/>
          <w:sz w:val="24"/>
          <w:szCs w:val="24"/>
        </w:rPr>
      </w:pPr>
      <w:bookmarkStart w:id="192" w:name="_Toc424636365"/>
      <w:bookmarkStart w:id="193" w:name="_Toc445306401"/>
      <w:r>
        <w:rPr>
          <w:rFonts w:hint="eastAsia" w:asciiTheme="minorEastAsia" w:hAnsiTheme="minorEastAsia"/>
          <w:b/>
          <w:sz w:val="24"/>
          <w:szCs w:val="24"/>
        </w:rPr>
        <w:t>22、磋商</w:t>
      </w:r>
    </w:p>
    <w:p>
      <w:pPr>
        <w:overflowPunct w:val="0"/>
        <w:adjustRightInd w:val="0"/>
        <w:snapToGrid w:val="0"/>
        <w:spacing w:line="360" w:lineRule="auto"/>
        <w:ind w:firstLine="480" w:firstLineChars="200"/>
        <w:rPr>
          <w:rFonts w:asciiTheme="minorEastAsia" w:hAnsiTheme="minorEastAsia"/>
          <w:sz w:val="24"/>
          <w:szCs w:val="24"/>
        </w:rPr>
      </w:pPr>
      <w:bookmarkStart w:id="194" w:name="_Toc311415599"/>
      <w:r>
        <w:rPr>
          <w:rFonts w:asciiTheme="minorEastAsia" w:hAnsiTheme="minorEastAsia"/>
          <w:sz w:val="24"/>
          <w:szCs w:val="24"/>
        </w:rPr>
        <w:t>2</w:t>
      </w:r>
      <w:r>
        <w:rPr>
          <w:rFonts w:hint="eastAsia" w:asciiTheme="minorEastAsia" w:hAnsiTheme="minorEastAsia"/>
          <w:sz w:val="24"/>
          <w:szCs w:val="24"/>
        </w:rPr>
        <w:t>2</w:t>
      </w:r>
      <w:r>
        <w:rPr>
          <w:rFonts w:asciiTheme="minorEastAsia" w:hAnsiTheme="minorEastAsia"/>
          <w:sz w:val="24"/>
          <w:szCs w:val="24"/>
        </w:rPr>
        <w:t>.1 采购代理机构在磋商文件规定的时间和地点组织磋商开标。</w:t>
      </w:r>
    </w:p>
    <w:p>
      <w:pPr>
        <w:overflowPunct w:val="0"/>
        <w:adjustRightInd w:val="0"/>
        <w:snapToGrid w:val="0"/>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2</w:t>
      </w:r>
      <w:r>
        <w:rPr>
          <w:rFonts w:asciiTheme="minorEastAsia" w:hAnsiTheme="minorEastAsia"/>
          <w:sz w:val="24"/>
          <w:szCs w:val="24"/>
        </w:rPr>
        <w:t>.2</w:t>
      </w:r>
      <w:r>
        <w:rPr>
          <w:rFonts w:hint="eastAsia" w:asciiTheme="minorEastAsia" w:hAnsiTheme="minorEastAsia"/>
          <w:sz w:val="24"/>
          <w:szCs w:val="24"/>
        </w:rPr>
        <w:t>开标仪式由采购代理机构主持，采购人代表及有关人员参加。</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22.3投标供应商应派法定代表人或者授权代表出席开标会，法定代表人或者授权代表须携带有效身份证件以便核查身份。参加磋商的代表应签名报到，以证明其出席。法定代表人或者授权代表未出席的，按无效响应处理。</w:t>
      </w:r>
    </w:p>
    <w:p>
      <w:pPr>
        <w:overflowPunct w:val="0"/>
        <w:adjustRightInd w:val="0"/>
        <w:snapToGrid w:val="0"/>
        <w:spacing w:line="360" w:lineRule="auto"/>
        <w:ind w:firstLine="600" w:firstLineChars="250"/>
        <w:rPr>
          <w:rFonts w:ascii="宋体" w:hAnsi="宋体"/>
          <w:sz w:val="24"/>
          <w:szCs w:val="24"/>
        </w:rPr>
      </w:pPr>
      <w:r>
        <w:rPr>
          <w:rFonts w:ascii="宋体" w:hAnsi="宋体"/>
          <w:sz w:val="24"/>
          <w:szCs w:val="24"/>
        </w:rPr>
        <w:t>2</w:t>
      </w:r>
      <w:r>
        <w:rPr>
          <w:rFonts w:hint="eastAsia" w:ascii="宋体" w:hAnsi="宋体"/>
          <w:sz w:val="24"/>
          <w:szCs w:val="24"/>
        </w:rPr>
        <w:t>2</w:t>
      </w:r>
      <w:r>
        <w:rPr>
          <w:rFonts w:ascii="宋体" w:hAnsi="宋体"/>
          <w:sz w:val="24"/>
          <w:szCs w:val="24"/>
        </w:rPr>
        <w:t>.</w:t>
      </w:r>
      <w:r>
        <w:rPr>
          <w:rFonts w:hint="eastAsia" w:ascii="宋体" w:hAnsi="宋体"/>
          <w:sz w:val="24"/>
          <w:szCs w:val="24"/>
        </w:rPr>
        <w:t>4当众查验磋商响应文件密封情况，由投标供应商或者其推选的代表检查磋商响应文件的密封情况，以确认各投标供应商的磋商响应文件密封情况是否与递交时一致，没有被提前启封等异常情况</w:t>
      </w:r>
      <w:r>
        <w:rPr>
          <w:rFonts w:ascii="宋体" w:hAnsi="宋体"/>
          <w:sz w:val="24"/>
          <w:szCs w:val="24"/>
        </w:rPr>
        <w:t>。</w:t>
      </w:r>
    </w:p>
    <w:p>
      <w:pPr>
        <w:overflowPunct w:val="0"/>
        <w:adjustRightInd w:val="0"/>
        <w:snapToGrid w:val="0"/>
        <w:spacing w:line="360" w:lineRule="auto"/>
        <w:ind w:firstLine="600" w:firstLineChars="250"/>
        <w:rPr>
          <w:rFonts w:ascii="宋体" w:hAnsi="宋体"/>
          <w:sz w:val="24"/>
          <w:szCs w:val="24"/>
        </w:rPr>
      </w:pPr>
      <w:r>
        <w:rPr>
          <w:rFonts w:hint="eastAsia" w:ascii="宋体" w:hAnsi="宋体"/>
          <w:sz w:val="24"/>
          <w:szCs w:val="24"/>
        </w:rPr>
        <w:t>22.5</w:t>
      </w:r>
      <w:r>
        <w:rPr>
          <w:rFonts w:ascii="宋体" w:hAnsi="宋体"/>
          <w:sz w:val="24"/>
          <w:szCs w:val="24"/>
        </w:rPr>
        <w:t>对磋商响应文件的密封确认无误后，由采购代理机构工作人员</w:t>
      </w:r>
      <w:r>
        <w:rPr>
          <w:rFonts w:hint="eastAsia" w:ascii="宋体" w:hAnsi="宋体"/>
          <w:sz w:val="24"/>
          <w:szCs w:val="24"/>
        </w:rPr>
        <w:t>当众拆封磋商响应文件，</w:t>
      </w:r>
      <w:r>
        <w:rPr>
          <w:rFonts w:ascii="宋体" w:hAnsi="宋体"/>
          <w:sz w:val="24"/>
          <w:szCs w:val="24"/>
        </w:rPr>
        <w:t>以公开唱标的形式</w:t>
      </w:r>
      <w:r>
        <w:rPr>
          <w:rFonts w:hint="eastAsia" w:ascii="宋体" w:hAnsi="宋体"/>
          <w:sz w:val="24"/>
          <w:szCs w:val="24"/>
        </w:rPr>
        <w:t>宣布磋商供应商名称、</w:t>
      </w:r>
      <w:r>
        <w:rPr>
          <w:rFonts w:hint="eastAsia" w:asciiTheme="minorEastAsia" w:hAnsiTheme="minorEastAsia"/>
          <w:sz w:val="24"/>
          <w:szCs w:val="24"/>
        </w:rPr>
        <w:t>递交份数、正副本情况，</w:t>
      </w:r>
      <w:r>
        <w:rPr>
          <w:rFonts w:hint="eastAsia" w:ascii="宋体" w:hAnsi="宋体"/>
          <w:sz w:val="24"/>
          <w:szCs w:val="24"/>
        </w:rPr>
        <w:t>以及采购代理机构认为合适的其他内容</w:t>
      </w:r>
      <w:r>
        <w:rPr>
          <w:rFonts w:ascii="宋体" w:hAnsi="宋体"/>
          <w:sz w:val="24"/>
          <w:szCs w:val="24"/>
        </w:rPr>
        <w:t>。</w:t>
      </w:r>
    </w:p>
    <w:p>
      <w:pPr>
        <w:overflowPunct w:val="0"/>
        <w:adjustRightInd w:val="0"/>
        <w:snapToGrid w:val="0"/>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2</w:t>
      </w:r>
      <w:r>
        <w:rPr>
          <w:rFonts w:asciiTheme="minorEastAsia" w:hAnsiTheme="minorEastAsia"/>
          <w:sz w:val="24"/>
          <w:szCs w:val="24"/>
        </w:rPr>
        <w:t>.</w:t>
      </w:r>
      <w:r>
        <w:rPr>
          <w:rFonts w:hint="eastAsia" w:asciiTheme="minorEastAsia" w:hAnsiTheme="minorEastAsia"/>
          <w:sz w:val="24"/>
          <w:szCs w:val="24"/>
        </w:rPr>
        <w:t>6</w:t>
      </w:r>
      <w:r>
        <w:rPr>
          <w:rFonts w:asciiTheme="minorEastAsia" w:hAnsiTheme="minorEastAsia"/>
          <w:sz w:val="24"/>
          <w:szCs w:val="24"/>
        </w:rPr>
        <w:t>在开标时没有启封和宣读的响应文件将原封退回给投标供应商。</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22.7投标供应商代表对磋商过程和磋商记录有疑义，以及认为采购人、采购代理机构相关工作人员有需要回避的情形的，应当场提出询问或者回避申请，在此之后提出询问或者回避申请均为无效</w:t>
      </w:r>
      <w:r>
        <w:rPr>
          <w:rFonts w:ascii="宋体" w:hAnsi="宋体"/>
          <w:sz w:val="24"/>
          <w:szCs w:val="24"/>
        </w:rPr>
        <w:t>。</w:t>
      </w:r>
    </w:p>
    <w:p>
      <w:pPr>
        <w:overflowPunct w:val="0"/>
        <w:adjustRightInd w:val="0"/>
        <w:snapToGrid w:val="0"/>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2</w:t>
      </w:r>
      <w:r>
        <w:rPr>
          <w:rFonts w:asciiTheme="minorEastAsia" w:hAnsiTheme="minorEastAsia"/>
          <w:sz w:val="24"/>
          <w:szCs w:val="24"/>
        </w:rPr>
        <w:t>.</w:t>
      </w:r>
      <w:r>
        <w:rPr>
          <w:rFonts w:hint="eastAsia" w:asciiTheme="minorEastAsia" w:hAnsiTheme="minorEastAsia"/>
          <w:sz w:val="24"/>
          <w:szCs w:val="24"/>
        </w:rPr>
        <w:t>8</w:t>
      </w:r>
      <w:r>
        <w:rPr>
          <w:rFonts w:asciiTheme="minorEastAsia" w:hAnsiTheme="minorEastAsia"/>
          <w:sz w:val="24"/>
          <w:szCs w:val="24"/>
        </w:rPr>
        <w:t>采购代理机构将做开标记录，存档备查。</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22.9磋商截止时间后投标供应商不足三家的，不进行磋商</w:t>
      </w:r>
      <w:r>
        <w:rPr>
          <w:rFonts w:asciiTheme="minorEastAsia" w:hAnsiTheme="minorEastAsia"/>
          <w:sz w:val="24"/>
          <w:szCs w:val="24"/>
        </w:rPr>
        <w:t>。</w:t>
      </w:r>
    </w:p>
    <w:p>
      <w:pPr>
        <w:overflowPunct w:val="0"/>
        <w:adjustRightInd w:val="0"/>
        <w:snapToGrid w:val="0"/>
        <w:spacing w:line="360" w:lineRule="auto"/>
        <w:rPr>
          <w:rFonts w:ascii="宋体" w:hAnsi="宋体"/>
          <w:b/>
          <w:sz w:val="24"/>
          <w:szCs w:val="24"/>
        </w:rPr>
      </w:pPr>
      <w:r>
        <w:rPr>
          <w:rFonts w:hint="eastAsia" w:asciiTheme="minorEastAsia" w:hAnsiTheme="minorEastAsia" w:eastAsiaTheme="minorEastAsia"/>
          <w:b/>
          <w:sz w:val="24"/>
          <w:szCs w:val="24"/>
        </w:rPr>
        <w:t>23、</w:t>
      </w:r>
      <w:r>
        <w:rPr>
          <w:rFonts w:hint="eastAsia" w:ascii="宋体" w:hAnsi="宋体"/>
          <w:b/>
          <w:sz w:val="24"/>
          <w:szCs w:val="24"/>
        </w:rPr>
        <w:t>采购人或采购代理机构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23.1</w:t>
      </w:r>
      <w:r>
        <w:rPr>
          <w:rFonts w:ascii="宋体" w:hAnsi="宋体"/>
          <w:sz w:val="24"/>
          <w:szCs w:val="24"/>
        </w:rPr>
        <w:t>核对评审专家身份和采购人代表授权函，对评审专家在政府采购活动中的职责履行情况予以记录，并及时将有关违法违规行为向财政部门报告；</w:t>
      </w:r>
    </w:p>
    <w:p>
      <w:pPr>
        <w:overflowPunct w:val="0"/>
        <w:adjustRightInd w:val="0"/>
        <w:snapToGrid w:val="0"/>
        <w:spacing w:line="360" w:lineRule="auto"/>
        <w:ind w:firstLine="480" w:firstLineChars="200"/>
        <w:rPr>
          <w:rFonts w:hint="eastAsia" w:ascii="ˎ̥" w:hAnsi="ˎ̥"/>
          <w:sz w:val="27"/>
          <w:szCs w:val="27"/>
        </w:rPr>
      </w:pPr>
      <w:r>
        <w:rPr>
          <w:rFonts w:hint="eastAsia" w:ascii="宋体" w:hAnsi="宋体"/>
          <w:sz w:val="24"/>
          <w:szCs w:val="24"/>
        </w:rPr>
        <w:t xml:space="preserve">23.2 </w:t>
      </w:r>
      <w:r>
        <w:rPr>
          <w:rFonts w:ascii="宋体" w:hAnsi="宋体"/>
          <w:sz w:val="24"/>
          <w:szCs w:val="24"/>
        </w:rPr>
        <w:t>宣布评审纪律；</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 xml:space="preserve">23.3 </w:t>
      </w:r>
      <w:r>
        <w:rPr>
          <w:rFonts w:ascii="宋体" w:hAnsi="宋体"/>
          <w:sz w:val="24"/>
          <w:szCs w:val="24"/>
        </w:rPr>
        <w:t>公布投标供应商名单，告知评审专家应当回避的情形；</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 xml:space="preserve">23.4 </w:t>
      </w:r>
      <w:r>
        <w:rPr>
          <w:rFonts w:ascii="宋体" w:hAnsi="宋体"/>
          <w:sz w:val="24"/>
          <w:szCs w:val="24"/>
        </w:rPr>
        <w:t>组织磋商小组推选评审组长，采购人代表不得担任组长；</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 xml:space="preserve">23.5 </w:t>
      </w:r>
      <w:r>
        <w:rPr>
          <w:rFonts w:ascii="宋体" w:hAnsi="宋体"/>
          <w:sz w:val="24"/>
          <w:szCs w:val="24"/>
        </w:rPr>
        <w:t>在评审期间采取必要的通讯管理措施，保证评审活动不受外界干扰；</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 xml:space="preserve">23.6 </w:t>
      </w:r>
      <w:r>
        <w:rPr>
          <w:rFonts w:ascii="宋体" w:hAnsi="宋体"/>
          <w:sz w:val="24"/>
          <w:szCs w:val="24"/>
        </w:rPr>
        <w:t>根据磋商小组的要求介绍政府采购相关政策法规、磋商文件</w:t>
      </w:r>
      <w:r>
        <w:rPr>
          <w:rFonts w:hint="eastAsia"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23.7</w:t>
      </w:r>
      <w:r>
        <w:rPr>
          <w:rFonts w:ascii="宋体" w:hAnsi="宋体"/>
          <w:sz w:val="24"/>
          <w:szCs w:val="24"/>
        </w:rPr>
        <w:t>维护评审秩序，监督磋商小组依照磋商文件规定的评审程序、方法和标准进行独立评审，及时制止和纠正采购人代表、评审专家的倾向性言论或者违法违规行为；</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23.8</w:t>
      </w:r>
      <w:r>
        <w:rPr>
          <w:rFonts w:ascii="宋体" w:hAnsi="宋体"/>
          <w:sz w:val="24"/>
          <w:szCs w:val="24"/>
        </w:rPr>
        <w:t>核对评审结果</w:t>
      </w:r>
      <w:r>
        <w:rPr>
          <w:rFonts w:hint="eastAsia" w:ascii="宋体" w:hAnsi="宋体"/>
          <w:sz w:val="24"/>
          <w:szCs w:val="24"/>
        </w:rPr>
        <w:t>，</w:t>
      </w:r>
      <w:r>
        <w:rPr>
          <w:rFonts w:ascii="宋体" w:hAnsi="宋体"/>
          <w:sz w:val="24"/>
          <w:szCs w:val="24"/>
        </w:rPr>
        <w:t>有分值汇总计算错误的</w:t>
      </w:r>
      <w:r>
        <w:rPr>
          <w:rFonts w:hint="eastAsia" w:ascii="宋体" w:hAnsi="宋体"/>
          <w:sz w:val="24"/>
          <w:szCs w:val="24"/>
        </w:rPr>
        <w:t>、</w:t>
      </w:r>
      <w:r>
        <w:rPr>
          <w:rFonts w:ascii="宋体" w:hAnsi="宋体"/>
          <w:sz w:val="24"/>
          <w:szCs w:val="24"/>
        </w:rPr>
        <w:t>分项评分超出评分标准范围的</w:t>
      </w:r>
      <w:r>
        <w:rPr>
          <w:rFonts w:hint="eastAsia" w:ascii="宋体" w:hAnsi="宋体"/>
          <w:sz w:val="24"/>
          <w:szCs w:val="24"/>
        </w:rPr>
        <w:t>、</w:t>
      </w:r>
      <w:r>
        <w:rPr>
          <w:rFonts w:ascii="宋体" w:hAnsi="宋体"/>
          <w:sz w:val="24"/>
          <w:szCs w:val="24"/>
        </w:rPr>
        <w:t>磋商小组成员对客观评审因素评分不一致的</w:t>
      </w:r>
      <w:r>
        <w:rPr>
          <w:rFonts w:hint="eastAsia" w:ascii="宋体" w:hAnsi="宋体"/>
          <w:sz w:val="24"/>
          <w:szCs w:val="24"/>
        </w:rPr>
        <w:t>、</w:t>
      </w:r>
      <w:r>
        <w:rPr>
          <w:rFonts w:ascii="宋体" w:hAnsi="宋体"/>
          <w:sz w:val="24"/>
          <w:szCs w:val="24"/>
        </w:rPr>
        <w:t>经磋商小组认定评分畸高、畸低的</w:t>
      </w:r>
      <w:r>
        <w:rPr>
          <w:rFonts w:hint="eastAsia" w:ascii="宋体" w:hAnsi="宋体"/>
          <w:sz w:val="24"/>
          <w:szCs w:val="24"/>
        </w:rPr>
        <w:t>，</w:t>
      </w:r>
      <w:r>
        <w:rPr>
          <w:rFonts w:ascii="宋体" w:hAnsi="宋体"/>
          <w:sz w:val="24"/>
          <w:szCs w:val="24"/>
        </w:rPr>
        <w:t>要求磋商小组复核或者书面说明理由</w:t>
      </w:r>
      <w:r>
        <w:rPr>
          <w:rFonts w:hint="eastAsia" w:ascii="宋体" w:hAnsi="宋体"/>
          <w:sz w:val="24"/>
          <w:szCs w:val="24"/>
        </w:rPr>
        <w:t>。磋商小组</w:t>
      </w:r>
      <w:r>
        <w:rPr>
          <w:rFonts w:ascii="宋体" w:hAnsi="宋体"/>
          <w:sz w:val="24"/>
          <w:szCs w:val="24"/>
        </w:rPr>
        <w:t>拒绝的，应予记录并向本级财政部门报告；</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23.9</w:t>
      </w:r>
      <w:r>
        <w:rPr>
          <w:rFonts w:ascii="宋体" w:hAnsi="宋体"/>
          <w:sz w:val="24"/>
          <w:szCs w:val="24"/>
        </w:rPr>
        <w:t>与评审有关的其他事项</w:t>
      </w:r>
      <w:r>
        <w:rPr>
          <w:rFonts w:hint="eastAsia" w:ascii="宋体" w:hAnsi="宋体"/>
          <w:sz w:val="24"/>
          <w:szCs w:val="24"/>
        </w:rPr>
        <w:t>。</w:t>
      </w:r>
    </w:p>
    <w:p>
      <w:pPr>
        <w:overflowPunct w:val="0"/>
        <w:adjustRightInd w:val="0"/>
        <w:snapToGrid w:val="0"/>
        <w:spacing w:line="360" w:lineRule="auto"/>
        <w:rPr>
          <w:rFonts w:asciiTheme="minorEastAsia" w:hAnsiTheme="minorEastAsia"/>
          <w:sz w:val="24"/>
          <w:szCs w:val="24"/>
        </w:rPr>
      </w:pPr>
      <w:r>
        <w:rPr>
          <w:rFonts w:hint="eastAsia" w:asciiTheme="minorEastAsia" w:hAnsiTheme="minorEastAsia"/>
          <w:b/>
          <w:sz w:val="24"/>
          <w:szCs w:val="24"/>
        </w:rPr>
        <w:t>2</w:t>
      </w:r>
      <w:bookmarkEnd w:id="194"/>
      <w:r>
        <w:rPr>
          <w:rFonts w:hint="eastAsia" w:asciiTheme="minorEastAsia" w:hAnsiTheme="minorEastAsia"/>
          <w:b/>
          <w:sz w:val="24"/>
          <w:szCs w:val="24"/>
        </w:rPr>
        <w:t xml:space="preserve">4、磋商小组 </w:t>
      </w:r>
    </w:p>
    <w:p>
      <w:pPr>
        <w:overflowPunct w:val="0"/>
        <w:adjustRightInd w:val="0"/>
        <w:snapToGrid w:val="0"/>
        <w:spacing w:line="360" w:lineRule="auto"/>
        <w:ind w:firstLine="480" w:firstLineChars="200"/>
        <w:rPr>
          <w:rFonts w:ascii="宋体" w:hAnsi="宋体"/>
          <w:sz w:val="24"/>
          <w:szCs w:val="24"/>
        </w:rPr>
      </w:pPr>
      <w:bookmarkStart w:id="195" w:name="_Toc311415601"/>
      <w:r>
        <w:rPr>
          <w:rFonts w:hint="eastAsia" w:ascii="宋体" w:hAnsi="宋体"/>
          <w:sz w:val="24"/>
          <w:szCs w:val="24"/>
        </w:rPr>
        <w:t>24.1 采购方将根据本次磋商项目的特点，参照《中华人民共和国政府采购法》等有关规定组建磋商小组；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24.2磋商小组成员由采购人及评审专家组成，负责评审活动。专家人选在专家库中随机抽取，</w:t>
      </w:r>
      <w:r>
        <w:rPr>
          <w:rFonts w:ascii="宋体" w:hAnsi="宋体"/>
          <w:sz w:val="24"/>
          <w:szCs w:val="24"/>
        </w:rPr>
        <w:t>其中评审专家不得少于成员总数的三分之二</w:t>
      </w:r>
      <w:r>
        <w:rPr>
          <w:rFonts w:hint="eastAsia"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24.3评审专家从省级以上财政部门设立的政府采购评审专家库中，通过随机方式抽取评审专家；</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24.4 磋商小组成员对各供应商磋商响应文件资格证明文件进行</w:t>
      </w:r>
      <w:r>
        <w:rPr>
          <w:rFonts w:ascii="宋体" w:hAnsi="宋体"/>
          <w:sz w:val="24"/>
          <w:szCs w:val="24"/>
        </w:rPr>
        <w:t>审查、评价磋商响应文件是否符合</w:t>
      </w:r>
      <w:r>
        <w:rPr>
          <w:rFonts w:hint="eastAsia" w:ascii="宋体" w:hAnsi="宋体"/>
          <w:sz w:val="24"/>
          <w:szCs w:val="24"/>
        </w:rPr>
        <w:t>磋商</w:t>
      </w:r>
      <w:r>
        <w:rPr>
          <w:rFonts w:ascii="宋体" w:hAnsi="宋体"/>
          <w:sz w:val="24"/>
          <w:szCs w:val="24"/>
        </w:rPr>
        <w:t>文件的商务、技术等实质性要求；</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24.5</w:t>
      </w:r>
      <w:r>
        <w:rPr>
          <w:rFonts w:ascii="宋体" w:hAnsi="宋体"/>
          <w:sz w:val="24"/>
          <w:szCs w:val="24"/>
        </w:rPr>
        <w:t>要求投标供应商对磋商响应文件有关事项作出澄清或者说明；</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24.6与各供应商就磋商响应文件（含澄清、说明或补正的内容）中的技术指标、实施方案、磋商报价、业绩、商务响应等进行磋商；</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24.7依据磋商文件，并视磋商情况，确定进入最终评审的供应商</w:t>
      </w:r>
      <w:r>
        <w:rPr>
          <w:rFonts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24.8排序推荐成交</w:t>
      </w:r>
      <w:bookmarkStart w:id="363" w:name="_GoBack"/>
      <w:bookmarkEnd w:id="363"/>
      <w:r>
        <w:rPr>
          <w:rFonts w:hint="eastAsia" w:ascii="宋体" w:hAnsi="宋体"/>
          <w:sz w:val="24"/>
          <w:szCs w:val="24"/>
          <w:lang w:eastAsia="zh-CN"/>
        </w:rPr>
        <w:t>候选人</w:t>
      </w:r>
      <w:r>
        <w:rPr>
          <w:rFonts w:hint="eastAsia"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24.9</w:t>
      </w:r>
      <w:r>
        <w:rPr>
          <w:rFonts w:ascii="宋体" w:hAnsi="宋体"/>
          <w:sz w:val="24"/>
          <w:szCs w:val="24"/>
        </w:rPr>
        <w:t>向采购人、</w:t>
      </w:r>
      <w:r>
        <w:rPr>
          <w:rFonts w:hint="eastAsia" w:ascii="宋体" w:hAnsi="宋体"/>
          <w:sz w:val="24"/>
          <w:szCs w:val="24"/>
        </w:rPr>
        <w:t>采购代理</w:t>
      </w:r>
      <w:r>
        <w:rPr>
          <w:rFonts w:ascii="宋体" w:hAnsi="宋体"/>
          <w:sz w:val="24"/>
          <w:szCs w:val="24"/>
        </w:rPr>
        <w:t>机构或者有关部门报告评审中发现的违法行为</w:t>
      </w:r>
      <w:r>
        <w:rPr>
          <w:rFonts w:hint="eastAsia" w:ascii="宋体" w:hAnsi="宋体"/>
          <w:sz w:val="24"/>
          <w:szCs w:val="24"/>
        </w:rPr>
        <w:t>（如果有）；</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24.10磋商小组有权对整个磋商过程中出现的一切问题，根据《中华人民共和国政府采购法》和《政府采购货物和服务招标管理办法》的规定，本着公开、公平、公正的原则，进行处理。</w:t>
      </w:r>
    </w:p>
    <w:p>
      <w:pPr>
        <w:overflowPunct w:val="0"/>
        <w:adjustRightInd w:val="0"/>
        <w:snapToGrid w:val="0"/>
        <w:spacing w:line="360" w:lineRule="auto"/>
        <w:rPr>
          <w:rFonts w:asciiTheme="minorEastAsia" w:hAnsiTheme="minorEastAsia"/>
          <w:b/>
          <w:sz w:val="24"/>
          <w:szCs w:val="24"/>
        </w:rPr>
      </w:pPr>
      <w:r>
        <w:rPr>
          <w:rFonts w:hint="eastAsia" w:asciiTheme="minorEastAsia" w:hAnsiTheme="minorEastAsia"/>
          <w:b/>
          <w:sz w:val="24"/>
          <w:szCs w:val="24"/>
        </w:rPr>
        <w:t>25、磋商响应文件的初审</w:t>
      </w:r>
      <w:bookmarkEnd w:id="195"/>
    </w:p>
    <w:p>
      <w:pPr>
        <w:overflowPunct w:val="0"/>
        <w:adjustRightInd w:val="0"/>
        <w:snapToGrid w:val="0"/>
        <w:spacing w:line="360" w:lineRule="auto"/>
        <w:ind w:firstLine="480" w:firstLineChars="200"/>
        <w:rPr>
          <w:rFonts w:ascii="宋体" w:hAnsi="宋体"/>
          <w:sz w:val="24"/>
          <w:szCs w:val="24"/>
        </w:rPr>
      </w:pPr>
      <w:r>
        <w:rPr>
          <w:rFonts w:hint="eastAsia" w:asciiTheme="minorEastAsia" w:hAnsiTheme="minorEastAsia" w:eastAsiaTheme="minorEastAsia"/>
          <w:sz w:val="24"/>
          <w:szCs w:val="24"/>
        </w:rPr>
        <w:t>25.1磋商响应</w:t>
      </w:r>
      <w:r>
        <w:rPr>
          <w:rFonts w:hint="eastAsia" w:ascii="宋体" w:hAnsi="宋体"/>
          <w:sz w:val="24"/>
          <w:szCs w:val="24"/>
        </w:rPr>
        <w:t>文件的资格性审查：依据法律法规和磋商文件的规定，对投标供应商按照磋商文件中投标供应商须知前附表第十一条进行资格审查，以确保投标供应商是否具备相应的投标资格，任意一条不符合要求的，按无效响应处理（不进入下一个评审环节）。</w:t>
      </w:r>
    </w:p>
    <w:tbl>
      <w:tblPr>
        <w:tblStyle w:val="20"/>
        <w:tblW w:w="9229" w:type="dxa"/>
        <w:tblInd w:w="93" w:type="dxa"/>
        <w:tblLayout w:type="fixed"/>
        <w:tblCellMar>
          <w:top w:w="0" w:type="dxa"/>
          <w:left w:w="108" w:type="dxa"/>
          <w:bottom w:w="0" w:type="dxa"/>
          <w:right w:w="108" w:type="dxa"/>
        </w:tblCellMar>
      </w:tblPr>
      <w:tblGrid>
        <w:gridCol w:w="724"/>
        <w:gridCol w:w="6095"/>
        <w:gridCol w:w="2410"/>
      </w:tblGrid>
      <w:tr>
        <w:tblPrEx>
          <w:tblCellMar>
            <w:top w:w="0" w:type="dxa"/>
            <w:left w:w="108" w:type="dxa"/>
            <w:bottom w:w="0" w:type="dxa"/>
            <w:right w:w="108" w:type="dxa"/>
          </w:tblCellMar>
        </w:tblPrEx>
        <w:trPr>
          <w:trHeight w:val="285"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序号</w:t>
            </w:r>
          </w:p>
        </w:tc>
        <w:tc>
          <w:tcPr>
            <w:tcW w:w="6095"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b/>
                <w:bCs/>
                <w:kern w:val="0"/>
                <w:sz w:val="24"/>
                <w:szCs w:val="24"/>
              </w:rPr>
            </w:pPr>
            <w:r>
              <w:rPr>
                <w:rFonts w:hint="eastAsia" w:ascii="宋体" w:hAnsi="宋体" w:cs="宋体"/>
                <w:b/>
                <w:bCs/>
                <w:kern w:val="0"/>
                <w:sz w:val="24"/>
                <w:szCs w:val="24"/>
              </w:rPr>
              <w:t>评审因素</w:t>
            </w:r>
          </w:p>
        </w:tc>
        <w:tc>
          <w:tcPr>
            <w:tcW w:w="2410"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b/>
                <w:bCs/>
                <w:kern w:val="0"/>
                <w:sz w:val="24"/>
                <w:szCs w:val="24"/>
              </w:rPr>
            </w:pPr>
            <w:r>
              <w:rPr>
                <w:rFonts w:hint="eastAsia" w:ascii="宋体" w:hAnsi="宋体" w:cs="宋体"/>
                <w:b/>
                <w:bCs/>
                <w:kern w:val="0"/>
                <w:sz w:val="24"/>
                <w:szCs w:val="24"/>
              </w:rPr>
              <w:t>评审标准</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1</w:t>
            </w:r>
          </w:p>
        </w:tc>
        <w:tc>
          <w:tcPr>
            <w:tcW w:w="6095" w:type="dxa"/>
            <w:tcBorders>
              <w:top w:val="nil"/>
              <w:left w:val="nil"/>
              <w:bottom w:val="single" w:color="auto" w:sz="4" w:space="0"/>
              <w:right w:val="single" w:color="auto" w:sz="4" w:space="0"/>
            </w:tcBorders>
            <w:vAlign w:val="center"/>
          </w:tcPr>
          <w:p>
            <w:pPr>
              <w:spacing w:line="360" w:lineRule="auto"/>
              <w:rPr>
                <w:rFonts w:ascii="宋体" w:hAnsi="宋体" w:cs="仿宋"/>
                <w:sz w:val="24"/>
                <w:szCs w:val="24"/>
              </w:rPr>
            </w:pPr>
            <w:r>
              <w:rPr>
                <w:rFonts w:hint="eastAsia" w:asciiTheme="minorEastAsia" w:hAnsiTheme="minorEastAsia" w:eastAsiaTheme="minorEastAsia"/>
                <w:kern w:val="0"/>
                <w:sz w:val="24"/>
              </w:rPr>
              <w:t>投标供应商为</w:t>
            </w:r>
            <w:r>
              <w:rPr>
                <w:rFonts w:hint="eastAsia" w:ascii="宋体" w:hAnsi="宋体" w:cs="仿宋"/>
                <w:sz w:val="24"/>
                <w:szCs w:val="24"/>
              </w:rPr>
              <w:t>独立承担民事责任能力的法人、其他组织或自然人，企业法人、其他组织须提供合法有效的营业执照（或事业单位法人证书）等证明资料,自然人须提供身份证明</w:t>
            </w:r>
          </w:p>
        </w:tc>
        <w:tc>
          <w:tcPr>
            <w:tcW w:w="2410" w:type="dxa"/>
            <w:tcBorders>
              <w:top w:val="nil"/>
              <w:left w:val="nil"/>
              <w:bottom w:val="single" w:color="auto" w:sz="4" w:space="0"/>
              <w:right w:val="single" w:color="auto" w:sz="4" w:space="0"/>
            </w:tcBorders>
            <w:vAlign w:val="center"/>
          </w:tcPr>
          <w:p>
            <w:pPr>
              <w:spacing w:line="360" w:lineRule="auto"/>
              <w:rPr>
                <w:rFonts w:ascii="宋体" w:hAnsi="宋体" w:cs="仿宋"/>
                <w:sz w:val="24"/>
                <w:szCs w:val="24"/>
              </w:rPr>
            </w:pPr>
            <w:r>
              <w:rPr>
                <w:rFonts w:hint="eastAsia" w:ascii="宋体" w:hAnsi="宋体" w:cs="仿宋"/>
                <w:sz w:val="24"/>
                <w:szCs w:val="24"/>
              </w:rPr>
              <w:t>符合磋商文件要求,合法有效。</w:t>
            </w:r>
          </w:p>
        </w:tc>
      </w:tr>
      <w:tr>
        <w:tblPrEx>
          <w:tblCellMar>
            <w:top w:w="0" w:type="dxa"/>
            <w:left w:w="108" w:type="dxa"/>
            <w:bottom w:w="0" w:type="dxa"/>
            <w:right w:w="108" w:type="dxa"/>
          </w:tblCellMar>
        </w:tblPrEx>
        <w:trPr>
          <w:trHeight w:val="480"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2</w:t>
            </w:r>
          </w:p>
        </w:tc>
        <w:tc>
          <w:tcPr>
            <w:tcW w:w="6095" w:type="dxa"/>
            <w:tcBorders>
              <w:top w:val="nil"/>
              <w:left w:val="nil"/>
              <w:bottom w:val="single" w:color="auto" w:sz="4" w:space="0"/>
              <w:right w:val="single" w:color="auto" w:sz="4" w:space="0"/>
            </w:tcBorders>
            <w:vAlign w:val="center"/>
          </w:tcPr>
          <w:p>
            <w:pPr>
              <w:spacing w:line="360" w:lineRule="auto"/>
              <w:rPr>
                <w:rFonts w:ascii="宋体" w:hAnsi="宋体" w:cs="仿宋"/>
                <w:sz w:val="24"/>
                <w:szCs w:val="24"/>
              </w:rPr>
            </w:pPr>
            <w:r>
              <w:rPr>
                <w:rFonts w:ascii="宋体" w:hAnsi="宋体"/>
                <w:sz w:val="24"/>
                <w:szCs w:val="24"/>
              </w:rPr>
              <w:t>提供法定代表人授权委托书（附法定代表人及被授权人身份证复印件</w:t>
            </w:r>
            <w:r>
              <w:rPr>
                <w:rFonts w:hint="eastAsia" w:ascii="宋体" w:hAnsi="宋体"/>
                <w:sz w:val="24"/>
                <w:szCs w:val="24"/>
              </w:rPr>
              <w:t>)</w:t>
            </w:r>
            <w:r>
              <w:rPr>
                <w:rFonts w:ascii="宋体" w:hAnsi="宋体"/>
                <w:sz w:val="24"/>
                <w:szCs w:val="24"/>
              </w:rPr>
              <w:t>，法定代表人直接参加需提供法定代表人身份证</w:t>
            </w:r>
            <w:r>
              <w:rPr>
                <w:rFonts w:hint="eastAsia" w:ascii="宋体" w:hAnsi="宋体"/>
                <w:sz w:val="24"/>
                <w:szCs w:val="24"/>
              </w:rPr>
              <w:t>明及身份证原件</w:t>
            </w:r>
          </w:p>
        </w:tc>
        <w:tc>
          <w:tcPr>
            <w:tcW w:w="2410" w:type="dxa"/>
            <w:tcBorders>
              <w:top w:val="nil"/>
              <w:left w:val="nil"/>
              <w:bottom w:val="single" w:color="auto" w:sz="4" w:space="0"/>
              <w:right w:val="single" w:color="auto" w:sz="4" w:space="0"/>
            </w:tcBorders>
            <w:vAlign w:val="center"/>
          </w:tcPr>
          <w:p>
            <w:pPr>
              <w:spacing w:line="360" w:lineRule="auto"/>
              <w:jc w:val="left"/>
              <w:rPr>
                <w:rFonts w:ascii="宋体" w:hAnsi="宋体" w:cs="仿宋"/>
                <w:sz w:val="24"/>
                <w:szCs w:val="24"/>
              </w:rPr>
            </w:pPr>
            <w:r>
              <w:rPr>
                <w:rFonts w:hint="eastAsia" w:ascii="宋体" w:hAnsi="宋体" w:cs="仿宋"/>
                <w:sz w:val="24"/>
                <w:szCs w:val="24"/>
              </w:rPr>
              <w:t>符合磋商文件要求,合法有效。</w:t>
            </w:r>
          </w:p>
        </w:tc>
      </w:tr>
      <w:tr>
        <w:tblPrEx>
          <w:tblCellMar>
            <w:top w:w="0" w:type="dxa"/>
            <w:left w:w="108" w:type="dxa"/>
            <w:bottom w:w="0" w:type="dxa"/>
            <w:right w:w="108" w:type="dxa"/>
          </w:tblCellMar>
        </w:tblPrEx>
        <w:trPr>
          <w:trHeight w:val="889" w:hRule="atLeast"/>
        </w:trPr>
        <w:tc>
          <w:tcPr>
            <w:tcW w:w="724" w:type="dxa"/>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3</w:t>
            </w:r>
          </w:p>
        </w:tc>
        <w:tc>
          <w:tcPr>
            <w:tcW w:w="6095" w:type="dxa"/>
            <w:tcBorders>
              <w:top w:val="nil"/>
              <w:left w:val="nil"/>
              <w:bottom w:val="single" w:color="auto" w:sz="4" w:space="0"/>
              <w:right w:val="single" w:color="auto" w:sz="4" w:space="0"/>
            </w:tcBorders>
            <w:vAlign w:val="center"/>
          </w:tcPr>
          <w:p>
            <w:pPr>
              <w:spacing w:line="360" w:lineRule="auto"/>
              <w:rPr>
                <w:rFonts w:ascii="宋体" w:hAnsi="宋体" w:cs="仿宋"/>
                <w:sz w:val="24"/>
                <w:szCs w:val="24"/>
              </w:rPr>
            </w:pPr>
            <w:r>
              <w:rPr>
                <w:rFonts w:ascii="宋体" w:hAnsi="宋体"/>
                <w:sz w:val="24"/>
                <w:szCs w:val="24"/>
              </w:rPr>
              <w:t>提供</w:t>
            </w:r>
            <w:r>
              <w:rPr>
                <w:rFonts w:hint="eastAsia" w:ascii="宋体" w:hAnsi="宋体" w:cs="仿宋"/>
                <w:sz w:val="24"/>
                <w:szCs w:val="24"/>
              </w:rPr>
              <w:t>参加本次政府采购活动前三年内在经营活动中没有重大违法记录的书面声明函（原件）</w:t>
            </w:r>
          </w:p>
        </w:tc>
        <w:tc>
          <w:tcPr>
            <w:tcW w:w="2410" w:type="dxa"/>
            <w:tcBorders>
              <w:top w:val="nil"/>
              <w:left w:val="nil"/>
              <w:bottom w:val="single" w:color="auto" w:sz="4" w:space="0"/>
              <w:right w:val="single" w:color="auto" w:sz="4" w:space="0"/>
            </w:tcBorders>
            <w:vAlign w:val="center"/>
          </w:tcPr>
          <w:p>
            <w:pPr>
              <w:spacing w:line="360" w:lineRule="auto"/>
              <w:jc w:val="left"/>
              <w:rPr>
                <w:rFonts w:ascii="宋体" w:hAnsi="宋体" w:cs="仿宋"/>
                <w:sz w:val="24"/>
                <w:szCs w:val="24"/>
              </w:rPr>
            </w:pPr>
            <w:r>
              <w:rPr>
                <w:rFonts w:hint="eastAsia" w:ascii="宋体" w:hAnsi="宋体" w:cs="仿宋"/>
                <w:sz w:val="24"/>
                <w:szCs w:val="24"/>
              </w:rPr>
              <w:t>符合磋商文件要求,合法有效。</w:t>
            </w:r>
          </w:p>
        </w:tc>
      </w:tr>
      <w:tr>
        <w:tblPrEx>
          <w:tblCellMar>
            <w:top w:w="0" w:type="dxa"/>
            <w:left w:w="108" w:type="dxa"/>
            <w:bottom w:w="0" w:type="dxa"/>
            <w:right w:w="108" w:type="dxa"/>
          </w:tblCellMar>
        </w:tblPrEx>
        <w:trPr>
          <w:trHeight w:val="889" w:hRule="atLeast"/>
        </w:trPr>
        <w:tc>
          <w:tcPr>
            <w:tcW w:w="724" w:type="dxa"/>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4</w:t>
            </w:r>
          </w:p>
        </w:tc>
        <w:tc>
          <w:tcPr>
            <w:tcW w:w="6095" w:type="dxa"/>
            <w:tcBorders>
              <w:top w:val="nil"/>
              <w:left w:val="nil"/>
              <w:bottom w:val="single" w:color="auto" w:sz="4" w:space="0"/>
              <w:right w:val="single" w:color="auto" w:sz="4" w:space="0"/>
            </w:tcBorders>
            <w:vAlign w:val="center"/>
          </w:tcPr>
          <w:p>
            <w:pPr>
              <w:spacing w:line="360" w:lineRule="auto"/>
              <w:rPr>
                <w:rFonts w:ascii="宋体" w:hAnsi="宋体" w:cs="仿宋"/>
                <w:sz w:val="24"/>
                <w:szCs w:val="24"/>
              </w:rPr>
            </w:pPr>
            <w:r>
              <w:rPr>
                <w:rFonts w:ascii="宋体" w:hAnsi="宋体"/>
                <w:sz w:val="24"/>
                <w:szCs w:val="24"/>
              </w:rPr>
              <w:t>提供</w:t>
            </w:r>
            <w:r>
              <w:rPr>
                <w:rFonts w:hint="eastAsia" w:ascii="宋体" w:hAnsi="宋体" w:cs="仿宋"/>
                <w:sz w:val="24"/>
                <w:szCs w:val="24"/>
              </w:rPr>
              <w:t>近六个月内任意一个月依法缴纳社会保障资金的证明文件；</w:t>
            </w:r>
            <w:r>
              <w:rPr>
                <w:rFonts w:ascii="宋体" w:hAnsi="宋体"/>
                <w:sz w:val="24"/>
                <w:szCs w:val="24"/>
              </w:rPr>
              <w:t>提供</w:t>
            </w:r>
            <w:r>
              <w:rPr>
                <w:rFonts w:hint="eastAsia" w:ascii="宋体" w:hAnsi="宋体" w:cs="仿宋"/>
                <w:sz w:val="24"/>
                <w:szCs w:val="24"/>
              </w:rPr>
              <w:t>近六个月内任意一个月依法缴纳税收的良好记录</w:t>
            </w:r>
          </w:p>
        </w:tc>
        <w:tc>
          <w:tcPr>
            <w:tcW w:w="2410" w:type="dxa"/>
            <w:tcBorders>
              <w:top w:val="nil"/>
              <w:left w:val="nil"/>
              <w:bottom w:val="single" w:color="auto" w:sz="4" w:space="0"/>
              <w:right w:val="single" w:color="auto" w:sz="4" w:space="0"/>
            </w:tcBorders>
            <w:vAlign w:val="center"/>
          </w:tcPr>
          <w:p>
            <w:pPr>
              <w:spacing w:line="360" w:lineRule="auto"/>
              <w:jc w:val="left"/>
              <w:rPr>
                <w:rFonts w:ascii="宋体" w:hAnsi="宋体" w:cs="仿宋"/>
                <w:sz w:val="24"/>
                <w:szCs w:val="24"/>
              </w:rPr>
            </w:pPr>
            <w:r>
              <w:rPr>
                <w:rFonts w:hint="eastAsia" w:ascii="宋体" w:hAnsi="宋体" w:cs="仿宋"/>
                <w:sz w:val="24"/>
                <w:szCs w:val="24"/>
              </w:rPr>
              <w:t>符合磋商文件要求,合法有效。</w:t>
            </w:r>
          </w:p>
        </w:tc>
      </w:tr>
      <w:tr>
        <w:tblPrEx>
          <w:tblCellMar>
            <w:top w:w="0" w:type="dxa"/>
            <w:left w:w="108" w:type="dxa"/>
            <w:bottom w:w="0" w:type="dxa"/>
            <w:right w:w="108" w:type="dxa"/>
          </w:tblCellMar>
        </w:tblPrEx>
        <w:trPr>
          <w:trHeight w:val="889"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5</w:t>
            </w:r>
          </w:p>
        </w:tc>
        <w:tc>
          <w:tcPr>
            <w:tcW w:w="6095"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olor w:val="FF0000"/>
                <w:sz w:val="24"/>
                <w:szCs w:val="24"/>
              </w:rPr>
            </w:pPr>
            <w:r>
              <w:rPr>
                <w:rFonts w:hint="eastAsia" w:cs="宋体"/>
                <w:color w:val="FF0000"/>
                <w:sz w:val="24"/>
                <w:szCs w:val="24"/>
                <w:shd w:val="clear" w:color="auto" w:fill="FFFFFF"/>
              </w:rPr>
              <w:t>提供中华人民共和国金融许可证的国有商业银行、股份制商业银行、邮政储蓄银行、城市商业银行、农村商业银行、农村合作银行、农村信用合作联社及政策性银行或银行分支机构（如分支机构参与投标，则需有省级分行的唯一授权）</w:t>
            </w:r>
          </w:p>
        </w:tc>
        <w:tc>
          <w:tcPr>
            <w:tcW w:w="2410" w:type="dxa"/>
            <w:tcBorders>
              <w:top w:val="single" w:color="auto" w:sz="4" w:space="0"/>
              <w:left w:val="nil"/>
              <w:bottom w:val="single" w:color="auto" w:sz="4" w:space="0"/>
              <w:right w:val="single" w:color="auto" w:sz="4" w:space="0"/>
            </w:tcBorders>
            <w:vAlign w:val="center"/>
          </w:tcPr>
          <w:p>
            <w:pPr>
              <w:spacing w:line="360" w:lineRule="auto"/>
              <w:rPr>
                <w:rFonts w:ascii="宋体" w:hAnsi="宋体" w:cs="仿宋"/>
                <w:b/>
                <w:sz w:val="24"/>
                <w:szCs w:val="24"/>
              </w:rPr>
            </w:pPr>
            <w:r>
              <w:rPr>
                <w:rFonts w:hint="eastAsia" w:ascii="宋体" w:hAnsi="宋体" w:cs="仿宋"/>
                <w:sz w:val="24"/>
                <w:szCs w:val="24"/>
              </w:rPr>
              <w:t>符合磋商文件要求,合法有效。</w:t>
            </w:r>
          </w:p>
        </w:tc>
      </w:tr>
      <w:tr>
        <w:tblPrEx>
          <w:tblCellMar>
            <w:top w:w="0" w:type="dxa"/>
            <w:left w:w="108" w:type="dxa"/>
            <w:bottom w:w="0" w:type="dxa"/>
            <w:right w:w="108" w:type="dxa"/>
          </w:tblCellMar>
        </w:tblPrEx>
        <w:trPr>
          <w:trHeight w:val="889"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szCs w:val="24"/>
              </w:rPr>
            </w:pPr>
            <w:r>
              <w:rPr>
                <w:rFonts w:hint="eastAsia" w:ascii="宋体" w:hAnsi="宋体" w:cs="宋体"/>
                <w:kern w:val="0"/>
                <w:sz w:val="24"/>
                <w:szCs w:val="24"/>
              </w:rPr>
              <w:t>6</w:t>
            </w:r>
          </w:p>
        </w:tc>
        <w:tc>
          <w:tcPr>
            <w:tcW w:w="6095" w:type="dxa"/>
            <w:tcBorders>
              <w:top w:val="single" w:color="auto" w:sz="4" w:space="0"/>
              <w:left w:val="nil"/>
              <w:bottom w:val="single" w:color="auto" w:sz="4" w:space="0"/>
              <w:right w:val="single" w:color="auto" w:sz="4" w:space="0"/>
            </w:tcBorders>
            <w:vAlign w:val="center"/>
          </w:tcPr>
          <w:p>
            <w:pPr>
              <w:spacing w:line="360" w:lineRule="auto"/>
              <w:jc w:val="left"/>
              <w:rPr>
                <w:rFonts w:ascii="宋体" w:hAnsi="宋体" w:cs="仿宋"/>
                <w:sz w:val="24"/>
                <w:szCs w:val="24"/>
              </w:rPr>
            </w:pPr>
            <w:r>
              <w:rPr>
                <w:rFonts w:hint="eastAsia" w:ascii="宋体" w:hAnsi="宋体"/>
                <w:sz w:val="24"/>
              </w:rPr>
              <w:t>供应商提供通过“信用中国”网站（www.creditchina.gov.cn）、中国政府采购网（www.ccgp.gov.cn）查询的相关主体信用记录，并将网页截图（加盖供应商红色公章）附在响应文件中，对列入失信被执行人、重大税收违法案件当事人、</w:t>
            </w:r>
            <w:r>
              <w:rPr>
                <w:rFonts w:hint="eastAsia" w:ascii="宋体" w:hAnsi="宋体"/>
                <w:sz w:val="24"/>
                <w:szCs w:val="24"/>
              </w:rPr>
              <w:t>政府采购严重违法失信行为记录名单及其他不符合《中华人民共和国政府采购法》第二十二条规定条件的</w:t>
            </w:r>
            <w:r>
              <w:rPr>
                <w:rFonts w:hint="eastAsia" w:ascii="宋体" w:hAnsi="宋体"/>
                <w:sz w:val="24"/>
              </w:rPr>
              <w:t>供应商</w:t>
            </w:r>
            <w:r>
              <w:rPr>
                <w:rFonts w:hint="eastAsia" w:ascii="宋体" w:hAnsi="宋体"/>
                <w:sz w:val="24"/>
                <w:szCs w:val="24"/>
              </w:rPr>
              <w:t>，</w:t>
            </w:r>
            <w:r>
              <w:rPr>
                <w:rFonts w:hint="eastAsia" w:ascii="宋体" w:hAnsi="宋体"/>
                <w:sz w:val="24"/>
              </w:rPr>
              <w:t>将拒绝其参与政府采购活动。</w:t>
            </w:r>
          </w:p>
        </w:tc>
        <w:tc>
          <w:tcPr>
            <w:tcW w:w="2410" w:type="dxa"/>
            <w:tcBorders>
              <w:top w:val="single" w:color="auto" w:sz="4" w:space="0"/>
              <w:left w:val="nil"/>
              <w:bottom w:val="single" w:color="auto" w:sz="4" w:space="0"/>
              <w:right w:val="single" w:color="auto" w:sz="4" w:space="0"/>
            </w:tcBorders>
            <w:vAlign w:val="center"/>
          </w:tcPr>
          <w:p>
            <w:pPr>
              <w:spacing w:line="360" w:lineRule="auto"/>
              <w:rPr>
                <w:rFonts w:ascii="宋体" w:hAnsi="宋体" w:cs="仿宋"/>
                <w:sz w:val="24"/>
                <w:szCs w:val="24"/>
              </w:rPr>
            </w:pPr>
            <w:r>
              <w:rPr>
                <w:rFonts w:hint="eastAsia" w:ascii="宋体" w:hAnsi="宋体" w:cs="仿宋"/>
                <w:sz w:val="24"/>
                <w:szCs w:val="24"/>
              </w:rPr>
              <w:t>符合磋商文件要求，</w:t>
            </w:r>
            <w:r>
              <w:rPr>
                <w:rFonts w:hint="eastAsia" w:ascii="宋体" w:hAnsi="宋体" w:cs="宋体"/>
                <w:sz w:val="24"/>
                <w:szCs w:val="24"/>
              </w:rPr>
              <w:t>现场查验。</w:t>
            </w:r>
          </w:p>
        </w:tc>
      </w:tr>
    </w:tbl>
    <w:p>
      <w:pPr>
        <w:overflowPunct w:val="0"/>
        <w:adjustRightInd w:val="0"/>
        <w:snapToGrid w:val="0"/>
        <w:spacing w:line="360" w:lineRule="auto"/>
        <w:ind w:firstLine="480" w:firstLineChars="200"/>
        <w:rPr>
          <w:rFonts w:ascii="宋体" w:hAnsi="宋体"/>
          <w:sz w:val="24"/>
          <w:szCs w:val="24"/>
          <w:lang w:val="zh-CN"/>
        </w:rPr>
      </w:pPr>
      <w:bookmarkStart w:id="196" w:name="_Toc311415600"/>
      <w:r>
        <w:rPr>
          <w:rFonts w:hint="eastAsia" w:ascii="宋体" w:hAnsi="宋体"/>
          <w:sz w:val="24"/>
          <w:szCs w:val="24"/>
        </w:rPr>
        <w:t>25.2磋商响应文件符合性审查：依据磋商文件的规定，从磋商响应文件的有效性、完整性和对磋商响应文件的响应程度进行审查，以确定是否对磋商文件的实质性内容作出响应</w:t>
      </w:r>
      <w:r>
        <w:rPr>
          <w:rFonts w:hint="eastAsia" w:ascii="宋体" w:hAnsi="宋体"/>
          <w:sz w:val="24"/>
          <w:szCs w:val="24"/>
          <w:lang w:val="zh-CN"/>
        </w:rPr>
        <w:t>。</w:t>
      </w:r>
    </w:p>
    <w:p>
      <w:pPr>
        <w:spacing w:line="360" w:lineRule="auto"/>
        <w:ind w:firstLine="480" w:firstLineChars="200"/>
        <w:rPr>
          <w:rFonts w:ascii="宋体" w:hAnsi="宋体"/>
          <w:sz w:val="24"/>
        </w:rPr>
      </w:pPr>
      <w:r>
        <w:rPr>
          <w:rFonts w:hint="eastAsia" w:ascii="宋体" w:hAnsi="宋体"/>
          <w:sz w:val="24"/>
          <w:szCs w:val="24"/>
        </w:rPr>
        <w:t>25.2.1磋商小组</w:t>
      </w:r>
      <w:r>
        <w:rPr>
          <w:rFonts w:hint="eastAsia" w:ascii="宋体" w:hAnsi="宋体"/>
          <w:sz w:val="24"/>
        </w:rPr>
        <w:t>应当按下列评审标准进行符合性审查：</w:t>
      </w:r>
    </w:p>
    <w:tbl>
      <w:tblPr>
        <w:tblStyle w:val="20"/>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86"/>
        <w:gridCol w:w="2693"/>
        <w:gridCol w:w="5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40" w:type="dxa"/>
            <w:vAlign w:val="center"/>
          </w:tcPr>
          <w:p>
            <w:pPr>
              <w:tabs>
                <w:tab w:val="left" w:pos="0"/>
              </w:tabs>
              <w:adjustRightInd w:val="0"/>
              <w:snapToGrid w:val="0"/>
              <w:spacing w:line="360" w:lineRule="auto"/>
              <w:jc w:val="center"/>
              <w:rPr>
                <w:rFonts w:ascii="宋体" w:hAnsi="宋体"/>
                <w:b/>
                <w:sz w:val="24"/>
                <w:szCs w:val="24"/>
              </w:rPr>
            </w:pPr>
            <w:r>
              <w:rPr>
                <w:rFonts w:hint="eastAsia" w:ascii="宋体" w:hAnsi="宋体"/>
                <w:b/>
                <w:sz w:val="24"/>
                <w:szCs w:val="24"/>
              </w:rPr>
              <w:t>序号</w:t>
            </w:r>
          </w:p>
        </w:tc>
        <w:tc>
          <w:tcPr>
            <w:tcW w:w="3679" w:type="dxa"/>
            <w:gridSpan w:val="2"/>
            <w:vAlign w:val="center"/>
          </w:tcPr>
          <w:p>
            <w:pPr>
              <w:tabs>
                <w:tab w:val="left" w:pos="0"/>
              </w:tabs>
              <w:adjustRightInd w:val="0"/>
              <w:snapToGrid w:val="0"/>
              <w:spacing w:line="360" w:lineRule="auto"/>
              <w:jc w:val="center"/>
              <w:rPr>
                <w:rFonts w:ascii="宋体" w:hAnsi="宋体"/>
                <w:b/>
                <w:sz w:val="24"/>
                <w:szCs w:val="24"/>
              </w:rPr>
            </w:pPr>
            <w:r>
              <w:rPr>
                <w:rFonts w:hint="eastAsia" w:ascii="宋体" w:hAnsi="宋体"/>
                <w:b/>
                <w:sz w:val="24"/>
                <w:szCs w:val="24"/>
              </w:rPr>
              <w:t>评审因素</w:t>
            </w:r>
          </w:p>
        </w:tc>
        <w:tc>
          <w:tcPr>
            <w:tcW w:w="5387" w:type="dxa"/>
            <w:vAlign w:val="center"/>
          </w:tcPr>
          <w:p>
            <w:pPr>
              <w:tabs>
                <w:tab w:val="left" w:pos="0"/>
              </w:tabs>
              <w:adjustRightInd w:val="0"/>
              <w:snapToGrid w:val="0"/>
              <w:spacing w:line="360" w:lineRule="auto"/>
              <w:jc w:val="center"/>
              <w:rPr>
                <w:rFonts w:ascii="宋体" w:hAnsi="宋体"/>
                <w:b/>
                <w:sz w:val="24"/>
                <w:szCs w:val="24"/>
              </w:rPr>
            </w:pPr>
            <w:r>
              <w:rPr>
                <w:rFonts w:hint="eastAsia" w:ascii="宋体" w:hAnsi="宋体"/>
                <w:b/>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restart"/>
            <w:vAlign w:val="center"/>
          </w:tcPr>
          <w:p>
            <w:pPr>
              <w:tabs>
                <w:tab w:val="left" w:pos="0"/>
              </w:tabs>
              <w:adjustRightInd w:val="0"/>
              <w:snapToGrid w:val="0"/>
              <w:spacing w:line="360" w:lineRule="auto"/>
              <w:jc w:val="center"/>
              <w:rPr>
                <w:rFonts w:ascii="宋体" w:hAnsi="宋体"/>
                <w:sz w:val="24"/>
                <w:szCs w:val="24"/>
              </w:rPr>
            </w:pPr>
            <w:r>
              <w:rPr>
                <w:rFonts w:hint="eastAsia" w:ascii="宋体" w:hAnsi="宋体"/>
                <w:sz w:val="24"/>
                <w:szCs w:val="24"/>
              </w:rPr>
              <w:t>1</w:t>
            </w:r>
          </w:p>
        </w:tc>
        <w:tc>
          <w:tcPr>
            <w:tcW w:w="986" w:type="dxa"/>
            <w:vMerge w:val="restart"/>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有效性审查</w:t>
            </w: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响应文件的签署盖章</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w:t>
            </w:r>
            <w:r>
              <w:rPr>
                <w:rFonts w:hint="eastAsia" w:ascii="宋体" w:hAnsi="宋体" w:cs="仿宋"/>
                <w:sz w:val="24"/>
                <w:szCs w:val="24"/>
              </w:rPr>
              <w:t>按</w:t>
            </w:r>
            <w:r>
              <w:rPr>
                <w:rFonts w:hint="eastAsia" w:ascii="宋体" w:hAnsi="宋体"/>
                <w:sz w:val="24"/>
                <w:szCs w:val="24"/>
              </w:rPr>
              <w:t>磋商</w:t>
            </w:r>
            <w:r>
              <w:rPr>
                <w:rFonts w:hint="eastAsia" w:ascii="宋体" w:hAnsi="宋体" w:cs="仿宋"/>
                <w:sz w:val="24"/>
                <w:szCs w:val="24"/>
              </w:rPr>
              <w:t>文件要求签字、盖章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响应文件格式</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应符合“响应文件格式”要求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w:t>
            </w:r>
            <w:r>
              <w:rPr>
                <w:rFonts w:ascii="宋体" w:hAnsi="宋体"/>
                <w:sz w:val="24"/>
                <w:szCs w:val="24"/>
              </w:rPr>
              <w:t>文件递交</w:t>
            </w:r>
          </w:p>
        </w:tc>
        <w:tc>
          <w:tcPr>
            <w:tcW w:w="5387" w:type="dxa"/>
            <w:vAlign w:val="center"/>
          </w:tcPr>
          <w:p>
            <w:pPr>
              <w:tabs>
                <w:tab w:val="left" w:pos="0"/>
              </w:tabs>
              <w:adjustRightInd w:val="0"/>
              <w:snapToGrid w:val="0"/>
              <w:spacing w:line="360" w:lineRule="auto"/>
              <w:rPr>
                <w:rFonts w:ascii="宋体" w:hAnsi="宋体"/>
                <w:sz w:val="24"/>
                <w:szCs w:val="24"/>
              </w:rPr>
            </w:pPr>
            <w:r>
              <w:rPr>
                <w:rFonts w:ascii="宋体" w:hAnsi="宋体"/>
                <w:sz w:val="24"/>
                <w:szCs w:val="24"/>
              </w:rPr>
              <w:t>应符合</w:t>
            </w:r>
            <w:r>
              <w:rPr>
                <w:rFonts w:hint="eastAsia" w:ascii="宋体" w:hAnsi="宋体"/>
                <w:sz w:val="24"/>
                <w:szCs w:val="24"/>
              </w:rPr>
              <w:t>磋商文件中的规定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领取磋商文件</w:t>
            </w:r>
          </w:p>
        </w:tc>
        <w:tc>
          <w:tcPr>
            <w:tcW w:w="5387"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供应商经过正常渠道领取磋商文件且供应商的名称与登记领取磋商文件单位的名称一致。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restart"/>
            <w:vAlign w:val="center"/>
          </w:tcPr>
          <w:p>
            <w:pPr>
              <w:tabs>
                <w:tab w:val="left" w:pos="0"/>
              </w:tabs>
              <w:adjustRightInd w:val="0"/>
              <w:snapToGrid w:val="0"/>
              <w:spacing w:line="360" w:lineRule="auto"/>
              <w:jc w:val="center"/>
              <w:rPr>
                <w:rFonts w:ascii="宋体" w:hAnsi="宋体"/>
                <w:sz w:val="24"/>
                <w:szCs w:val="24"/>
              </w:rPr>
            </w:pPr>
            <w:r>
              <w:rPr>
                <w:rFonts w:hint="eastAsia" w:ascii="宋体" w:hAnsi="宋体"/>
                <w:sz w:val="24"/>
                <w:szCs w:val="24"/>
              </w:rPr>
              <w:t>2</w:t>
            </w:r>
          </w:p>
        </w:tc>
        <w:tc>
          <w:tcPr>
            <w:tcW w:w="986" w:type="dxa"/>
            <w:vMerge w:val="restart"/>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完整性审查</w:t>
            </w: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响应文件份数</w:t>
            </w:r>
          </w:p>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及装订方式</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应符合磋商文件中的规定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continue"/>
            <w:vAlign w:val="center"/>
          </w:tcPr>
          <w:p>
            <w:pPr>
              <w:tabs>
                <w:tab w:val="left" w:pos="0"/>
              </w:tabs>
              <w:adjustRightInd w:val="0"/>
              <w:snapToGrid w:val="0"/>
              <w:spacing w:line="360" w:lineRule="auto"/>
              <w:jc w:val="center"/>
              <w:rPr>
                <w:rFonts w:ascii="宋体" w:hAnsi="宋体"/>
                <w:sz w:val="24"/>
                <w:szCs w:val="24"/>
              </w:rPr>
            </w:pPr>
          </w:p>
        </w:tc>
        <w:tc>
          <w:tcPr>
            <w:tcW w:w="986" w:type="dxa"/>
            <w:vMerge w:val="continue"/>
            <w:vAlign w:val="center"/>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响应文件编制</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应符合磋商文件中的规定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40" w:type="dxa"/>
            <w:vMerge w:val="continue"/>
            <w:vAlign w:val="center"/>
          </w:tcPr>
          <w:p>
            <w:pPr>
              <w:tabs>
                <w:tab w:val="left" w:pos="0"/>
              </w:tabs>
              <w:adjustRightInd w:val="0"/>
              <w:snapToGrid w:val="0"/>
              <w:spacing w:line="360" w:lineRule="auto"/>
              <w:jc w:val="center"/>
              <w:rPr>
                <w:rFonts w:ascii="宋体" w:hAnsi="宋体"/>
                <w:sz w:val="24"/>
                <w:szCs w:val="24"/>
              </w:rPr>
            </w:pPr>
          </w:p>
        </w:tc>
        <w:tc>
          <w:tcPr>
            <w:tcW w:w="986" w:type="dxa"/>
            <w:vMerge w:val="continue"/>
            <w:vAlign w:val="center"/>
          </w:tcPr>
          <w:p>
            <w:pPr>
              <w:tabs>
                <w:tab w:val="left" w:pos="0"/>
              </w:tabs>
              <w:adjustRightInd w:val="0"/>
              <w:snapToGrid w:val="0"/>
              <w:spacing w:line="360" w:lineRule="auto"/>
              <w:jc w:val="left"/>
              <w:rPr>
                <w:rFonts w:ascii="宋体" w:hAnsi="宋体"/>
                <w:sz w:val="24"/>
                <w:szCs w:val="24"/>
              </w:rPr>
            </w:pPr>
          </w:p>
        </w:tc>
        <w:tc>
          <w:tcPr>
            <w:tcW w:w="2693" w:type="dxa"/>
            <w:vAlign w:val="center"/>
          </w:tcPr>
          <w:p>
            <w:pPr>
              <w:adjustRightInd w:val="0"/>
              <w:snapToGrid w:val="0"/>
              <w:spacing w:line="360" w:lineRule="auto"/>
              <w:jc w:val="left"/>
              <w:rPr>
                <w:rFonts w:ascii="宋体" w:hAnsi="宋体" w:cs="仿宋"/>
                <w:bCs/>
                <w:kern w:val="0"/>
                <w:sz w:val="24"/>
                <w:szCs w:val="24"/>
              </w:rPr>
            </w:pPr>
            <w:r>
              <w:rPr>
                <w:rFonts w:hint="eastAsia" w:ascii="宋体" w:hAnsi="宋体"/>
                <w:sz w:val="24"/>
                <w:szCs w:val="24"/>
              </w:rPr>
              <w:t>响应</w:t>
            </w:r>
            <w:r>
              <w:rPr>
                <w:rFonts w:hint="eastAsia" w:ascii="宋体" w:hAnsi="宋体" w:cs="仿宋"/>
                <w:bCs/>
                <w:kern w:val="0"/>
                <w:sz w:val="24"/>
                <w:szCs w:val="24"/>
              </w:rPr>
              <w:t>文件组成</w:t>
            </w:r>
          </w:p>
        </w:tc>
        <w:tc>
          <w:tcPr>
            <w:tcW w:w="5387" w:type="dxa"/>
            <w:vAlign w:val="center"/>
          </w:tcPr>
          <w:p>
            <w:pPr>
              <w:adjustRightInd w:val="0"/>
              <w:snapToGrid w:val="0"/>
              <w:spacing w:line="360" w:lineRule="auto"/>
              <w:ind w:firstLine="9" w:firstLineChars="4"/>
              <w:rPr>
                <w:rFonts w:ascii="宋体" w:hAnsi="宋体" w:cs="仿宋"/>
                <w:b/>
                <w:bCs/>
                <w:kern w:val="0"/>
                <w:sz w:val="24"/>
                <w:szCs w:val="24"/>
              </w:rPr>
            </w:pPr>
            <w:r>
              <w:rPr>
                <w:rFonts w:hint="eastAsia" w:ascii="宋体" w:hAnsi="宋体" w:cs="仿宋"/>
                <w:sz w:val="24"/>
                <w:szCs w:val="24"/>
                <w:lang w:val="zh-CN"/>
              </w:rPr>
              <w:t>按照</w:t>
            </w:r>
            <w:r>
              <w:rPr>
                <w:rFonts w:hint="eastAsia" w:ascii="宋体" w:hAnsi="宋体"/>
                <w:sz w:val="24"/>
                <w:szCs w:val="24"/>
              </w:rPr>
              <w:t>磋商</w:t>
            </w:r>
            <w:r>
              <w:rPr>
                <w:rFonts w:hint="eastAsia" w:ascii="宋体" w:hAnsi="宋体" w:cs="仿宋"/>
                <w:sz w:val="24"/>
                <w:szCs w:val="24"/>
                <w:lang w:val="zh-CN"/>
              </w:rPr>
              <w:t>文件规定格式编写，无缺漏项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响应文件内容</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cs="仿宋"/>
                <w:sz w:val="24"/>
                <w:szCs w:val="24"/>
                <w:lang w:val="zh-CN"/>
              </w:rPr>
              <w:t>响应内容未出现漏项或服务质量与要求不符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540" w:type="dxa"/>
            <w:vMerge w:val="restart"/>
            <w:vAlign w:val="center"/>
          </w:tcPr>
          <w:p>
            <w:pPr>
              <w:tabs>
                <w:tab w:val="left" w:pos="0"/>
              </w:tabs>
              <w:adjustRightInd w:val="0"/>
              <w:snapToGrid w:val="0"/>
              <w:spacing w:line="360" w:lineRule="auto"/>
              <w:jc w:val="center"/>
              <w:rPr>
                <w:rFonts w:ascii="宋体" w:hAnsi="宋体"/>
                <w:sz w:val="24"/>
                <w:szCs w:val="24"/>
              </w:rPr>
            </w:pPr>
            <w:r>
              <w:rPr>
                <w:rFonts w:hint="eastAsia" w:ascii="宋体" w:hAnsi="宋体"/>
                <w:sz w:val="24"/>
                <w:szCs w:val="24"/>
              </w:rPr>
              <w:t>3</w:t>
            </w:r>
          </w:p>
        </w:tc>
        <w:tc>
          <w:tcPr>
            <w:tcW w:w="986" w:type="dxa"/>
            <w:vMerge w:val="restart"/>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响应性审查</w:t>
            </w: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对磋商文件响应程度</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要求全面响应，不能有任何采购人不能接受的附加条件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color w:val="FF0000"/>
                <w:sz w:val="24"/>
                <w:szCs w:val="24"/>
              </w:rPr>
            </w:pPr>
            <w:r>
              <w:rPr>
                <w:rFonts w:hint="eastAsia" w:ascii="宋体" w:hAnsi="宋体"/>
                <w:color w:val="FF0000"/>
                <w:sz w:val="24"/>
                <w:szCs w:val="24"/>
              </w:rPr>
              <w:t>服务期限</w:t>
            </w:r>
          </w:p>
        </w:tc>
        <w:tc>
          <w:tcPr>
            <w:tcW w:w="5387" w:type="dxa"/>
            <w:vAlign w:val="center"/>
          </w:tcPr>
          <w:p>
            <w:pPr>
              <w:tabs>
                <w:tab w:val="left" w:pos="0"/>
              </w:tabs>
              <w:adjustRightInd w:val="0"/>
              <w:snapToGrid w:val="0"/>
              <w:spacing w:line="360" w:lineRule="auto"/>
              <w:rPr>
                <w:rFonts w:ascii="宋体" w:hAnsi="宋体"/>
                <w:color w:val="FF0000"/>
                <w:sz w:val="24"/>
                <w:szCs w:val="24"/>
              </w:rPr>
            </w:pPr>
            <w:r>
              <w:rPr>
                <w:rFonts w:hint="eastAsia" w:ascii="宋体" w:hAnsi="宋体"/>
                <w:color w:val="FF0000"/>
                <w:sz w:val="24"/>
                <w:szCs w:val="24"/>
              </w:rPr>
              <w:t>应满足磋商文件中要求的服务期限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color w:val="FF0000"/>
                <w:sz w:val="24"/>
                <w:szCs w:val="24"/>
              </w:rPr>
            </w:pPr>
            <w:r>
              <w:rPr>
                <w:rFonts w:hint="eastAsia" w:ascii="宋体" w:hAnsi="宋体"/>
                <w:color w:val="FF0000"/>
                <w:sz w:val="24"/>
                <w:szCs w:val="24"/>
              </w:rPr>
              <w:t>服务地点</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应满足磋商文件中要求的服务地点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40" w:type="dxa"/>
            <w:vMerge w:val="continue"/>
          </w:tcPr>
          <w:p>
            <w:pPr>
              <w:tabs>
                <w:tab w:val="left" w:pos="0"/>
              </w:tabs>
              <w:adjustRightInd w:val="0"/>
              <w:snapToGrid w:val="0"/>
              <w:spacing w:line="360" w:lineRule="auto"/>
              <w:rPr>
                <w:rFonts w:ascii="宋体" w:hAnsi="宋体"/>
                <w:sz w:val="24"/>
                <w:szCs w:val="24"/>
              </w:rPr>
            </w:pPr>
          </w:p>
        </w:tc>
        <w:tc>
          <w:tcPr>
            <w:tcW w:w="986" w:type="dxa"/>
            <w:vMerge w:val="continue"/>
          </w:tcPr>
          <w:p>
            <w:pPr>
              <w:tabs>
                <w:tab w:val="left" w:pos="0"/>
              </w:tabs>
              <w:adjustRightInd w:val="0"/>
              <w:snapToGrid w:val="0"/>
              <w:spacing w:line="360" w:lineRule="auto"/>
              <w:jc w:val="left"/>
              <w:rPr>
                <w:rFonts w:ascii="宋体" w:hAnsi="宋体"/>
                <w:sz w:val="24"/>
                <w:szCs w:val="24"/>
              </w:rPr>
            </w:pPr>
          </w:p>
        </w:tc>
        <w:tc>
          <w:tcPr>
            <w:tcW w:w="2693" w:type="dxa"/>
            <w:vAlign w:val="center"/>
          </w:tcPr>
          <w:p>
            <w:pPr>
              <w:tabs>
                <w:tab w:val="left" w:pos="0"/>
              </w:tabs>
              <w:adjustRightInd w:val="0"/>
              <w:snapToGrid w:val="0"/>
              <w:spacing w:line="360" w:lineRule="auto"/>
              <w:jc w:val="left"/>
              <w:rPr>
                <w:rFonts w:ascii="宋体" w:hAnsi="宋体"/>
                <w:sz w:val="24"/>
                <w:szCs w:val="24"/>
              </w:rPr>
            </w:pPr>
            <w:r>
              <w:rPr>
                <w:rFonts w:hint="eastAsia" w:ascii="宋体" w:hAnsi="宋体"/>
                <w:sz w:val="24"/>
                <w:szCs w:val="24"/>
              </w:rPr>
              <w:t>磋商有效期</w:t>
            </w:r>
          </w:p>
        </w:tc>
        <w:tc>
          <w:tcPr>
            <w:tcW w:w="5387" w:type="dxa"/>
            <w:vAlign w:val="center"/>
          </w:tcPr>
          <w:p>
            <w:pPr>
              <w:tabs>
                <w:tab w:val="left" w:pos="0"/>
              </w:tabs>
              <w:adjustRightInd w:val="0"/>
              <w:snapToGrid w:val="0"/>
              <w:spacing w:line="360" w:lineRule="auto"/>
              <w:rPr>
                <w:rFonts w:ascii="宋体" w:hAnsi="宋体"/>
                <w:sz w:val="24"/>
                <w:szCs w:val="24"/>
              </w:rPr>
            </w:pPr>
            <w:r>
              <w:rPr>
                <w:rFonts w:hint="eastAsia" w:ascii="宋体" w:hAnsi="宋体"/>
                <w:sz w:val="24"/>
                <w:szCs w:val="24"/>
              </w:rPr>
              <w:t>应满足磋商文件中的规定</w:t>
            </w:r>
          </w:p>
        </w:tc>
      </w:tr>
    </w:tbl>
    <w:p>
      <w:pPr>
        <w:tabs>
          <w:tab w:val="left" w:pos="0"/>
        </w:tabs>
        <w:adjustRightInd w:val="0"/>
        <w:snapToGrid w:val="0"/>
        <w:spacing w:line="360" w:lineRule="auto"/>
        <w:ind w:firstLine="470" w:firstLineChars="196"/>
        <w:rPr>
          <w:rFonts w:ascii="宋体" w:hAnsi="宋体" w:cs="宋体"/>
          <w:kern w:val="0"/>
          <w:sz w:val="24"/>
          <w:szCs w:val="24"/>
        </w:rPr>
      </w:pPr>
      <w:r>
        <w:rPr>
          <w:rFonts w:hint="eastAsia" w:ascii="宋体" w:hAnsi="宋体"/>
          <w:sz w:val="24"/>
          <w:szCs w:val="24"/>
        </w:rPr>
        <w:t>说明：以上各项有1项不合格，评审不予通过，作为</w:t>
      </w:r>
      <w:r>
        <w:rPr>
          <w:rFonts w:hint="eastAsia" w:ascii="宋体" w:hAnsi="宋体" w:cs="宋体"/>
          <w:kern w:val="0"/>
          <w:sz w:val="24"/>
          <w:szCs w:val="24"/>
        </w:rPr>
        <w:t>未实质性响应磋商文件</w:t>
      </w:r>
      <w:r>
        <w:rPr>
          <w:rFonts w:hint="eastAsia" w:ascii="宋体" w:hAnsi="宋体"/>
          <w:sz w:val="24"/>
        </w:rPr>
        <w:t>，不得进入后续评标环节。</w:t>
      </w:r>
    </w:p>
    <w:p>
      <w:pPr>
        <w:tabs>
          <w:tab w:val="left" w:pos="0"/>
        </w:tabs>
        <w:adjustRightInd w:val="0"/>
        <w:snapToGrid w:val="0"/>
        <w:spacing w:line="360" w:lineRule="auto"/>
        <w:ind w:firstLine="470" w:firstLineChars="196"/>
        <w:rPr>
          <w:rFonts w:ascii="宋体" w:hAnsi="宋体" w:cs="宋体"/>
          <w:kern w:val="0"/>
          <w:sz w:val="24"/>
          <w:szCs w:val="24"/>
        </w:rPr>
      </w:pPr>
      <w:r>
        <w:rPr>
          <w:rFonts w:hint="eastAsia" w:ascii="宋体" w:hAnsi="宋体"/>
          <w:sz w:val="24"/>
        </w:rPr>
        <w:t>25.3其他有可能导致废标的情况</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25.3.1投标供应商的报价明显低于其他通过符合性审查投标供应商的报价，有可能影响产品质量或不能诚信履约的，应当要求其在评标现场合理的时间内提供书面说明，必要时提交相关证明材料；投标供应商不能证明其报价合理性的，</w:t>
      </w:r>
      <w:r>
        <w:rPr>
          <w:rFonts w:ascii="宋体" w:hAnsi="宋体"/>
          <w:sz w:val="24"/>
          <w:szCs w:val="24"/>
        </w:rPr>
        <w:t>评标委员会应当将其作为无效投标处理</w:t>
      </w:r>
      <w:r>
        <w:rPr>
          <w:rFonts w:hint="eastAsia" w:ascii="宋体" w:hAnsi="宋体"/>
          <w:sz w:val="24"/>
          <w:szCs w:val="24"/>
        </w:rPr>
        <w:t>；</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25.3.2提供虚假证明，开具虚假资质，出现虚假应答，除按无效标处理外，还进行相应的处罚；</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25.3.3 投标供应商串通投标的；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25.3.4 投标供应商有违法违规行为的；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25.3.5响应文件含有采购人不能接受的附加条件的；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25.3.6响应文件不符合磋商文件其他要求的；</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25.3.7其他法律法规规定的废标情况。</w:t>
      </w:r>
    </w:p>
    <w:p>
      <w:pPr>
        <w:overflowPunct w:val="0"/>
        <w:adjustRightInd w:val="0"/>
        <w:snapToGrid w:val="0"/>
        <w:spacing w:line="360" w:lineRule="auto"/>
        <w:rPr>
          <w:rFonts w:asciiTheme="minorEastAsia" w:hAnsiTheme="minorEastAsia"/>
          <w:sz w:val="24"/>
          <w:szCs w:val="24"/>
        </w:rPr>
      </w:pPr>
      <w:r>
        <w:rPr>
          <w:rFonts w:hint="eastAsia" w:asciiTheme="minorEastAsia" w:hAnsiTheme="minorEastAsia"/>
          <w:b/>
          <w:sz w:val="24"/>
          <w:szCs w:val="24"/>
        </w:rPr>
        <w:t>26、磋商文件的澄清</w:t>
      </w:r>
      <w:bookmarkEnd w:id="196"/>
    </w:p>
    <w:p>
      <w:pPr>
        <w:spacing w:line="360" w:lineRule="auto"/>
        <w:ind w:firstLine="480" w:firstLineChars="200"/>
        <w:rPr>
          <w:rFonts w:ascii="宋体" w:hAnsi="宋体"/>
          <w:sz w:val="24"/>
          <w:szCs w:val="24"/>
        </w:rPr>
      </w:pPr>
      <w:r>
        <w:rPr>
          <w:rFonts w:hint="eastAsia" w:ascii="宋体" w:hAnsi="宋体"/>
          <w:sz w:val="24"/>
          <w:szCs w:val="24"/>
        </w:rPr>
        <w:t xml:space="preserve">26.1 </w:t>
      </w:r>
      <w:r>
        <w:rPr>
          <w:rFonts w:ascii="宋体" w:hAnsi="宋体"/>
          <w:sz w:val="24"/>
          <w:szCs w:val="24"/>
        </w:rPr>
        <w:t>对于</w:t>
      </w:r>
      <w:r>
        <w:rPr>
          <w:rFonts w:hint="eastAsia" w:ascii="宋体" w:hAnsi="宋体"/>
          <w:sz w:val="24"/>
          <w:szCs w:val="24"/>
        </w:rPr>
        <w:t>磋商</w:t>
      </w:r>
      <w:r>
        <w:rPr>
          <w:rFonts w:ascii="宋体" w:hAnsi="宋体"/>
          <w:sz w:val="24"/>
          <w:szCs w:val="24"/>
        </w:rPr>
        <w:t>文件中含义不明确、同类问题表述不一致或者有明显文字和计算错误的内容，</w:t>
      </w:r>
      <w:r>
        <w:rPr>
          <w:rFonts w:hint="eastAsia" w:ascii="宋体" w:hAnsi="宋体"/>
          <w:sz w:val="24"/>
          <w:szCs w:val="24"/>
        </w:rPr>
        <w:t>磋商小组</w:t>
      </w:r>
      <w:r>
        <w:rPr>
          <w:rFonts w:ascii="宋体" w:hAnsi="宋体"/>
          <w:sz w:val="24"/>
          <w:szCs w:val="24"/>
        </w:rPr>
        <w:t>应当以书面形式要求投标供应商作出必要的澄清、说明或者补正。</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26.2</w:t>
      </w:r>
      <w:r>
        <w:rPr>
          <w:rFonts w:ascii="宋体" w:hAnsi="宋体"/>
          <w:sz w:val="24"/>
          <w:szCs w:val="24"/>
        </w:rPr>
        <w:t>投标供应商的澄清、说明或者补正应当采用书面形式，并加盖公章，或者由法定代表人或其授权的代表签字。投标供应商的澄清、说明或者补正不得超出磋商文件的范围或者改变响应文件的实质性内容。</w:t>
      </w:r>
    </w:p>
    <w:p>
      <w:pPr>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26.3磋商</w:t>
      </w:r>
      <w:r>
        <w:rPr>
          <w:rFonts w:asciiTheme="minorEastAsia" w:hAnsiTheme="minorEastAsia"/>
          <w:sz w:val="24"/>
          <w:szCs w:val="24"/>
        </w:rPr>
        <w:t>文件</w:t>
      </w:r>
      <w:r>
        <w:rPr>
          <w:rFonts w:hint="eastAsia" w:asciiTheme="minorEastAsia" w:hAnsiTheme="minorEastAsia"/>
          <w:sz w:val="24"/>
          <w:szCs w:val="24"/>
        </w:rPr>
        <w:t>、响应</w:t>
      </w:r>
      <w:r>
        <w:rPr>
          <w:rFonts w:asciiTheme="minorEastAsia" w:hAnsiTheme="minorEastAsia"/>
          <w:sz w:val="24"/>
          <w:szCs w:val="24"/>
        </w:rPr>
        <w:t>文件</w:t>
      </w:r>
      <w:r>
        <w:rPr>
          <w:rFonts w:hint="eastAsia" w:asciiTheme="minorEastAsia" w:hAnsiTheme="minorEastAsia"/>
          <w:sz w:val="24"/>
          <w:szCs w:val="24"/>
        </w:rPr>
        <w:t>及</w:t>
      </w:r>
      <w:r>
        <w:rPr>
          <w:rFonts w:asciiTheme="minorEastAsia" w:hAnsiTheme="minorEastAsia"/>
          <w:sz w:val="24"/>
          <w:szCs w:val="24"/>
        </w:rPr>
        <w:t>澄清内容将作为</w:t>
      </w:r>
      <w:r>
        <w:rPr>
          <w:rFonts w:hint="eastAsia" w:asciiTheme="minorEastAsia" w:hAnsiTheme="minorEastAsia"/>
          <w:sz w:val="24"/>
          <w:szCs w:val="24"/>
        </w:rPr>
        <w:t>评审</w:t>
      </w:r>
      <w:r>
        <w:rPr>
          <w:rFonts w:asciiTheme="minorEastAsia" w:hAnsiTheme="minorEastAsia"/>
          <w:sz w:val="24"/>
          <w:szCs w:val="24"/>
        </w:rPr>
        <w:t>的依据。</w:t>
      </w:r>
    </w:p>
    <w:p>
      <w:pPr>
        <w:overflowPunct w:val="0"/>
        <w:adjustRightInd w:val="0"/>
        <w:snapToGrid w:val="0"/>
        <w:spacing w:line="360" w:lineRule="auto"/>
        <w:rPr>
          <w:rFonts w:asciiTheme="minorEastAsia" w:hAnsiTheme="minorEastAsia"/>
          <w:b/>
          <w:sz w:val="24"/>
          <w:szCs w:val="24"/>
        </w:rPr>
      </w:pPr>
      <w:r>
        <w:rPr>
          <w:rFonts w:hint="eastAsia" w:asciiTheme="minorEastAsia" w:hAnsiTheme="minorEastAsia"/>
          <w:b/>
          <w:sz w:val="24"/>
          <w:szCs w:val="24"/>
        </w:rPr>
        <w:t>27、磋商文件的实质性变更</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27.1在磋商过程中，磋商小组可以根据磋商文件和磋商情况实质性变动采购需求中的技术、服务要求以及合同草案条款，但不得变动磋商文件中的其他内容。实质性变动的内容，须经采购人代表确认。</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27.2对磋商文件作出的实质性变动是磋商文件的有效组成部分，磋商小组将及时以书面形式同时通知所有参加磋商的供应商。</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27.3供应商应当按照磋商文件的变动情况和磋商小组的要求重新提交响应文件，并由其法定代表人或授权代表签字或者加盖公章。</w:t>
      </w:r>
    </w:p>
    <w:p>
      <w:pPr>
        <w:overflowPunct w:val="0"/>
        <w:adjustRightInd w:val="0"/>
        <w:snapToGrid w:val="0"/>
        <w:spacing w:line="360" w:lineRule="auto"/>
        <w:rPr>
          <w:rFonts w:asciiTheme="minorEastAsia" w:hAnsiTheme="minorEastAsia"/>
          <w:b/>
          <w:sz w:val="24"/>
          <w:szCs w:val="24"/>
        </w:rPr>
      </w:pPr>
      <w:bookmarkStart w:id="197" w:name="_Toc311415604"/>
      <w:r>
        <w:rPr>
          <w:rFonts w:hint="eastAsia" w:asciiTheme="minorEastAsia" w:hAnsiTheme="minorEastAsia"/>
          <w:b/>
          <w:sz w:val="24"/>
          <w:szCs w:val="24"/>
        </w:rPr>
        <w:t>2</w:t>
      </w:r>
      <w:bookmarkEnd w:id="197"/>
      <w:r>
        <w:rPr>
          <w:rFonts w:hint="eastAsia" w:asciiTheme="minorEastAsia" w:hAnsiTheme="minorEastAsia"/>
          <w:b/>
          <w:sz w:val="24"/>
          <w:szCs w:val="24"/>
        </w:rPr>
        <w:t>8、最后报价</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28.1在对所有供应商进行有效性、完整性、符合性审查时，通过必要的澄清，从服务均能满足磋商文件实质性响应要求的基础上，筛选出合格供应商。</w:t>
      </w:r>
    </w:p>
    <w:p>
      <w:pPr>
        <w:overflowPunct w:val="0"/>
        <w:adjustRightInd w:val="0"/>
        <w:snapToGrid w:val="0"/>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28.2磋商小组给予所有合格供应商一次最后报价的机会。供应商要以书面形式提交最后报价（各合格供应商的最后报价将作为综合评分法中价格分的计算依据），并由其法定代表人或被授权人签字。已提交响应文件的供应商，在提交最后报价之前，可以根据磋商情况以书面形式退出磋商。</w:t>
      </w:r>
    </w:p>
    <w:p>
      <w:pPr>
        <w:overflowPunct w:val="0"/>
        <w:adjustRightInd w:val="0"/>
        <w:snapToGrid w:val="0"/>
        <w:spacing w:line="360" w:lineRule="auto"/>
        <w:rPr>
          <w:rFonts w:ascii="宋体" w:hAnsi="宋体"/>
          <w:b/>
          <w:sz w:val="24"/>
          <w:szCs w:val="24"/>
        </w:rPr>
      </w:pPr>
      <w:r>
        <w:rPr>
          <w:rFonts w:hint="eastAsia" w:ascii="宋体" w:hAnsi="宋体"/>
          <w:b/>
          <w:sz w:val="24"/>
          <w:szCs w:val="24"/>
        </w:rPr>
        <w:t>29、磋商文件的比较和评价</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29.1磋商小组会在评审过程中，发现磋商响应文件出现下列情况之一者，按以下原则修正：</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29.1.1磋商响应</w:t>
      </w:r>
      <w:r>
        <w:rPr>
          <w:rFonts w:ascii="宋体" w:hAnsi="宋体"/>
          <w:sz w:val="24"/>
          <w:szCs w:val="24"/>
        </w:rPr>
        <w:t>文件中开标一览表（磋商报价表）内容与</w:t>
      </w:r>
      <w:r>
        <w:rPr>
          <w:rFonts w:hint="eastAsia" w:ascii="宋体" w:hAnsi="宋体"/>
          <w:sz w:val="24"/>
          <w:szCs w:val="24"/>
        </w:rPr>
        <w:t>磋商</w:t>
      </w:r>
      <w:r>
        <w:rPr>
          <w:rFonts w:ascii="宋体" w:hAnsi="宋体"/>
          <w:sz w:val="24"/>
          <w:szCs w:val="24"/>
        </w:rPr>
        <w:t>文件中相应内容不一致的，以开标一览表（磋商报价表）为准；</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29.1.2大写金额和小写金额不一致的，以大写金额为准；</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29.1.3</w:t>
      </w:r>
      <w:r>
        <w:rPr>
          <w:rFonts w:ascii="宋体" w:hAnsi="宋体"/>
          <w:sz w:val="24"/>
          <w:szCs w:val="24"/>
        </w:rPr>
        <w:t>单价金额小数点或者百分比有明显错位的，以</w:t>
      </w:r>
      <w:r>
        <w:rPr>
          <w:rFonts w:hint="eastAsia" w:ascii="宋体" w:hAnsi="宋体"/>
          <w:sz w:val="24"/>
          <w:szCs w:val="24"/>
        </w:rPr>
        <w:t>磋商报价</w:t>
      </w:r>
      <w:r>
        <w:rPr>
          <w:rFonts w:ascii="宋体" w:hAnsi="宋体"/>
          <w:sz w:val="24"/>
          <w:szCs w:val="24"/>
        </w:rPr>
        <w:t>的总价为准，并修改单价；</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29.1.4</w:t>
      </w:r>
      <w:r>
        <w:rPr>
          <w:rFonts w:ascii="宋体" w:hAnsi="宋体"/>
          <w:sz w:val="24"/>
          <w:szCs w:val="24"/>
        </w:rPr>
        <w:t>总价金额与按单价汇总金额不一致的，以单价金额计算结果为准</w:t>
      </w:r>
      <w:r>
        <w:rPr>
          <w:rFonts w:hint="eastAsia" w:ascii="宋体" w:hAnsi="宋体"/>
          <w:sz w:val="24"/>
          <w:szCs w:val="24"/>
        </w:rPr>
        <w:t>；</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29.1.5如果用文字表示的数值与用数字表示的数值不一致，以文字表示的值为准；</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29.1.6对不同文字文本磋商文件的解释发生异议的，以中文文本为准；</w:t>
      </w:r>
    </w:p>
    <w:p>
      <w:pPr>
        <w:spacing w:line="360" w:lineRule="auto"/>
        <w:ind w:firstLine="480" w:firstLineChars="200"/>
        <w:rPr>
          <w:rFonts w:ascii="宋体" w:hAnsi="宋体"/>
          <w:sz w:val="24"/>
          <w:szCs w:val="24"/>
        </w:rPr>
      </w:pPr>
      <w:r>
        <w:rPr>
          <w:rFonts w:hint="eastAsia" w:ascii="宋体" w:hAnsi="宋体"/>
          <w:sz w:val="24"/>
          <w:szCs w:val="24"/>
        </w:rPr>
        <w:t>29.1.7正本与副本不一致的，以正本为准；</w:t>
      </w:r>
    </w:p>
    <w:p>
      <w:pPr>
        <w:spacing w:line="360" w:lineRule="auto"/>
        <w:ind w:firstLine="480" w:firstLineChars="200"/>
        <w:rPr>
          <w:rFonts w:ascii="宋体" w:hAnsi="宋体"/>
          <w:sz w:val="24"/>
          <w:szCs w:val="24"/>
        </w:rPr>
      </w:pPr>
      <w:r>
        <w:rPr>
          <w:rFonts w:hint="eastAsia" w:ascii="宋体" w:hAnsi="宋体"/>
          <w:sz w:val="24"/>
          <w:szCs w:val="24"/>
        </w:rPr>
        <w:t>29.1.8</w:t>
      </w:r>
      <w:r>
        <w:rPr>
          <w:rFonts w:ascii="宋体" w:hAnsi="宋体"/>
          <w:sz w:val="24"/>
          <w:szCs w:val="24"/>
        </w:rPr>
        <w:t>同时出现两种以上不一致的，按照前款规定的顺序修正。修正后的报价按照本磋商</w:t>
      </w:r>
      <w:r>
        <w:rPr>
          <w:rFonts w:hint="eastAsia" w:ascii="宋体" w:hAnsi="宋体"/>
          <w:sz w:val="24"/>
          <w:szCs w:val="24"/>
        </w:rPr>
        <w:t>文件</w:t>
      </w:r>
      <w:r>
        <w:rPr>
          <w:rFonts w:ascii="宋体" w:hAnsi="宋体"/>
          <w:sz w:val="24"/>
          <w:szCs w:val="24"/>
        </w:rPr>
        <w:t>第</w:t>
      </w:r>
      <w:r>
        <w:rPr>
          <w:rFonts w:hint="eastAsia" w:ascii="宋体" w:hAnsi="宋体"/>
          <w:sz w:val="24"/>
          <w:szCs w:val="24"/>
        </w:rPr>
        <w:t>26</w:t>
      </w:r>
      <w:r>
        <w:rPr>
          <w:rFonts w:ascii="宋体" w:hAnsi="宋体"/>
          <w:sz w:val="24"/>
          <w:szCs w:val="24"/>
        </w:rPr>
        <w:t>条的规定经投标供应商确认后产生约束力，投标供应商不确认的，其投标无效。</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29.2 对于磋商响应文件中不构成实质性偏差的小的不正规、不一致或不规则，采购方可以接受，但这种接受不能损害或影响任何投标供应商的相对排序。</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29.3按照磋商文件规定的评审方法和标准，对资格性审查和符合性审查合格的文件进行商务和技术评审，综合比较和评价，最低报价不作为成交的唯一条件。</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29.4 如果磋商投标实质上没有响应磋商文件的要求，其磋商投标将被拒绝，投标供应商不得通过修正或撤消不合要求的偏离或保留从而使其磋商投标成为实质上响应的投标。</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29.5磋商程序：采取逐项分步评审方式，每一步评审不符合者，不进入下一步评审，全部评审合格的投标供应商进行最后的量化指标评审和打分，按最后得分由高向低排序，推荐成交候选单位。</w:t>
      </w:r>
    </w:p>
    <w:p>
      <w:pPr>
        <w:overflowPunct w:val="0"/>
        <w:adjustRightInd w:val="0"/>
        <w:snapToGrid w:val="0"/>
        <w:spacing w:line="360" w:lineRule="auto"/>
        <w:rPr>
          <w:rFonts w:asciiTheme="minorEastAsia" w:hAnsiTheme="minorEastAsia"/>
          <w:b/>
          <w:sz w:val="24"/>
          <w:szCs w:val="24"/>
        </w:rPr>
      </w:pPr>
      <w:r>
        <w:rPr>
          <w:rFonts w:hint="eastAsia" w:asciiTheme="minorEastAsia" w:hAnsiTheme="minorEastAsia"/>
          <w:b/>
          <w:sz w:val="24"/>
          <w:szCs w:val="24"/>
        </w:rPr>
        <w:t>30、评审原则及主要方法</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30.1 磋商小组将遵循公平、公正和择优的原则，对所有投标供应商的磋商响应文件评审，都采用相同的程序和标准；</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30.2 评审过程的保密：在磋商响应文件的评审、比较、成交候选人推荐以及授予合同的过程中，投标供应商向采购方和磋商小组施加影响的任何行为，都将会导致其报价被拒绝；</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30.3 评审原则和办法：</w:t>
      </w:r>
    </w:p>
    <w:p>
      <w:pPr>
        <w:overflowPunct w:val="0"/>
        <w:adjustRightInd w:val="0"/>
        <w:snapToGrid w:val="0"/>
        <w:spacing w:line="360" w:lineRule="auto"/>
        <w:ind w:firstLine="480" w:firstLineChars="200"/>
        <w:rPr>
          <w:rFonts w:ascii="宋体" w:hAnsi="宋体"/>
          <w:sz w:val="24"/>
          <w:szCs w:val="24"/>
        </w:rPr>
      </w:pPr>
      <w:r>
        <w:rPr>
          <w:rFonts w:hint="eastAsia" w:ascii="宋体" w:hAnsi="宋体"/>
          <w:sz w:val="24"/>
          <w:szCs w:val="24"/>
        </w:rPr>
        <w:t>30.3.1综合评分法：</w:t>
      </w:r>
      <w:r>
        <w:rPr>
          <w:rFonts w:ascii="宋体" w:hAnsi="宋体"/>
          <w:sz w:val="24"/>
          <w:szCs w:val="24"/>
        </w:rPr>
        <w:t>是</w:t>
      </w:r>
      <w:r>
        <w:rPr>
          <w:rFonts w:hint="eastAsia" w:ascii="宋体" w:hAnsi="宋体"/>
          <w:sz w:val="24"/>
          <w:szCs w:val="24"/>
        </w:rPr>
        <w:t>磋商响应</w:t>
      </w:r>
      <w:r>
        <w:rPr>
          <w:rFonts w:ascii="宋体" w:hAnsi="宋体"/>
          <w:sz w:val="24"/>
          <w:szCs w:val="24"/>
        </w:rPr>
        <w:t>文件满足</w:t>
      </w:r>
      <w:r>
        <w:rPr>
          <w:rFonts w:hint="eastAsia" w:ascii="宋体" w:hAnsi="宋体"/>
          <w:sz w:val="24"/>
          <w:szCs w:val="24"/>
        </w:rPr>
        <w:t>磋商</w:t>
      </w:r>
      <w:r>
        <w:rPr>
          <w:rFonts w:ascii="宋体" w:hAnsi="宋体"/>
          <w:sz w:val="24"/>
          <w:szCs w:val="24"/>
        </w:rPr>
        <w:t>文件全部实质性要求，且按照评审因素的量化指标评审得分最高的投标供应商为</w:t>
      </w:r>
      <w:r>
        <w:rPr>
          <w:rFonts w:hint="eastAsia" w:ascii="宋体" w:hAnsi="宋体"/>
          <w:sz w:val="24"/>
          <w:szCs w:val="24"/>
        </w:rPr>
        <w:t>成交</w:t>
      </w:r>
      <w:r>
        <w:rPr>
          <w:rFonts w:ascii="宋体" w:hAnsi="宋体"/>
          <w:sz w:val="24"/>
          <w:szCs w:val="24"/>
        </w:rPr>
        <w:t>候选人的评审方法。</w:t>
      </w:r>
    </w:p>
    <w:p>
      <w:pPr>
        <w:overflowPunct w:val="0"/>
        <w:adjustRightInd w:val="0"/>
        <w:snapToGrid w:val="0"/>
        <w:spacing w:line="360" w:lineRule="auto"/>
        <w:rPr>
          <w:rFonts w:asciiTheme="minorEastAsia" w:hAnsiTheme="minorEastAsia"/>
          <w:color w:val="FF0000"/>
          <w:sz w:val="24"/>
          <w:szCs w:val="24"/>
        </w:rPr>
      </w:pPr>
      <w:r>
        <w:rPr>
          <w:rFonts w:hint="eastAsia" w:asciiTheme="minorEastAsia" w:hAnsiTheme="minorEastAsia"/>
          <w:color w:val="FF0000"/>
          <w:sz w:val="24"/>
          <w:szCs w:val="24"/>
        </w:rPr>
        <w:t>具体评审因素和分值如下：</w:t>
      </w:r>
    </w:p>
    <w:tbl>
      <w:tblPr>
        <w:tblStyle w:val="20"/>
        <w:tblW w:w="10301"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1418"/>
        <w:gridCol w:w="992"/>
        <w:gridCol w:w="7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986" w:type="dxa"/>
            <w:gridSpan w:val="2"/>
            <w:vAlign w:val="center"/>
          </w:tcPr>
          <w:p>
            <w:pPr>
              <w:adjustRightInd w:val="0"/>
              <w:snapToGrid w:val="0"/>
              <w:spacing w:line="360" w:lineRule="auto"/>
              <w:jc w:val="center"/>
              <w:rPr>
                <w:rFonts w:asciiTheme="minorEastAsia" w:hAnsiTheme="minorEastAsia"/>
                <w:b/>
                <w:sz w:val="24"/>
                <w:szCs w:val="24"/>
              </w:rPr>
            </w:pPr>
            <w:r>
              <w:rPr>
                <w:rFonts w:hint="eastAsia" w:asciiTheme="minorEastAsia" w:hAnsiTheme="minorEastAsia"/>
                <w:b/>
                <w:sz w:val="24"/>
                <w:szCs w:val="24"/>
              </w:rPr>
              <w:t>评审内容</w:t>
            </w:r>
          </w:p>
        </w:tc>
        <w:tc>
          <w:tcPr>
            <w:tcW w:w="992" w:type="dxa"/>
            <w:vAlign w:val="center"/>
          </w:tcPr>
          <w:p>
            <w:pPr>
              <w:adjustRightInd w:val="0"/>
              <w:snapToGrid w:val="0"/>
              <w:spacing w:line="360" w:lineRule="auto"/>
              <w:jc w:val="center"/>
              <w:rPr>
                <w:rFonts w:asciiTheme="minorEastAsia" w:hAnsiTheme="minorEastAsia"/>
                <w:b/>
                <w:sz w:val="24"/>
                <w:szCs w:val="24"/>
              </w:rPr>
            </w:pPr>
            <w:r>
              <w:rPr>
                <w:rFonts w:hint="eastAsia" w:asciiTheme="minorEastAsia" w:hAnsiTheme="minorEastAsia"/>
                <w:b/>
                <w:sz w:val="24"/>
                <w:szCs w:val="24"/>
              </w:rPr>
              <w:t>分数</w:t>
            </w:r>
          </w:p>
        </w:tc>
        <w:tc>
          <w:tcPr>
            <w:tcW w:w="7323" w:type="dxa"/>
            <w:vAlign w:val="center"/>
          </w:tcPr>
          <w:p>
            <w:pPr>
              <w:adjustRightInd w:val="0"/>
              <w:snapToGrid w:val="0"/>
              <w:spacing w:line="360" w:lineRule="auto"/>
              <w:jc w:val="center"/>
              <w:rPr>
                <w:rFonts w:asciiTheme="minorEastAsia" w:hAnsiTheme="minorEastAsia"/>
                <w:b/>
                <w:sz w:val="24"/>
                <w:szCs w:val="24"/>
              </w:rPr>
            </w:pPr>
            <w:r>
              <w:rPr>
                <w:rFonts w:hint="eastAsia" w:asciiTheme="minorEastAsia" w:hAnsiTheme="minorEastAsia"/>
                <w:b/>
                <w:sz w:val="24"/>
                <w:szCs w:val="24"/>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restart"/>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技术方案</w:t>
            </w:r>
          </w:p>
        </w:tc>
        <w:tc>
          <w:tcPr>
            <w:tcW w:w="1418"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项目理解</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10分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理解用户的采购需求、目标、原则及服务思路。</w:t>
            </w:r>
          </w:p>
          <w:p>
            <w:pPr>
              <w:overflowPunct w:val="0"/>
              <w:adjustRightInd w:val="0"/>
              <w:snapToGrid w:val="0"/>
              <w:spacing w:line="360" w:lineRule="auto"/>
              <w:rPr>
                <w:rFonts w:ascii="宋体" w:hAnsi="宋体"/>
                <w:sz w:val="24"/>
                <w:szCs w:val="24"/>
              </w:rPr>
            </w:pPr>
            <w:r>
              <w:rPr>
                <w:rFonts w:hint="eastAsia" w:ascii="宋体" w:hAnsi="宋体"/>
                <w:sz w:val="24"/>
                <w:szCs w:val="24"/>
              </w:rPr>
              <w:t>需求理解全面、目标和原则理解透彻，</w:t>
            </w:r>
            <w:r>
              <w:rPr>
                <w:rFonts w:ascii="宋体" w:hAnsi="宋体"/>
                <w:sz w:val="24"/>
                <w:szCs w:val="24"/>
              </w:rPr>
              <w:t>服务思路清晰</w:t>
            </w:r>
            <w:r>
              <w:rPr>
                <w:rFonts w:hint="eastAsia" w:ascii="宋体" w:hAnsi="宋体"/>
                <w:sz w:val="24"/>
                <w:szCs w:val="24"/>
              </w:rPr>
              <w:t>，得8-10分；</w:t>
            </w:r>
          </w:p>
          <w:p>
            <w:pPr>
              <w:overflowPunct w:val="0"/>
              <w:adjustRightInd w:val="0"/>
              <w:snapToGrid w:val="0"/>
              <w:spacing w:line="360" w:lineRule="auto"/>
              <w:rPr>
                <w:rFonts w:ascii="宋体" w:hAnsi="宋体"/>
                <w:sz w:val="24"/>
                <w:szCs w:val="24"/>
              </w:rPr>
            </w:pPr>
            <w:r>
              <w:rPr>
                <w:rFonts w:hint="eastAsia" w:ascii="宋体" w:hAnsi="宋体"/>
                <w:sz w:val="24"/>
                <w:szCs w:val="24"/>
              </w:rPr>
              <w:t>需求理解一般、目标和原则理解较透彻，</w:t>
            </w:r>
            <w:r>
              <w:rPr>
                <w:rFonts w:ascii="宋体" w:hAnsi="宋体"/>
                <w:sz w:val="24"/>
                <w:szCs w:val="24"/>
              </w:rPr>
              <w:t>服务思路</w:t>
            </w:r>
            <w:r>
              <w:rPr>
                <w:rFonts w:hint="eastAsia" w:ascii="宋体" w:hAnsi="宋体"/>
                <w:sz w:val="24"/>
                <w:szCs w:val="24"/>
              </w:rPr>
              <w:t>较</w:t>
            </w:r>
            <w:r>
              <w:rPr>
                <w:rFonts w:ascii="宋体" w:hAnsi="宋体"/>
                <w:sz w:val="24"/>
                <w:szCs w:val="24"/>
              </w:rPr>
              <w:t>清晰</w:t>
            </w:r>
            <w:r>
              <w:rPr>
                <w:rFonts w:hint="eastAsia" w:ascii="宋体" w:hAnsi="宋体"/>
                <w:sz w:val="24"/>
                <w:szCs w:val="24"/>
              </w:rPr>
              <w:t>，得4-7分；</w:t>
            </w:r>
          </w:p>
          <w:p>
            <w:pPr>
              <w:overflowPunct w:val="0"/>
              <w:adjustRightInd w:val="0"/>
              <w:snapToGrid w:val="0"/>
              <w:spacing w:line="360" w:lineRule="auto"/>
              <w:rPr>
                <w:rFonts w:ascii="宋体" w:hAnsi="宋体"/>
                <w:sz w:val="24"/>
                <w:szCs w:val="24"/>
              </w:rPr>
            </w:pPr>
            <w:r>
              <w:rPr>
                <w:rFonts w:hint="eastAsia" w:ascii="宋体" w:hAnsi="宋体"/>
                <w:sz w:val="24"/>
                <w:szCs w:val="24"/>
              </w:rPr>
              <w:t>需求理解较差、目标和原则理解片面，</w:t>
            </w:r>
            <w:r>
              <w:rPr>
                <w:rFonts w:ascii="宋体" w:hAnsi="宋体"/>
                <w:sz w:val="24"/>
                <w:szCs w:val="24"/>
              </w:rPr>
              <w:t>服务思路</w:t>
            </w:r>
            <w:r>
              <w:rPr>
                <w:rFonts w:hint="eastAsia" w:ascii="宋体" w:hAnsi="宋体"/>
                <w:sz w:val="24"/>
                <w:szCs w:val="24"/>
              </w:rPr>
              <w:t>较模糊，得0-3分。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服务站</w:t>
            </w:r>
          </w:p>
          <w:p>
            <w:pPr>
              <w:overflowPunct w:val="0"/>
              <w:adjustRightInd w:val="0"/>
              <w:snapToGrid w:val="0"/>
              <w:spacing w:line="360" w:lineRule="auto"/>
              <w:jc w:val="center"/>
              <w:rPr>
                <w:rFonts w:ascii="宋体" w:hAnsi="宋体"/>
                <w:sz w:val="24"/>
                <w:szCs w:val="24"/>
              </w:rPr>
            </w:pPr>
            <w:r>
              <w:rPr>
                <w:rFonts w:hint="eastAsia" w:ascii="宋体" w:hAnsi="宋体"/>
                <w:sz w:val="24"/>
                <w:szCs w:val="24"/>
              </w:rPr>
              <w:t>设立方案</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10分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针对项目具体情况，提出 “一卡通服务站”设立方案。</w:t>
            </w:r>
          </w:p>
          <w:p>
            <w:pPr>
              <w:overflowPunct w:val="0"/>
              <w:adjustRightInd w:val="0"/>
              <w:snapToGrid w:val="0"/>
              <w:spacing w:line="360" w:lineRule="auto"/>
              <w:rPr>
                <w:rFonts w:ascii="宋体" w:hAnsi="宋体"/>
                <w:sz w:val="24"/>
                <w:szCs w:val="24"/>
              </w:rPr>
            </w:pPr>
            <w:r>
              <w:rPr>
                <w:rFonts w:hint="eastAsia" w:ascii="宋体" w:hAnsi="宋体"/>
                <w:sz w:val="24"/>
                <w:szCs w:val="24"/>
              </w:rPr>
              <w:t>设立方案“一卡通服务站”数量、覆盖面完全满足或优于采购需求，得8-10分；</w:t>
            </w:r>
          </w:p>
          <w:p>
            <w:pPr>
              <w:overflowPunct w:val="0"/>
              <w:adjustRightInd w:val="0"/>
              <w:snapToGrid w:val="0"/>
              <w:spacing w:line="360" w:lineRule="auto"/>
              <w:rPr>
                <w:rFonts w:ascii="宋体" w:hAnsi="宋体"/>
                <w:sz w:val="24"/>
                <w:szCs w:val="24"/>
              </w:rPr>
            </w:pPr>
            <w:r>
              <w:rPr>
                <w:rFonts w:hint="eastAsia" w:ascii="宋体" w:hAnsi="宋体"/>
                <w:sz w:val="24"/>
                <w:szCs w:val="24"/>
              </w:rPr>
              <w:t>设立方案“一卡通服务站”数量、覆盖面基本满足采购需求，得4-7分；</w:t>
            </w:r>
          </w:p>
          <w:p>
            <w:pPr>
              <w:overflowPunct w:val="0"/>
              <w:adjustRightInd w:val="0"/>
              <w:snapToGrid w:val="0"/>
              <w:spacing w:line="360" w:lineRule="auto"/>
              <w:rPr>
                <w:rFonts w:ascii="宋体" w:hAnsi="宋体"/>
                <w:sz w:val="24"/>
                <w:szCs w:val="24"/>
              </w:rPr>
            </w:pPr>
            <w:r>
              <w:rPr>
                <w:rFonts w:hint="eastAsia" w:ascii="宋体" w:hAnsi="宋体"/>
                <w:sz w:val="24"/>
                <w:szCs w:val="24"/>
              </w:rPr>
              <w:t>设立方案“一卡通服务站”数量、覆盖面不能满足采购需求,得0-3分。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restart"/>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软硬件支持</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5分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结合项目特点，提出形式多样的政策宣传及公示活动。根据宣传活动的多样性、有效性及可实施性，得0-5分。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8分</w:t>
            </w:r>
          </w:p>
        </w:tc>
        <w:tc>
          <w:tcPr>
            <w:tcW w:w="7323" w:type="dxa"/>
            <w:vAlign w:val="center"/>
          </w:tcPr>
          <w:p>
            <w:pPr>
              <w:adjustRightInd w:val="0"/>
              <w:snapToGrid w:val="0"/>
              <w:spacing w:line="360" w:lineRule="auto"/>
              <w:rPr>
                <w:rFonts w:ascii="宋体" w:hAnsi="宋体"/>
                <w:bCs/>
                <w:sz w:val="24"/>
                <w:szCs w:val="24"/>
              </w:rPr>
            </w:pPr>
            <w:r>
              <w:rPr>
                <w:rFonts w:hint="eastAsia" w:ascii="宋体" w:hAnsi="宋体"/>
                <w:sz w:val="24"/>
                <w:szCs w:val="24"/>
              </w:rPr>
              <w:t>针对本项目提出完整的管理制度，包括但不限于管理组织架构、管理机制、</w:t>
            </w:r>
            <w:r>
              <w:rPr>
                <w:rFonts w:hint="eastAsia" w:ascii="宋体" w:hAnsi="宋体"/>
                <w:bCs/>
                <w:sz w:val="24"/>
                <w:szCs w:val="24"/>
              </w:rPr>
              <w:t>岗位</w:t>
            </w:r>
            <w:r>
              <w:rPr>
                <w:rFonts w:ascii="宋体" w:hAnsi="宋体"/>
                <w:bCs/>
                <w:sz w:val="24"/>
                <w:szCs w:val="24"/>
              </w:rPr>
              <w:t>职责</w:t>
            </w:r>
            <w:r>
              <w:rPr>
                <w:rFonts w:hint="eastAsia" w:ascii="宋体" w:hAnsi="宋体"/>
                <w:bCs/>
                <w:sz w:val="24"/>
                <w:szCs w:val="24"/>
              </w:rPr>
              <w:t>、</w:t>
            </w:r>
            <w:r>
              <w:rPr>
                <w:rFonts w:hint="eastAsia" w:ascii="宋体" w:hAnsi="宋体"/>
                <w:sz w:val="24"/>
                <w:szCs w:val="24"/>
              </w:rPr>
              <w:t>工作</w:t>
            </w:r>
            <w:r>
              <w:rPr>
                <w:rFonts w:hint="eastAsia" w:ascii="宋体" w:hAnsi="宋体"/>
                <w:bCs/>
                <w:sz w:val="24"/>
                <w:szCs w:val="24"/>
              </w:rPr>
              <w:t>流程等。</w:t>
            </w:r>
          </w:p>
          <w:p>
            <w:pPr>
              <w:tabs>
                <w:tab w:val="left" w:pos="547"/>
              </w:tabs>
              <w:autoSpaceDE w:val="0"/>
              <w:autoSpaceDN w:val="0"/>
              <w:adjustRightInd w:val="0"/>
              <w:snapToGrid w:val="0"/>
              <w:spacing w:line="360" w:lineRule="auto"/>
              <w:rPr>
                <w:rFonts w:ascii="宋体" w:hAnsi="宋体" w:cs="仿宋"/>
                <w:sz w:val="24"/>
                <w:szCs w:val="24"/>
              </w:rPr>
            </w:pPr>
            <w:r>
              <w:rPr>
                <w:rFonts w:hint="eastAsia" w:ascii="宋体" w:hAnsi="宋体" w:cs="仿宋"/>
                <w:sz w:val="24"/>
                <w:szCs w:val="24"/>
              </w:rPr>
              <w:t>管理制度健全、规范，可行性强，得6-8分；</w:t>
            </w:r>
          </w:p>
          <w:p>
            <w:pPr>
              <w:tabs>
                <w:tab w:val="left" w:pos="547"/>
              </w:tabs>
              <w:autoSpaceDE w:val="0"/>
              <w:autoSpaceDN w:val="0"/>
              <w:adjustRightInd w:val="0"/>
              <w:snapToGrid w:val="0"/>
              <w:spacing w:line="360" w:lineRule="auto"/>
              <w:rPr>
                <w:rFonts w:ascii="宋体" w:hAnsi="宋体" w:cs="仿宋"/>
                <w:sz w:val="24"/>
                <w:szCs w:val="24"/>
              </w:rPr>
            </w:pPr>
            <w:r>
              <w:rPr>
                <w:rFonts w:hint="eastAsia" w:ascii="宋体" w:hAnsi="宋体" w:cs="仿宋"/>
                <w:sz w:val="24"/>
                <w:szCs w:val="24"/>
              </w:rPr>
              <w:t>管理制度规范，具有一定可行性，得3-5分；</w:t>
            </w:r>
          </w:p>
          <w:p>
            <w:pPr>
              <w:overflowPunct w:val="0"/>
              <w:adjustRightInd w:val="0"/>
              <w:snapToGrid w:val="0"/>
              <w:spacing w:line="360" w:lineRule="auto"/>
              <w:rPr>
                <w:rFonts w:ascii="宋体" w:hAnsi="宋体"/>
                <w:sz w:val="24"/>
                <w:szCs w:val="24"/>
              </w:rPr>
            </w:pPr>
            <w:r>
              <w:rPr>
                <w:rFonts w:hint="eastAsia" w:ascii="宋体" w:hAnsi="宋体" w:cs="仿宋"/>
                <w:sz w:val="24"/>
                <w:szCs w:val="24"/>
              </w:rPr>
              <w:t>管理制度不健全，不具备可行性，得0-2分。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color w:val="FF0000"/>
                <w:sz w:val="24"/>
                <w:szCs w:val="24"/>
              </w:rPr>
            </w:pPr>
            <w:r>
              <w:rPr>
                <w:rFonts w:hint="eastAsia" w:ascii="宋体" w:hAnsi="宋体"/>
                <w:color w:val="FF0000"/>
                <w:sz w:val="24"/>
                <w:szCs w:val="24"/>
              </w:rPr>
              <w:t>8分</w:t>
            </w:r>
          </w:p>
        </w:tc>
        <w:tc>
          <w:tcPr>
            <w:tcW w:w="7323" w:type="dxa"/>
            <w:vAlign w:val="center"/>
          </w:tcPr>
          <w:p>
            <w:pPr>
              <w:adjustRightInd w:val="0"/>
              <w:snapToGrid w:val="0"/>
              <w:spacing w:line="360" w:lineRule="auto"/>
              <w:rPr>
                <w:rFonts w:hint="eastAsia" w:ascii="宋体" w:hAnsi="宋体"/>
                <w:color w:val="FF0000"/>
                <w:sz w:val="24"/>
                <w:szCs w:val="24"/>
              </w:rPr>
            </w:pPr>
            <w:r>
              <w:rPr>
                <w:rFonts w:hint="eastAsia" w:ascii="宋体" w:hAnsi="宋体"/>
                <w:color w:val="FF0000"/>
                <w:sz w:val="24"/>
                <w:szCs w:val="24"/>
              </w:rPr>
              <w:t>代理银行系统保证与省市财政惠民补贴资金“一卡通”兑付系统管理平台无缝对接。根据系统的兼容性、稳定性得0-8分。</w:t>
            </w:r>
          </w:p>
          <w:p>
            <w:pPr>
              <w:adjustRightInd w:val="0"/>
              <w:snapToGrid w:val="0"/>
              <w:spacing w:line="360" w:lineRule="auto"/>
              <w:rPr>
                <w:rFonts w:hint="eastAsia" w:ascii="宋体" w:hAnsi="宋体"/>
                <w:color w:val="FF0000"/>
                <w:sz w:val="24"/>
                <w:szCs w:val="24"/>
              </w:rPr>
            </w:pPr>
            <w:r>
              <w:rPr>
                <w:rFonts w:hint="eastAsia" w:ascii="宋体" w:hAnsi="宋体"/>
                <w:color w:val="FF0000"/>
                <w:sz w:val="24"/>
                <w:szCs w:val="24"/>
              </w:rPr>
              <w:t>系统兼容性、稳定性强，得6-8分；</w:t>
            </w:r>
          </w:p>
          <w:p>
            <w:pPr>
              <w:adjustRightInd w:val="0"/>
              <w:snapToGrid w:val="0"/>
              <w:spacing w:line="360" w:lineRule="auto"/>
              <w:rPr>
                <w:rFonts w:hint="eastAsia" w:ascii="宋体" w:hAnsi="宋体"/>
                <w:color w:val="FF0000"/>
                <w:sz w:val="24"/>
                <w:szCs w:val="24"/>
              </w:rPr>
            </w:pPr>
            <w:r>
              <w:rPr>
                <w:rFonts w:hint="eastAsia" w:ascii="宋体" w:hAnsi="宋体"/>
                <w:color w:val="FF0000"/>
                <w:sz w:val="24"/>
                <w:szCs w:val="24"/>
              </w:rPr>
              <w:t>系统兼容性、稳定性一般，得3-5分；</w:t>
            </w:r>
          </w:p>
          <w:p>
            <w:pPr>
              <w:adjustRightInd w:val="0"/>
              <w:snapToGrid w:val="0"/>
              <w:spacing w:line="360" w:lineRule="auto"/>
              <w:rPr>
                <w:rFonts w:ascii="宋体" w:hAnsi="宋体"/>
                <w:color w:val="FF0000"/>
                <w:sz w:val="24"/>
                <w:szCs w:val="24"/>
              </w:rPr>
            </w:pPr>
            <w:r>
              <w:rPr>
                <w:rFonts w:hint="eastAsia" w:ascii="宋体" w:hAnsi="宋体"/>
                <w:color w:val="FF0000"/>
                <w:sz w:val="24"/>
                <w:szCs w:val="24"/>
              </w:rPr>
              <w:t>系统兼容性、稳定性差，得0-2分。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1分</w:t>
            </w:r>
          </w:p>
        </w:tc>
        <w:tc>
          <w:tcPr>
            <w:tcW w:w="7323" w:type="dxa"/>
            <w:vAlign w:val="center"/>
          </w:tcPr>
          <w:p>
            <w:pPr>
              <w:adjustRightInd w:val="0"/>
              <w:snapToGrid w:val="0"/>
              <w:spacing w:line="360" w:lineRule="auto"/>
              <w:rPr>
                <w:rFonts w:ascii="宋体" w:hAnsi="宋体"/>
                <w:sz w:val="24"/>
                <w:szCs w:val="24"/>
              </w:rPr>
            </w:pPr>
            <w:r>
              <w:rPr>
                <w:rFonts w:hint="eastAsia" w:ascii="宋体" w:hAnsi="宋体"/>
                <w:sz w:val="24"/>
                <w:szCs w:val="24"/>
              </w:rPr>
              <w:t>“一卡通”补贴卡制作能力强，能满足短期大批量制卡发卡要求，根据响应情况得0-1分。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10分</w:t>
            </w:r>
          </w:p>
        </w:tc>
        <w:tc>
          <w:tcPr>
            <w:tcW w:w="7323"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有完善的服务质量保障措施，包括组织保障，内容保障，平台设备及系统保障、</w:t>
            </w:r>
            <w:r>
              <w:rPr>
                <w:rFonts w:hint="eastAsia" w:ascii="宋体" w:hAnsi="宋体"/>
                <w:sz w:val="24"/>
                <w:szCs w:val="24"/>
              </w:rPr>
              <w:t>安全保证、强制性标准</w:t>
            </w:r>
            <w:r>
              <w:rPr>
                <w:rFonts w:hint="eastAsia" w:ascii="宋体" w:hAnsi="宋体" w:cs="宋体"/>
                <w:sz w:val="24"/>
                <w:szCs w:val="24"/>
              </w:rPr>
              <w:t>等。</w:t>
            </w:r>
          </w:p>
          <w:p>
            <w:pPr>
              <w:autoSpaceDE w:val="0"/>
              <w:autoSpaceDN w:val="0"/>
              <w:adjustRightInd w:val="0"/>
              <w:snapToGrid w:val="0"/>
              <w:spacing w:line="360" w:lineRule="auto"/>
              <w:rPr>
                <w:rFonts w:ascii="宋体" w:hAnsi="宋体" w:cs="仿宋"/>
                <w:sz w:val="24"/>
                <w:szCs w:val="24"/>
              </w:rPr>
            </w:pPr>
            <w:r>
              <w:rPr>
                <w:rFonts w:hint="eastAsia" w:ascii="宋体" w:hAnsi="宋体" w:cs="宋体"/>
                <w:sz w:val="24"/>
                <w:szCs w:val="24"/>
              </w:rPr>
              <w:t>服务质量保障措施</w:t>
            </w:r>
            <w:r>
              <w:rPr>
                <w:rFonts w:hint="eastAsia" w:ascii="宋体" w:hAnsi="宋体"/>
                <w:sz w:val="24"/>
                <w:szCs w:val="24"/>
              </w:rPr>
              <w:t>完整</w:t>
            </w:r>
            <w:r>
              <w:rPr>
                <w:rFonts w:hint="eastAsia" w:ascii="宋体" w:hAnsi="宋体" w:cs="仿宋"/>
                <w:sz w:val="24"/>
                <w:szCs w:val="24"/>
              </w:rPr>
              <w:t>、科学，针对性强，得8-10分；</w:t>
            </w:r>
          </w:p>
          <w:p>
            <w:pPr>
              <w:autoSpaceDE w:val="0"/>
              <w:autoSpaceDN w:val="0"/>
              <w:adjustRightInd w:val="0"/>
              <w:snapToGrid w:val="0"/>
              <w:spacing w:line="360" w:lineRule="auto"/>
              <w:rPr>
                <w:rFonts w:ascii="宋体" w:hAnsi="宋体" w:cs="仿宋"/>
                <w:sz w:val="24"/>
                <w:szCs w:val="24"/>
              </w:rPr>
            </w:pPr>
            <w:r>
              <w:rPr>
                <w:rFonts w:hint="eastAsia" w:ascii="宋体" w:hAnsi="宋体" w:cs="宋体"/>
                <w:sz w:val="24"/>
                <w:szCs w:val="24"/>
              </w:rPr>
              <w:t>服务质量保障措施</w:t>
            </w:r>
            <w:r>
              <w:rPr>
                <w:rFonts w:hint="eastAsia" w:ascii="宋体" w:hAnsi="宋体" w:cs="仿宋"/>
                <w:sz w:val="24"/>
                <w:szCs w:val="24"/>
              </w:rPr>
              <w:t>相对完整、科学，具有一定针对性，得4-7分；</w:t>
            </w:r>
          </w:p>
          <w:p>
            <w:pPr>
              <w:overflowPunct w:val="0"/>
              <w:adjustRightInd w:val="0"/>
              <w:snapToGrid w:val="0"/>
              <w:spacing w:line="360" w:lineRule="auto"/>
              <w:rPr>
                <w:rFonts w:ascii="宋体" w:hAnsi="宋体"/>
                <w:sz w:val="24"/>
                <w:szCs w:val="24"/>
              </w:rPr>
            </w:pPr>
            <w:r>
              <w:rPr>
                <w:rFonts w:hint="eastAsia" w:ascii="宋体" w:hAnsi="宋体" w:cs="宋体"/>
                <w:sz w:val="24"/>
                <w:szCs w:val="24"/>
              </w:rPr>
              <w:t>服务质量保障措施</w:t>
            </w:r>
            <w:r>
              <w:rPr>
                <w:rFonts w:hint="eastAsia" w:ascii="宋体" w:hAnsi="宋体"/>
                <w:sz w:val="24"/>
                <w:szCs w:val="24"/>
              </w:rPr>
              <w:t>内容</w:t>
            </w:r>
            <w:r>
              <w:rPr>
                <w:rFonts w:hint="eastAsia" w:ascii="宋体" w:hAnsi="宋体" w:cs="仿宋"/>
                <w:sz w:val="24"/>
                <w:szCs w:val="24"/>
              </w:rPr>
              <w:t>欠缺，针对性差，得0-3分。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restart"/>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资金安全保障</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3分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确保资金实施到账的相应措施，根据措施的详细性、可行性得0-3分。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5分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针对本项目制定的应急预案体系（包括但不限于重大突发事件应急预案、业务系统及网络应急预案、汇划系统手工应急预案等）。</w:t>
            </w:r>
          </w:p>
          <w:p>
            <w:pPr>
              <w:overflowPunct w:val="0"/>
              <w:adjustRightInd w:val="0"/>
              <w:snapToGrid w:val="0"/>
              <w:spacing w:line="360" w:lineRule="auto"/>
              <w:rPr>
                <w:rFonts w:ascii="宋体" w:hAnsi="宋体"/>
                <w:sz w:val="24"/>
                <w:szCs w:val="24"/>
              </w:rPr>
            </w:pPr>
            <w:r>
              <w:rPr>
                <w:rFonts w:hint="eastAsia" w:ascii="宋体" w:hAnsi="宋体"/>
                <w:sz w:val="24"/>
                <w:szCs w:val="24"/>
              </w:rPr>
              <w:t>根据响应内容的全面性、有效性得0-5分。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3分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系统具备实时动态监控功能，根据响应情况得0-3分。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Merge w:val="continue"/>
            <w:vAlign w:val="center"/>
          </w:tcPr>
          <w:p>
            <w:pPr>
              <w:overflowPunct w:val="0"/>
              <w:adjustRightInd w:val="0"/>
              <w:snapToGrid w:val="0"/>
              <w:spacing w:line="360" w:lineRule="auto"/>
              <w:jc w:val="center"/>
              <w:rPr>
                <w:rFonts w:ascii="宋体" w:hAnsi="宋体"/>
                <w:sz w:val="24"/>
                <w:szCs w:val="24"/>
              </w:rPr>
            </w:pP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9分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提出针对本项目的风险防控体系，确保财政惠民资金安全。</w:t>
            </w:r>
          </w:p>
          <w:p>
            <w:pPr>
              <w:overflowPunct w:val="0"/>
              <w:adjustRightInd w:val="0"/>
              <w:snapToGrid w:val="0"/>
              <w:spacing w:line="360" w:lineRule="auto"/>
              <w:rPr>
                <w:rFonts w:ascii="宋体" w:hAnsi="宋体"/>
                <w:sz w:val="24"/>
                <w:szCs w:val="24"/>
              </w:rPr>
            </w:pPr>
            <w:r>
              <w:rPr>
                <w:rFonts w:hint="eastAsia" w:ascii="宋体" w:hAnsi="宋体"/>
                <w:sz w:val="24"/>
                <w:szCs w:val="24"/>
              </w:rPr>
              <w:t>风险防控及内控制度完善，资金安全保障方案合理，得7-9分；</w:t>
            </w:r>
          </w:p>
          <w:p>
            <w:pPr>
              <w:overflowPunct w:val="0"/>
              <w:adjustRightInd w:val="0"/>
              <w:snapToGrid w:val="0"/>
              <w:spacing w:line="360" w:lineRule="auto"/>
              <w:rPr>
                <w:rFonts w:ascii="宋体" w:hAnsi="宋体"/>
                <w:sz w:val="24"/>
                <w:szCs w:val="24"/>
              </w:rPr>
            </w:pPr>
            <w:r>
              <w:rPr>
                <w:rFonts w:hint="eastAsia" w:ascii="宋体" w:hAnsi="宋体"/>
                <w:sz w:val="24"/>
                <w:szCs w:val="24"/>
              </w:rPr>
              <w:t>风险防控及内控制度基本完善，资金安全保障方案相对合理，得4-6分；</w:t>
            </w:r>
          </w:p>
          <w:p>
            <w:pPr>
              <w:overflowPunct w:val="0"/>
              <w:adjustRightInd w:val="0"/>
              <w:snapToGrid w:val="0"/>
              <w:spacing w:line="360" w:lineRule="auto"/>
              <w:rPr>
                <w:rFonts w:ascii="宋体" w:hAnsi="宋体"/>
                <w:sz w:val="24"/>
                <w:szCs w:val="24"/>
              </w:rPr>
            </w:pPr>
            <w:r>
              <w:rPr>
                <w:rFonts w:hint="eastAsia" w:ascii="宋体" w:hAnsi="宋体"/>
                <w:sz w:val="24"/>
                <w:szCs w:val="24"/>
              </w:rPr>
              <w:t>风险防控及内控制度较差，资金安全保障方案不合理，得0-3分。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68" w:type="dxa"/>
            <w:vMerge w:val="continue"/>
            <w:vAlign w:val="center"/>
          </w:tcPr>
          <w:p>
            <w:pPr>
              <w:overflowPunct w:val="0"/>
              <w:adjustRightInd w:val="0"/>
              <w:snapToGrid w:val="0"/>
              <w:spacing w:line="360" w:lineRule="auto"/>
              <w:jc w:val="center"/>
              <w:rPr>
                <w:rFonts w:ascii="宋体" w:hAnsi="宋体"/>
                <w:sz w:val="24"/>
                <w:szCs w:val="24"/>
              </w:rPr>
            </w:pPr>
          </w:p>
        </w:tc>
        <w:tc>
          <w:tcPr>
            <w:tcW w:w="1418"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优惠承诺</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8分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“一卡通服务站”优惠承诺。</w:t>
            </w:r>
          </w:p>
          <w:p>
            <w:pPr>
              <w:overflowPunct w:val="0"/>
              <w:adjustRightInd w:val="0"/>
              <w:snapToGrid w:val="0"/>
              <w:spacing w:line="360" w:lineRule="auto"/>
              <w:rPr>
                <w:rFonts w:ascii="宋体" w:hAnsi="宋体"/>
                <w:sz w:val="24"/>
                <w:szCs w:val="24"/>
              </w:rPr>
            </w:pPr>
            <w:r>
              <w:rPr>
                <w:rFonts w:ascii="宋体" w:hAnsi="宋体"/>
                <w:sz w:val="24"/>
                <w:szCs w:val="24"/>
              </w:rPr>
              <w:t>承诺</w:t>
            </w:r>
            <w:r>
              <w:rPr>
                <w:rFonts w:hint="eastAsia" w:ascii="宋体" w:hAnsi="宋体"/>
                <w:sz w:val="24"/>
                <w:szCs w:val="24"/>
              </w:rPr>
              <w:t>完全</w:t>
            </w:r>
            <w:r>
              <w:rPr>
                <w:rFonts w:ascii="宋体" w:hAnsi="宋体"/>
                <w:sz w:val="24"/>
                <w:szCs w:val="24"/>
              </w:rPr>
              <w:t>满足</w:t>
            </w:r>
            <w:r>
              <w:rPr>
                <w:rFonts w:hint="eastAsia" w:ascii="宋体" w:hAnsi="宋体"/>
                <w:sz w:val="24"/>
                <w:szCs w:val="24"/>
              </w:rPr>
              <w:t>或优于</w:t>
            </w:r>
            <w:r>
              <w:rPr>
                <w:rFonts w:ascii="宋体" w:hAnsi="宋体"/>
                <w:sz w:val="24"/>
                <w:szCs w:val="24"/>
              </w:rPr>
              <w:t>采购需求</w:t>
            </w:r>
            <w:r>
              <w:rPr>
                <w:rFonts w:hint="eastAsia" w:ascii="宋体" w:hAnsi="宋体"/>
                <w:sz w:val="24"/>
                <w:szCs w:val="24"/>
              </w:rPr>
              <w:t>，服务便利</w:t>
            </w:r>
            <w:r>
              <w:rPr>
                <w:rFonts w:ascii="宋体" w:hAnsi="宋体"/>
                <w:sz w:val="24"/>
                <w:szCs w:val="24"/>
              </w:rPr>
              <w:t>的</w:t>
            </w:r>
            <w:r>
              <w:rPr>
                <w:rFonts w:hint="eastAsia" w:ascii="宋体" w:hAnsi="宋体"/>
                <w:sz w:val="24"/>
                <w:szCs w:val="24"/>
              </w:rPr>
              <w:t>，得6-8分；</w:t>
            </w:r>
          </w:p>
          <w:p>
            <w:pPr>
              <w:overflowPunct w:val="0"/>
              <w:adjustRightInd w:val="0"/>
              <w:snapToGrid w:val="0"/>
              <w:spacing w:line="360" w:lineRule="auto"/>
              <w:rPr>
                <w:rFonts w:ascii="宋体" w:hAnsi="宋体"/>
                <w:sz w:val="24"/>
                <w:szCs w:val="24"/>
              </w:rPr>
            </w:pPr>
            <w:r>
              <w:rPr>
                <w:rFonts w:ascii="宋体" w:hAnsi="宋体"/>
                <w:sz w:val="24"/>
                <w:szCs w:val="24"/>
              </w:rPr>
              <w:t>承诺</w:t>
            </w:r>
            <w:r>
              <w:rPr>
                <w:rFonts w:hint="eastAsia" w:ascii="宋体" w:hAnsi="宋体"/>
                <w:sz w:val="24"/>
                <w:szCs w:val="24"/>
              </w:rPr>
              <w:t>部分</w:t>
            </w:r>
            <w:r>
              <w:rPr>
                <w:rFonts w:ascii="宋体" w:hAnsi="宋体"/>
                <w:sz w:val="24"/>
                <w:szCs w:val="24"/>
              </w:rPr>
              <w:t>满足采购需求</w:t>
            </w:r>
            <w:r>
              <w:rPr>
                <w:rFonts w:hint="eastAsia" w:ascii="宋体" w:hAnsi="宋体"/>
                <w:sz w:val="24"/>
                <w:szCs w:val="24"/>
              </w:rPr>
              <w:t>、服务相对便利</w:t>
            </w:r>
            <w:r>
              <w:rPr>
                <w:rFonts w:ascii="宋体" w:hAnsi="宋体"/>
                <w:sz w:val="24"/>
                <w:szCs w:val="24"/>
              </w:rPr>
              <w:t>的</w:t>
            </w:r>
            <w:r>
              <w:rPr>
                <w:rFonts w:hint="eastAsia" w:ascii="宋体" w:hAnsi="宋体"/>
                <w:sz w:val="24"/>
                <w:szCs w:val="24"/>
              </w:rPr>
              <w:t>，得3-5分；</w:t>
            </w:r>
          </w:p>
          <w:p>
            <w:pPr>
              <w:overflowPunct w:val="0"/>
              <w:adjustRightInd w:val="0"/>
              <w:snapToGrid w:val="0"/>
              <w:spacing w:line="360" w:lineRule="auto"/>
              <w:rPr>
                <w:rFonts w:ascii="宋体" w:hAnsi="宋体"/>
                <w:sz w:val="24"/>
                <w:szCs w:val="24"/>
              </w:rPr>
            </w:pPr>
            <w:r>
              <w:rPr>
                <w:rFonts w:ascii="宋体" w:hAnsi="宋体"/>
                <w:sz w:val="24"/>
                <w:szCs w:val="24"/>
              </w:rPr>
              <w:t>承诺</w:t>
            </w:r>
            <w:r>
              <w:rPr>
                <w:rFonts w:hint="eastAsia" w:ascii="宋体" w:hAnsi="宋体"/>
                <w:sz w:val="24"/>
                <w:szCs w:val="24"/>
              </w:rPr>
              <w:t>不</w:t>
            </w:r>
            <w:r>
              <w:rPr>
                <w:rFonts w:ascii="宋体" w:hAnsi="宋体"/>
                <w:sz w:val="24"/>
                <w:szCs w:val="24"/>
              </w:rPr>
              <w:t>满足采购需求</w:t>
            </w:r>
            <w:r>
              <w:rPr>
                <w:rFonts w:hint="eastAsia" w:ascii="宋体" w:hAnsi="宋体"/>
                <w:sz w:val="24"/>
                <w:szCs w:val="24"/>
              </w:rPr>
              <w:t>，服务差</w:t>
            </w:r>
            <w:r>
              <w:rPr>
                <w:rFonts w:ascii="宋体" w:hAnsi="宋体"/>
                <w:sz w:val="24"/>
                <w:szCs w:val="24"/>
              </w:rPr>
              <w:t>的</w:t>
            </w:r>
            <w:r>
              <w:rPr>
                <w:rFonts w:hint="eastAsia" w:ascii="宋体" w:hAnsi="宋体"/>
                <w:sz w:val="24"/>
                <w:szCs w:val="24"/>
              </w:rPr>
              <w:t>，得0-2分。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568" w:type="dxa"/>
            <w:vMerge w:val="restart"/>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人员组织方案</w:t>
            </w:r>
          </w:p>
        </w:tc>
        <w:tc>
          <w:tcPr>
            <w:tcW w:w="1418"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服务团队</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12分</w:t>
            </w:r>
          </w:p>
        </w:tc>
        <w:tc>
          <w:tcPr>
            <w:tcW w:w="7323" w:type="dxa"/>
            <w:vAlign w:val="center"/>
          </w:tcPr>
          <w:p>
            <w:pPr>
              <w:overflowPunct w:val="0"/>
              <w:adjustRightInd w:val="0"/>
              <w:snapToGrid w:val="0"/>
              <w:spacing w:line="360" w:lineRule="auto"/>
              <w:rPr>
                <w:rFonts w:ascii="宋体" w:hAnsi="宋体"/>
                <w:sz w:val="24"/>
                <w:szCs w:val="24"/>
              </w:rPr>
            </w:pPr>
            <w:r>
              <w:rPr>
                <w:rFonts w:hint="eastAsia" w:ascii="宋体" w:hAnsi="宋体"/>
                <w:sz w:val="24"/>
                <w:szCs w:val="24"/>
              </w:rPr>
              <w:t>人员配备齐全，分工明确，团队成员经验丰富、成立相应的领导小组，得9-12分；</w:t>
            </w:r>
          </w:p>
          <w:p>
            <w:pPr>
              <w:overflowPunct w:val="0"/>
              <w:adjustRightInd w:val="0"/>
              <w:snapToGrid w:val="0"/>
              <w:spacing w:line="360" w:lineRule="auto"/>
              <w:rPr>
                <w:rFonts w:ascii="宋体" w:hAnsi="宋体"/>
                <w:sz w:val="24"/>
                <w:szCs w:val="24"/>
              </w:rPr>
            </w:pPr>
            <w:r>
              <w:rPr>
                <w:rFonts w:hint="eastAsia" w:ascii="宋体" w:hAnsi="宋体"/>
                <w:sz w:val="24"/>
                <w:szCs w:val="24"/>
              </w:rPr>
              <w:t>人员配备基本齐全，分工相对明确，团队成员有一定经验，得5-8分；</w:t>
            </w:r>
          </w:p>
          <w:p>
            <w:pPr>
              <w:overflowPunct w:val="0"/>
              <w:adjustRightInd w:val="0"/>
              <w:snapToGrid w:val="0"/>
              <w:spacing w:line="360" w:lineRule="auto"/>
              <w:rPr>
                <w:rFonts w:ascii="宋体" w:hAnsi="宋体"/>
                <w:sz w:val="24"/>
                <w:szCs w:val="24"/>
              </w:rPr>
            </w:pPr>
            <w:r>
              <w:rPr>
                <w:rFonts w:hint="eastAsia" w:ascii="宋体" w:hAnsi="宋体"/>
                <w:sz w:val="24"/>
                <w:szCs w:val="24"/>
              </w:rPr>
              <w:t>人员配备不齐全，分工不明确，团队成员经验欠缺，得0-4分。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568" w:type="dxa"/>
            <w:vMerge w:val="continue"/>
            <w:vAlign w:val="center"/>
          </w:tcPr>
          <w:p>
            <w:pPr>
              <w:overflowPunct w:val="0"/>
              <w:adjustRightInd w:val="0"/>
              <w:snapToGrid w:val="0"/>
              <w:spacing w:line="360" w:lineRule="auto"/>
              <w:jc w:val="center"/>
              <w:rPr>
                <w:rFonts w:hint="eastAsia" w:ascii="宋体" w:hAnsi="宋体"/>
                <w:sz w:val="24"/>
                <w:szCs w:val="24"/>
              </w:rPr>
            </w:pPr>
          </w:p>
        </w:tc>
        <w:tc>
          <w:tcPr>
            <w:tcW w:w="1418" w:type="dxa"/>
            <w:vAlign w:val="center"/>
          </w:tcPr>
          <w:p>
            <w:pPr>
              <w:overflowPunct w:val="0"/>
              <w:adjustRightInd w:val="0"/>
              <w:snapToGrid w:val="0"/>
              <w:spacing w:line="360" w:lineRule="auto"/>
              <w:jc w:val="center"/>
              <w:rPr>
                <w:rFonts w:hint="eastAsia" w:ascii="宋体" w:hAnsi="宋体"/>
                <w:sz w:val="24"/>
                <w:szCs w:val="24"/>
              </w:rPr>
            </w:pPr>
            <w:r>
              <w:rPr>
                <w:rFonts w:hint="eastAsia" w:ascii="宋体" w:hAnsi="宋体"/>
                <w:sz w:val="24"/>
                <w:szCs w:val="24"/>
              </w:rPr>
              <w:t>专人专账</w:t>
            </w:r>
          </w:p>
        </w:tc>
        <w:tc>
          <w:tcPr>
            <w:tcW w:w="992" w:type="dxa"/>
            <w:vAlign w:val="center"/>
          </w:tcPr>
          <w:p>
            <w:pPr>
              <w:overflowPunct w:val="0"/>
              <w:adjustRightInd w:val="0"/>
              <w:snapToGrid w:val="0"/>
              <w:spacing w:line="360" w:lineRule="auto"/>
              <w:jc w:val="center"/>
              <w:rPr>
                <w:rFonts w:hint="eastAsia" w:ascii="宋体" w:hAnsi="宋体"/>
                <w:sz w:val="24"/>
                <w:szCs w:val="24"/>
              </w:rPr>
            </w:pPr>
            <w:r>
              <w:rPr>
                <w:rFonts w:hint="eastAsia" w:ascii="宋体" w:hAnsi="宋体"/>
                <w:sz w:val="24"/>
                <w:szCs w:val="24"/>
              </w:rPr>
              <w:t>5分</w:t>
            </w:r>
          </w:p>
        </w:tc>
        <w:tc>
          <w:tcPr>
            <w:tcW w:w="7323" w:type="dxa"/>
            <w:vAlign w:val="center"/>
          </w:tcPr>
          <w:p>
            <w:pPr>
              <w:overflowPunct w:val="0"/>
              <w:adjustRightInd w:val="0"/>
              <w:snapToGrid w:val="0"/>
              <w:spacing w:line="360" w:lineRule="auto"/>
              <w:rPr>
                <w:rFonts w:hint="eastAsia" w:ascii="宋体" w:hAnsi="宋体"/>
                <w:sz w:val="24"/>
                <w:szCs w:val="24"/>
              </w:rPr>
            </w:pPr>
            <w:r>
              <w:rPr>
                <w:rFonts w:hint="eastAsia" w:ascii="宋体" w:hAnsi="宋体"/>
                <w:sz w:val="24"/>
                <w:szCs w:val="24"/>
              </w:rPr>
              <w:t>对财政惠民“一卡通”系统进行专人专账，即安排专人记好相关账务，方便随时查询、统计相关数据。根据响应情况得0-5分。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986" w:type="dxa"/>
            <w:gridSpan w:val="2"/>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业绩</w:t>
            </w:r>
          </w:p>
        </w:tc>
        <w:tc>
          <w:tcPr>
            <w:tcW w:w="992" w:type="dxa"/>
            <w:vAlign w:val="center"/>
          </w:tcPr>
          <w:p>
            <w:pPr>
              <w:overflowPunct w:val="0"/>
              <w:adjustRightInd w:val="0"/>
              <w:snapToGrid w:val="0"/>
              <w:spacing w:line="360" w:lineRule="auto"/>
              <w:jc w:val="center"/>
              <w:rPr>
                <w:rFonts w:ascii="宋体" w:hAnsi="宋体"/>
                <w:sz w:val="24"/>
                <w:szCs w:val="24"/>
              </w:rPr>
            </w:pPr>
            <w:r>
              <w:rPr>
                <w:rFonts w:hint="eastAsia" w:ascii="宋体" w:hAnsi="宋体"/>
                <w:sz w:val="24"/>
                <w:szCs w:val="24"/>
              </w:rPr>
              <w:t>3分</w:t>
            </w:r>
          </w:p>
        </w:tc>
        <w:tc>
          <w:tcPr>
            <w:tcW w:w="7323" w:type="dxa"/>
            <w:vAlign w:val="center"/>
          </w:tcPr>
          <w:p>
            <w:pPr>
              <w:overflowPunct w:val="0"/>
              <w:adjustRightInd w:val="0"/>
              <w:snapToGrid w:val="0"/>
              <w:spacing w:line="360" w:lineRule="auto"/>
              <w:rPr>
                <w:rFonts w:ascii="宋体" w:hAnsi="宋体"/>
                <w:color w:val="FF0000"/>
                <w:sz w:val="24"/>
                <w:szCs w:val="24"/>
              </w:rPr>
            </w:pPr>
            <w:r>
              <w:rPr>
                <w:rFonts w:ascii="宋体" w:hAnsi="宋体"/>
                <w:color w:val="FF0000"/>
                <w:sz w:val="24"/>
                <w:szCs w:val="24"/>
              </w:rPr>
              <w:t>具有201</w:t>
            </w:r>
            <w:r>
              <w:rPr>
                <w:rFonts w:hint="eastAsia" w:ascii="宋体" w:hAnsi="宋体"/>
                <w:color w:val="FF0000"/>
                <w:sz w:val="24"/>
                <w:szCs w:val="24"/>
              </w:rPr>
              <w:t>7</w:t>
            </w:r>
            <w:r>
              <w:rPr>
                <w:rFonts w:ascii="宋体" w:hAnsi="宋体"/>
                <w:color w:val="FF0000"/>
                <w:sz w:val="24"/>
                <w:szCs w:val="24"/>
              </w:rPr>
              <w:t>年</w:t>
            </w:r>
            <w:r>
              <w:rPr>
                <w:rFonts w:hint="eastAsia" w:ascii="宋体" w:hAnsi="宋体"/>
                <w:color w:val="FF0000"/>
                <w:sz w:val="24"/>
                <w:szCs w:val="24"/>
              </w:rPr>
              <w:t>1月</w:t>
            </w:r>
            <w:r>
              <w:rPr>
                <w:rFonts w:ascii="宋体" w:hAnsi="宋体"/>
                <w:color w:val="FF0000"/>
                <w:sz w:val="24"/>
                <w:szCs w:val="24"/>
              </w:rPr>
              <w:t>至今的同类业绩（以合同签订日期为准），提供合同复印件加盖公章，每</w:t>
            </w:r>
            <w:r>
              <w:rPr>
                <w:rFonts w:hint="eastAsia" w:ascii="宋体" w:hAnsi="宋体"/>
                <w:color w:val="FF0000"/>
                <w:sz w:val="24"/>
                <w:szCs w:val="24"/>
              </w:rPr>
              <w:t>提供1份</w:t>
            </w:r>
            <w:r>
              <w:rPr>
                <w:rFonts w:ascii="宋体" w:hAnsi="宋体"/>
                <w:color w:val="FF0000"/>
                <w:sz w:val="24"/>
                <w:szCs w:val="24"/>
              </w:rPr>
              <w:t>计</w:t>
            </w:r>
            <w:r>
              <w:rPr>
                <w:rFonts w:hint="eastAsia" w:ascii="宋体" w:hAnsi="宋体"/>
                <w:color w:val="FF0000"/>
                <w:sz w:val="24"/>
                <w:szCs w:val="24"/>
              </w:rPr>
              <w:t>1</w:t>
            </w:r>
            <w:r>
              <w:rPr>
                <w:rFonts w:ascii="宋体" w:hAnsi="宋体"/>
                <w:color w:val="FF0000"/>
                <w:sz w:val="24"/>
                <w:szCs w:val="24"/>
              </w:rPr>
              <w:t>分，满分</w:t>
            </w:r>
            <w:r>
              <w:rPr>
                <w:rFonts w:hint="eastAsia" w:ascii="宋体" w:hAnsi="宋体"/>
                <w:color w:val="FF0000"/>
                <w:sz w:val="24"/>
                <w:szCs w:val="24"/>
              </w:rPr>
              <w:t>3</w:t>
            </w:r>
            <w:r>
              <w:rPr>
                <w:rFonts w:ascii="宋体" w:hAnsi="宋体"/>
                <w:color w:val="FF0000"/>
                <w:sz w:val="24"/>
                <w:szCs w:val="24"/>
              </w:rPr>
              <w:t>分。</w:t>
            </w:r>
          </w:p>
        </w:tc>
      </w:tr>
    </w:tbl>
    <w:p>
      <w:pPr>
        <w:spacing w:line="360" w:lineRule="auto"/>
        <w:rPr>
          <w:rFonts w:asciiTheme="minorEastAsia" w:hAnsiTheme="minorEastAsia"/>
          <w:b/>
          <w:sz w:val="24"/>
          <w:szCs w:val="24"/>
        </w:rPr>
      </w:pPr>
      <w:r>
        <w:rPr>
          <w:rFonts w:hint="eastAsia" w:asciiTheme="minorEastAsia" w:hAnsiTheme="minorEastAsia"/>
          <w:b/>
          <w:sz w:val="24"/>
          <w:szCs w:val="24"/>
        </w:rPr>
        <w:t>备注：</w:t>
      </w:r>
    </w:p>
    <w:p>
      <w:pPr>
        <w:spacing w:line="360" w:lineRule="auto"/>
        <w:ind w:firstLine="480" w:firstLineChars="200"/>
        <w:rPr>
          <w:rFonts w:ascii="宋体" w:hAnsi="宋体"/>
          <w:sz w:val="24"/>
          <w:szCs w:val="24"/>
        </w:rPr>
      </w:pPr>
      <w:r>
        <w:rPr>
          <w:rFonts w:hint="eastAsia" w:asciiTheme="minorEastAsia" w:hAnsiTheme="minorEastAsia"/>
          <w:sz w:val="24"/>
          <w:szCs w:val="24"/>
        </w:rPr>
        <w:t>1) 以上各项打分均由磋商小组独立评分，</w:t>
      </w:r>
      <w:r>
        <w:rPr>
          <w:rFonts w:hint="eastAsia" w:ascii="宋体" w:hAnsi="宋体"/>
          <w:sz w:val="24"/>
          <w:szCs w:val="24"/>
        </w:rPr>
        <w:t>评分相邻两档之间的得分，归属于较低一档,按评审后综合得分由高到低推荐一至三名成交候选人。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如磋商小组一致认为最低报价或某些分项报价明显不合理，有降低质量、不能诚信履约的可能时，磋商小组有权通知供应商进行解释。如供应商未能在规定期限内作出解释，或所作解释不合理，经磋商小组取得一致意见后，对该供应商将不予推荐。</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3)若出现综合得分并列时，比较技术得分，此分项得分高者排序在前；若技术得分仍相同，比较价格得分，此分项得分高者排序在前；若投标报价得分仍相同，则由磋商小组无记名投票，得票高者排序在前。</w:t>
      </w:r>
    </w:p>
    <w:p>
      <w:pPr>
        <w:spacing w:line="360" w:lineRule="auto"/>
        <w:ind w:firstLine="480" w:firstLineChars="200"/>
        <w:rPr>
          <w:rFonts w:ascii="宋体" w:hAnsi="宋体"/>
          <w:sz w:val="24"/>
          <w:szCs w:val="24"/>
        </w:rPr>
      </w:pPr>
      <w:r>
        <w:rPr>
          <w:rFonts w:hint="eastAsia" w:ascii="宋体" w:hAnsi="宋体"/>
          <w:sz w:val="24"/>
          <w:szCs w:val="24"/>
        </w:rPr>
        <w:t>4) 各种计算采用插入法，数字均保留两位小数，第三位“四舍五入”。</w:t>
      </w:r>
    </w:p>
    <w:p>
      <w:pPr>
        <w:spacing w:line="360" w:lineRule="auto"/>
        <w:ind w:firstLine="480" w:firstLineChars="200"/>
        <w:rPr>
          <w:rFonts w:ascii="宋体" w:hAnsi="宋体"/>
          <w:sz w:val="24"/>
          <w:szCs w:val="24"/>
        </w:rPr>
      </w:pPr>
      <w:r>
        <w:rPr>
          <w:rFonts w:hint="eastAsia" w:ascii="宋体" w:hAnsi="宋体"/>
          <w:sz w:val="24"/>
          <w:szCs w:val="24"/>
        </w:rPr>
        <w:t>5) 评审时，供应商符合磋商须知第39条采购政策的按照采购政策执行。</w:t>
      </w:r>
    </w:p>
    <w:p>
      <w:pPr>
        <w:spacing w:line="360" w:lineRule="auto"/>
        <w:ind w:firstLine="480" w:firstLineChars="200"/>
        <w:rPr>
          <w:rFonts w:ascii="宋体" w:hAnsi="宋体"/>
          <w:sz w:val="24"/>
          <w:szCs w:val="24"/>
        </w:rPr>
      </w:pPr>
      <w:r>
        <w:rPr>
          <w:rFonts w:ascii="宋体" w:hAnsi="宋体"/>
          <w:sz w:val="24"/>
          <w:szCs w:val="24"/>
        </w:rPr>
        <w:t>磋商小组根据评标情况编制评审报告，磋商小组成员对评审报告有异议的，应当在评审报告上签署不同意见，并说明理由，否则视为同意。对拒绝说明理由的，须报政府采购监管部门处理，并将其评审情况如实计入考核表。</w:t>
      </w:r>
    </w:p>
    <w:p>
      <w:pPr>
        <w:adjustRightInd w:val="0"/>
        <w:snapToGrid w:val="0"/>
        <w:spacing w:line="360" w:lineRule="auto"/>
        <w:rPr>
          <w:rFonts w:ascii="宋体" w:hAnsi="宋体"/>
          <w:sz w:val="24"/>
          <w:szCs w:val="24"/>
        </w:rPr>
      </w:pPr>
      <w:bookmarkStart w:id="198" w:name="_Toc380336742"/>
      <w:bookmarkStart w:id="199" w:name="_Toc358364336"/>
      <w:bookmarkStart w:id="200" w:name="_Toc409689064"/>
      <w:r>
        <w:rPr>
          <w:rFonts w:hint="eastAsia" w:ascii="宋体" w:hAnsi="宋体"/>
          <w:b/>
          <w:sz w:val="24"/>
          <w:szCs w:val="24"/>
        </w:rPr>
        <w:t>31、定标及合同授予</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31.1采购代理机构应当在评审结束后2个工作日内，将磋商报告送采购人定标。</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31.2</w:t>
      </w:r>
      <w:r>
        <w:rPr>
          <w:rFonts w:ascii="宋体" w:hAnsi="宋体"/>
          <w:sz w:val="24"/>
          <w:szCs w:val="24"/>
        </w:rPr>
        <w:t>采购人应当自收到</w:t>
      </w:r>
      <w:r>
        <w:rPr>
          <w:rFonts w:hint="eastAsia" w:ascii="宋体" w:hAnsi="宋体"/>
          <w:sz w:val="24"/>
          <w:szCs w:val="24"/>
        </w:rPr>
        <w:t>磋商</w:t>
      </w:r>
      <w:r>
        <w:rPr>
          <w:rFonts w:ascii="宋体" w:hAnsi="宋体"/>
          <w:sz w:val="24"/>
          <w:szCs w:val="24"/>
        </w:rPr>
        <w:t>报告之日起</w:t>
      </w:r>
      <w:r>
        <w:rPr>
          <w:rFonts w:hint="eastAsia" w:ascii="宋体" w:hAnsi="宋体"/>
          <w:sz w:val="24"/>
          <w:szCs w:val="24"/>
        </w:rPr>
        <w:t>5</w:t>
      </w:r>
      <w:r>
        <w:rPr>
          <w:rFonts w:ascii="宋体" w:hAnsi="宋体"/>
          <w:sz w:val="24"/>
          <w:szCs w:val="24"/>
        </w:rPr>
        <w:t>个工作日内，在</w:t>
      </w:r>
      <w:r>
        <w:rPr>
          <w:rFonts w:hint="eastAsia" w:ascii="宋体" w:hAnsi="宋体"/>
          <w:sz w:val="24"/>
          <w:szCs w:val="24"/>
        </w:rPr>
        <w:t>磋商</w:t>
      </w:r>
      <w:r>
        <w:rPr>
          <w:rFonts w:ascii="宋体" w:hAnsi="宋体"/>
          <w:sz w:val="24"/>
          <w:szCs w:val="24"/>
        </w:rPr>
        <w:t>报告确定的</w:t>
      </w:r>
      <w:r>
        <w:rPr>
          <w:rFonts w:hint="eastAsia" w:ascii="宋体" w:hAnsi="宋体"/>
          <w:sz w:val="24"/>
          <w:szCs w:val="24"/>
        </w:rPr>
        <w:t>成交</w:t>
      </w:r>
      <w:r>
        <w:rPr>
          <w:rFonts w:ascii="宋体" w:hAnsi="宋体"/>
          <w:sz w:val="24"/>
          <w:szCs w:val="24"/>
        </w:rPr>
        <w:t>候选人名单中按顺序确定</w:t>
      </w:r>
      <w:r>
        <w:rPr>
          <w:rFonts w:hint="eastAsia" w:ascii="宋体" w:hAnsi="宋体"/>
          <w:sz w:val="24"/>
          <w:szCs w:val="24"/>
        </w:rPr>
        <w:t>成交</w:t>
      </w:r>
      <w:r>
        <w:rPr>
          <w:rFonts w:ascii="宋体" w:hAnsi="宋体"/>
          <w:sz w:val="24"/>
          <w:szCs w:val="24"/>
        </w:rPr>
        <w:t>人</w:t>
      </w:r>
      <w:r>
        <w:rPr>
          <w:rFonts w:hint="eastAsia" w:ascii="宋体" w:hAnsi="宋体"/>
          <w:sz w:val="24"/>
          <w:szCs w:val="24"/>
        </w:rPr>
        <w:t>，复函采购代理机构。</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31.3采购代理机构在采购方确定成交单位2个工作日内，在省级以上财政部门指定的媒体上公告</w:t>
      </w:r>
      <w:r>
        <w:rPr>
          <w:rFonts w:ascii="ˎ̥" w:hAnsi="ˎ̥"/>
          <w:sz w:val="27"/>
          <w:szCs w:val="27"/>
        </w:rPr>
        <w:t>成交结果</w:t>
      </w:r>
      <w:r>
        <w:rPr>
          <w:rFonts w:hint="eastAsia" w:ascii="宋体" w:hAnsi="宋体"/>
          <w:sz w:val="24"/>
          <w:szCs w:val="24"/>
        </w:rPr>
        <w:t>，并向成交供应商发《成交通知书》。</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31.4采购代理机构向成交供应商发出《成交通知书》，对于其他未成交的供应商，将在保证金有效期内无息退还其磋商保证金（若有）。</w:t>
      </w:r>
    </w:p>
    <w:p>
      <w:pPr>
        <w:overflowPunct w:val="0"/>
        <w:adjustRightInd w:val="0"/>
        <w:snapToGrid w:val="0"/>
        <w:spacing w:line="360" w:lineRule="auto"/>
        <w:rPr>
          <w:rFonts w:ascii="宋体" w:hAnsi="宋体"/>
          <w:b/>
          <w:sz w:val="24"/>
          <w:szCs w:val="24"/>
        </w:rPr>
      </w:pPr>
      <w:bookmarkStart w:id="201" w:name="_Toc311415607"/>
      <w:bookmarkStart w:id="202" w:name="_Toc247085733"/>
      <w:bookmarkStart w:id="203" w:name="_Toc246996219"/>
      <w:bookmarkStart w:id="204" w:name="_Toc152045575"/>
      <w:bookmarkStart w:id="205" w:name="_Toc152042351"/>
      <w:bookmarkStart w:id="206" w:name="_Toc296590983"/>
      <w:bookmarkStart w:id="207" w:name="_Toc296602462"/>
      <w:bookmarkStart w:id="208" w:name="_Toc144974543"/>
      <w:bookmarkStart w:id="209" w:name="_Toc179632593"/>
      <w:bookmarkStart w:id="210" w:name="_Toc246996962"/>
      <w:bookmarkStart w:id="211" w:name="_Toc311415614"/>
      <w:r>
        <w:rPr>
          <w:rFonts w:hint="eastAsia" w:ascii="宋体" w:hAnsi="宋体"/>
          <w:b/>
          <w:sz w:val="24"/>
          <w:szCs w:val="24"/>
        </w:rPr>
        <w:t>3</w:t>
      </w:r>
      <w:bookmarkEnd w:id="201"/>
      <w:r>
        <w:rPr>
          <w:rFonts w:hint="eastAsia" w:ascii="宋体" w:hAnsi="宋体"/>
          <w:b/>
          <w:sz w:val="24"/>
          <w:szCs w:val="24"/>
        </w:rPr>
        <w:t>2、成交准则</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32.1成交</w:t>
      </w:r>
      <w:r>
        <w:rPr>
          <w:rFonts w:ascii="宋体" w:hAnsi="宋体"/>
          <w:sz w:val="24"/>
          <w:szCs w:val="24"/>
        </w:rPr>
        <w:t>通知书发出后，采购人不得违法改变</w:t>
      </w:r>
      <w:r>
        <w:rPr>
          <w:rFonts w:hint="eastAsia" w:ascii="宋体" w:hAnsi="宋体"/>
          <w:sz w:val="24"/>
          <w:szCs w:val="24"/>
        </w:rPr>
        <w:t>成交</w:t>
      </w:r>
      <w:r>
        <w:rPr>
          <w:rFonts w:ascii="宋体" w:hAnsi="宋体"/>
          <w:sz w:val="24"/>
          <w:szCs w:val="24"/>
        </w:rPr>
        <w:t>结果，</w:t>
      </w:r>
      <w:r>
        <w:rPr>
          <w:rFonts w:hint="eastAsia" w:ascii="宋体" w:hAnsi="宋体"/>
          <w:sz w:val="24"/>
          <w:szCs w:val="24"/>
        </w:rPr>
        <w:t>成交</w:t>
      </w:r>
      <w:r>
        <w:rPr>
          <w:rFonts w:ascii="宋体" w:hAnsi="宋体"/>
          <w:sz w:val="24"/>
          <w:szCs w:val="24"/>
        </w:rPr>
        <w:t>人无正当理由不得放弃成交。</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32.2</w:t>
      </w:r>
      <w:r>
        <w:rPr>
          <w:rFonts w:ascii="宋体" w:hAnsi="宋体"/>
          <w:sz w:val="24"/>
          <w:szCs w:val="24"/>
        </w:rPr>
        <w:t>采购人应当自</w:t>
      </w:r>
      <w:r>
        <w:rPr>
          <w:rFonts w:hint="eastAsia" w:ascii="宋体" w:hAnsi="宋体"/>
          <w:sz w:val="24"/>
          <w:szCs w:val="24"/>
        </w:rPr>
        <w:t>成交</w:t>
      </w:r>
      <w:r>
        <w:rPr>
          <w:rFonts w:ascii="宋体" w:hAnsi="宋体"/>
          <w:sz w:val="24"/>
          <w:szCs w:val="24"/>
        </w:rPr>
        <w:t>通知书发出之日起30日内，按照</w:t>
      </w:r>
      <w:r>
        <w:rPr>
          <w:rFonts w:hint="eastAsia" w:ascii="宋体" w:hAnsi="宋体"/>
          <w:sz w:val="24"/>
          <w:szCs w:val="24"/>
        </w:rPr>
        <w:t>磋商</w:t>
      </w:r>
      <w:r>
        <w:rPr>
          <w:rFonts w:ascii="宋体" w:hAnsi="宋体"/>
          <w:sz w:val="24"/>
          <w:szCs w:val="24"/>
        </w:rPr>
        <w:t>文件和成交供应商</w:t>
      </w:r>
      <w:r>
        <w:rPr>
          <w:rFonts w:hint="eastAsia" w:ascii="宋体" w:hAnsi="宋体"/>
          <w:sz w:val="24"/>
          <w:szCs w:val="24"/>
        </w:rPr>
        <w:t>磋商响应文件</w:t>
      </w:r>
      <w:r>
        <w:rPr>
          <w:rFonts w:ascii="宋体" w:hAnsi="宋体"/>
          <w:sz w:val="24"/>
          <w:szCs w:val="24"/>
        </w:rPr>
        <w:t>的规定，与成交供应商签订书面合同。所签订的合同不得对</w:t>
      </w:r>
      <w:r>
        <w:rPr>
          <w:rFonts w:hint="eastAsia" w:ascii="宋体" w:hAnsi="宋体"/>
          <w:sz w:val="24"/>
          <w:szCs w:val="24"/>
        </w:rPr>
        <w:t>磋商</w:t>
      </w:r>
      <w:r>
        <w:rPr>
          <w:rFonts w:ascii="宋体" w:hAnsi="宋体"/>
          <w:sz w:val="24"/>
          <w:szCs w:val="24"/>
        </w:rPr>
        <w:t>文件确定的事项和成交供应商</w:t>
      </w:r>
      <w:r>
        <w:rPr>
          <w:rFonts w:hint="eastAsia" w:ascii="宋体" w:hAnsi="宋体"/>
          <w:sz w:val="24"/>
          <w:szCs w:val="24"/>
        </w:rPr>
        <w:t>磋商响应</w:t>
      </w:r>
      <w:r>
        <w:rPr>
          <w:rFonts w:ascii="宋体" w:hAnsi="宋体"/>
          <w:sz w:val="24"/>
          <w:szCs w:val="24"/>
        </w:rPr>
        <w:t>文件作实质性修改。</w:t>
      </w:r>
    </w:p>
    <w:p>
      <w:pPr>
        <w:spacing w:line="360" w:lineRule="auto"/>
        <w:rPr>
          <w:rFonts w:ascii="宋体" w:hAnsi="宋体"/>
          <w:b/>
          <w:sz w:val="24"/>
          <w:szCs w:val="24"/>
        </w:rPr>
      </w:pPr>
      <w:r>
        <w:rPr>
          <w:rFonts w:hint="eastAsia" w:ascii="宋体" w:hAnsi="宋体"/>
          <w:b/>
          <w:sz w:val="24"/>
          <w:szCs w:val="24"/>
        </w:rPr>
        <w:t>33、 对采购方的纪律要求</w:t>
      </w:r>
      <w:bookmarkEnd w:id="202"/>
      <w:bookmarkEnd w:id="203"/>
      <w:bookmarkEnd w:id="204"/>
      <w:bookmarkEnd w:id="205"/>
      <w:bookmarkEnd w:id="206"/>
      <w:bookmarkEnd w:id="207"/>
      <w:bookmarkEnd w:id="208"/>
      <w:bookmarkEnd w:id="209"/>
      <w:bookmarkEnd w:id="210"/>
    </w:p>
    <w:p>
      <w:pPr>
        <w:spacing w:line="360" w:lineRule="auto"/>
        <w:ind w:firstLine="480" w:firstLineChars="200"/>
        <w:rPr>
          <w:rFonts w:ascii="宋体" w:hAnsi="宋体"/>
          <w:sz w:val="24"/>
          <w:szCs w:val="24"/>
        </w:rPr>
      </w:pPr>
      <w:r>
        <w:rPr>
          <w:rFonts w:hint="eastAsia" w:ascii="宋体" w:hAnsi="宋体"/>
          <w:sz w:val="24"/>
          <w:szCs w:val="24"/>
        </w:rPr>
        <w:t>采购方不得泄漏磋商投标活动中应当保密的情况和资料，不得与投标供应商串通损害国家利益、社会公共利益或者他人合法权益。</w:t>
      </w:r>
    </w:p>
    <w:p>
      <w:pPr>
        <w:spacing w:line="360" w:lineRule="auto"/>
        <w:rPr>
          <w:rFonts w:ascii="宋体" w:hAnsi="宋体"/>
          <w:b/>
          <w:sz w:val="24"/>
          <w:szCs w:val="24"/>
        </w:rPr>
      </w:pPr>
      <w:bookmarkStart w:id="212" w:name="_Toc144974544"/>
      <w:bookmarkStart w:id="213" w:name="_Toc296602463"/>
      <w:bookmarkStart w:id="214" w:name="_Toc152042352"/>
      <w:bookmarkStart w:id="215" w:name="_Toc247085734"/>
      <w:bookmarkStart w:id="216" w:name="_Toc179632594"/>
      <w:bookmarkStart w:id="217" w:name="_Toc246996963"/>
      <w:bookmarkStart w:id="218" w:name="_Toc152045576"/>
      <w:bookmarkStart w:id="219" w:name="_Toc246996220"/>
      <w:r>
        <w:rPr>
          <w:rFonts w:hint="eastAsia" w:ascii="宋体" w:hAnsi="宋体"/>
          <w:b/>
          <w:sz w:val="24"/>
          <w:szCs w:val="24"/>
        </w:rPr>
        <w:t>34、对投标供应商的纪律要求</w:t>
      </w:r>
      <w:bookmarkEnd w:id="212"/>
      <w:bookmarkEnd w:id="213"/>
      <w:bookmarkEnd w:id="214"/>
      <w:bookmarkEnd w:id="215"/>
      <w:bookmarkEnd w:id="216"/>
      <w:bookmarkEnd w:id="217"/>
      <w:bookmarkEnd w:id="218"/>
      <w:bookmarkEnd w:id="219"/>
    </w:p>
    <w:p>
      <w:pPr>
        <w:spacing w:line="360" w:lineRule="auto"/>
        <w:ind w:firstLine="480" w:firstLineChars="200"/>
        <w:rPr>
          <w:rFonts w:ascii="宋体" w:hAnsi="宋体"/>
          <w:sz w:val="24"/>
          <w:szCs w:val="24"/>
        </w:rPr>
      </w:pPr>
      <w:r>
        <w:rPr>
          <w:rFonts w:hint="eastAsia" w:ascii="宋体" w:hAnsi="宋体"/>
          <w:sz w:val="24"/>
          <w:szCs w:val="24"/>
        </w:rPr>
        <w:t>投标供应商不得相互串通投标或者与采购方串通投标，不得向采购方或者磋商小组成员行贿谋取成交，不得以他人名义投标或者以其他方式弄虚作假骗取成交；投标供应商不得以任何方式干扰、影响评审工作。</w:t>
      </w:r>
    </w:p>
    <w:p>
      <w:pPr>
        <w:spacing w:line="360" w:lineRule="auto"/>
        <w:rPr>
          <w:rFonts w:ascii="宋体" w:hAnsi="宋体"/>
          <w:b/>
          <w:sz w:val="24"/>
          <w:szCs w:val="24"/>
        </w:rPr>
      </w:pPr>
      <w:bookmarkStart w:id="220" w:name="_Toc247085735"/>
      <w:bookmarkStart w:id="221" w:name="_Toc152042353"/>
      <w:bookmarkStart w:id="222" w:name="_Toc152045577"/>
      <w:bookmarkStart w:id="223" w:name="_Toc246996964"/>
      <w:bookmarkStart w:id="224" w:name="_Toc179632595"/>
      <w:bookmarkStart w:id="225" w:name="_Toc296602464"/>
      <w:bookmarkStart w:id="226" w:name="_Toc246996221"/>
      <w:bookmarkStart w:id="227" w:name="_Toc144974545"/>
      <w:r>
        <w:rPr>
          <w:rFonts w:hint="eastAsia" w:ascii="宋体" w:hAnsi="宋体"/>
          <w:b/>
          <w:sz w:val="24"/>
          <w:szCs w:val="24"/>
        </w:rPr>
        <w:t>35、对磋商小组成员的纪律要求</w:t>
      </w:r>
      <w:bookmarkEnd w:id="220"/>
      <w:bookmarkEnd w:id="221"/>
      <w:bookmarkEnd w:id="222"/>
      <w:bookmarkEnd w:id="223"/>
      <w:bookmarkEnd w:id="224"/>
      <w:bookmarkEnd w:id="225"/>
      <w:bookmarkEnd w:id="226"/>
      <w:bookmarkEnd w:id="227"/>
    </w:p>
    <w:p>
      <w:pPr>
        <w:spacing w:line="360" w:lineRule="auto"/>
        <w:ind w:firstLine="480" w:firstLineChars="200"/>
        <w:rPr>
          <w:rFonts w:ascii="宋体" w:hAnsi="宋体"/>
          <w:sz w:val="24"/>
          <w:szCs w:val="24"/>
        </w:rPr>
      </w:pPr>
      <w:r>
        <w:rPr>
          <w:rFonts w:hint="eastAsia" w:ascii="宋体" w:hAnsi="宋体"/>
          <w:sz w:val="24"/>
          <w:szCs w:val="24"/>
        </w:rPr>
        <w:t>磋商小组成员不得收受他人的财物或者其他好处，不得向他人透漏对磋商响应文件的评审和比较、成交候选人的推荐情况以及评审有关的其他情况。在评审活动中，磋商小组成员应当客观、公正地履行职责，遵守职业道德，不得擅离职守，影响评审程序正常进行，不得使用第三章“评审原则及主要方法”没有规定的评审因素和标准进行评审。</w:t>
      </w:r>
    </w:p>
    <w:p>
      <w:pPr>
        <w:spacing w:line="360" w:lineRule="auto"/>
        <w:rPr>
          <w:rFonts w:ascii="宋体" w:hAnsi="宋体"/>
          <w:b/>
          <w:sz w:val="24"/>
          <w:szCs w:val="24"/>
        </w:rPr>
      </w:pPr>
      <w:bookmarkStart w:id="228" w:name="_Toc152042354"/>
      <w:bookmarkStart w:id="229" w:name="_Toc179632596"/>
      <w:bookmarkStart w:id="230" w:name="_Toc247085736"/>
      <w:bookmarkStart w:id="231" w:name="_Toc246996965"/>
      <w:bookmarkStart w:id="232" w:name="_Toc246996222"/>
      <w:bookmarkStart w:id="233" w:name="_Toc296602465"/>
      <w:bookmarkStart w:id="234" w:name="_Toc152045578"/>
      <w:bookmarkStart w:id="235" w:name="_Toc144974546"/>
      <w:r>
        <w:rPr>
          <w:rFonts w:hint="eastAsia" w:ascii="宋体" w:hAnsi="宋体"/>
          <w:b/>
          <w:sz w:val="24"/>
          <w:szCs w:val="24"/>
        </w:rPr>
        <w:t>36、对与评审活动有关的工作人员的纪律要求</w:t>
      </w:r>
      <w:bookmarkEnd w:id="228"/>
      <w:bookmarkEnd w:id="229"/>
      <w:bookmarkEnd w:id="230"/>
      <w:bookmarkEnd w:id="231"/>
      <w:bookmarkEnd w:id="232"/>
      <w:bookmarkEnd w:id="233"/>
      <w:bookmarkEnd w:id="234"/>
    </w:p>
    <w:p>
      <w:pPr>
        <w:spacing w:line="360" w:lineRule="auto"/>
        <w:ind w:firstLine="480" w:firstLineChars="200"/>
        <w:rPr>
          <w:rFonts w:ascii="宋体" w:hAnsi="宋体"/>
          <w:sz w:val="24"/>
          <w:szCs w:val="24"/>
        </w:rPr>
      </w:pPr>
      <w:bookmarkStart w:id="236" w:name="_Toc152042355"/>
      <w:r>
        <w:rPr>
          <w:rFonts w:hint="eastAsia" w:ascii="宋体" w:hAnsi="宋体"/>
          <w:sz w:val="24"/>
          <w:szCs w:val="24"/>
        </w:rPr>
        <w:t>与评审活动有关的工作人员不得收受他人的财物或者其他好处，不得向他人透漏对磋商响应文件的评审和比较、成交候选人的推荐情况以及评审有关的其他情况。在评审活动中，与评审活动有关的工作人员不得擅离职守，影响评审程序正常进行。</w:t>
      </w:r>
      <w:bookmarkEnd w:id="236"/>
    </w:p>
    <w:p>
      <w:pPr>
        <w:spacing w:line="360" w:lineRule="auto"/>
        <w:rPr>
          <w:rFonts w:ascii="宋体" w:hAnsi="宋体"/>
          <w:b/>
          <w:sz w:val="24"/>
          <w:szCs w:val="24"/>
        </w:rPr>
      </w:pPr>
      <w:r>
        <w:rPr>
          <w:rFonts w:hint="eastAsia" w:ascii="宋体" w:hAnsi="宋体"/>
          <w:b/>
          <w:sz w:val="24"/>
          <w:szCs w:val="24"/>
        </w:rPr>
        <w:t>37、磋商过程监督、管理</w:t>
      </w:r>
    </w:p>
    <w:p>
      <w:pPr>
        <w:spacing w:line="360" w:lineRule="auto"/>
        <w:ind w:firstLine="480" w:firstLineChars="200"/>
        <w:rPr>
          <w:rFonts w:ascii="宋体" w:hAnsi="宋体"/>
          <w:sz w:val="24"/>
          <w:szCs w:val="24"/>
        </w:rPr>
      </w:pPr>
      <w:r>
        <w:rPr>
          <w:rFonts w:hint="eastAsia" w:ascii="宋体" w:hAnsi="宋体"/>
          <w:sz w:val="24"/>
          <w:szCs w:val="24"/>
        </w:rPr>
        <w:t>本次磋商全过程在相关监督部门监督、管理下进行。</w:t>
      </w:r>
      <w:bookmarkEnd w:id="235"/>
    </w:p>
    <w:p>
      <w:pPr>
        <w:spacing w:line="360" w:lineRule="auto"/>
        <w:rPr>
          <w:rFonts w:ascii="宋体" w:hAnsi="宋体"/>
          <w:b/>
          <w:sz w:val="24"/>
          <w:szCs w:val="24"/>
        </w:rPr>
      </w:pPr>
      <w:r>
        <w:rPr>
          <w:rFonts w:hint="eastAsia" w:ascii="宋体" w:hAnsi="宋体"/>
          <w:b/>
          <w:sz w:val="24"/>
          <w:szCs w:val="24"/>
        </w:rPr>
        <w:t>38.质疑</w:t>
      </w:r>
    </w:p>
    <w:p>
      <w:pPr>
        <w:spacing w:line="360" w:lineRule="auto"/>
        <w:ind w:firstLine="480" w:firstLineChars="200"/>
        <w:rPr>
          <w:rFonts w:ascii="宋体" w:hAnsi="宋体"/>
          <w:sz w:val="24"/>
          <w:szCs w:val="24"/>
        </w:rPr>
      </w:pPr>
      <w:r>
        <w:rPr>
          <w:rFonts w:hint="eastAsia" w:ascii="宋体" w:hAnsi="宋体"/>
          <w:sz w:val="24"/>
          <w:szCs w:val="24"/>
        </w:rPr>
        <w:t>38.1对采购过程和中标、成交结果使自己的权益受到损害的，可以在知道或者应知其权益受到损害之日起七个工作日内，以书面形式向采购代理机构提出质疑。</w:t>
      </w:r>
    </w:p>
    <w:p>
      <w:pPr>
        <w:spacing w:line="360" w:lineRule="auto"/>
        <w:ind w:firstLine="480" w:firstLineChars="200"/>
        <w:rPr>
          <w:rFonts w:ascii="宋体" w:hAnsi="宋体"/>
          <w:sz w:val="24"/>
          <w:szCs w:val="24"/>
        </w:rPr>
      </w:pPr>
      <w:r>
        <w:rPr>
          <w:rFonts w:hint="eastAsia" w:ascii="宋体" w:hAnsi="宋体"/>
          <w:sz w:val="24"/>
          <w:szCs w:val="24"/>
        </w:rPr>
        <w:t>38.2质疑书应当包括以下主要内容：被质疑项目名称、项目编号、标段、采购公告/中标公告发布时间、质疑事项、证据材料、法律依据（具体条款）、质疑人有效联系方式等。</w:t>
      </w:r>
    </w:p>
    <w:p>
      <w:pPr>
        <w:spacing w:line="360" w:lineRule="auto"/>
        <w:ind w:firstLine="480" w:firstLineChars="200"/>
        <w:rPr>
          <w:rFonts w:ascii="宋体" w:hAnsi="宋体"/>
          <w:sz w:val="24"/>
          <w:szCs w:val="24"/>
        </w:rPr>
      </w:pPr>
      <w:r>
        <w:rPr>
          <w:rFonts w:hint="eastAsia" w:ascii="宋体" w:hAnsi="宋体"/>
          <w:sz w:val="24"/>
          <w:szCs w:val="24"/>
        </w:rPr>
        <w:t>38.3质疑书应当由法定代表人签字并加盖公章，公章不得以合同章或其他印章代替。质疑人可以委托代理人办理质疑事项，代理人办理质疑事项时，除提交质疑书外，还应当提交质疑人的授权委托书及代理人的有效身份证明，授权委托书应当载明委托代理的具体权限和事项。</w:t>
      </w:r>
    </w:p>
    <w:p>
      <w:pPr>
        <w:spacing w:line="360" w:lineRule="auto"/>
        <w:ind w:firstLine="480" w:firstLineChars="200"/>
        <w:rPr>
          <w:rFonts w:ascii="宋体" w:hAnsi="宋体"/>
          <w:sz w:val="24"/>
          <w:szCs w:val="24"/>
        </w:rPr>
      </w:pPr>
      <w:r>
        <w:rPr>
          <w:rFonts w:hint="eastAsia" w:ascii="宋体" w:hAnsi="宋体"/>
          <w:sz w:val="24"/>
          <w:szCs w:val="24"/>
        </w:rPr>
        <w:t>38.4有下列情形之一的，属于无效质疑，采购代理机构和采购人可不予受理：</w:t>
      </w:r>
    </w:p>
    <w:p>
      <w:pPr>
        <w:spacing w:line="360" w:lineRule="auto"/>
        <w:ind w:firstLine="480" w:firstLineChars="200"/>
        <w:rPr>
          <w:rFonts w:ascii="宋体" w:hAnsi="宋体"/>
          <w:sz w:val="24"/>
          <w:szCs w:val="24"/>
        </w:rPr>
      </w:pPr>
      <w:r>
        <w:rPr>
          <w:rFonts w:hint="eastAsia" w:ascii="宋体" w:hAnsi="宋体"/>
          <w:sz w:val="24"/>
          <w:szCs w:val="24"/>
        </w:rPr>
        <w:t>（1）质疑人不是参与本次政府采购项目的投标供应商或潜在投标供应商；</w:t>
      </w:r>
    </w:p>
    <w:p>
      <w:pPr>
        <w:spacing w:line="360" w:lineRule="auto"/>
        <w:ind w:firstLine="480" w:firstLineChars="200"/>
        <w:rPr>
          <w:rFonts w:ascii="宋体" w:hAnsi="宋体"/>
          <w:sz w:val="24"/>
          <w:szCs w:val="24"/>
        </w:rPr>
      </w:pPr>
      <w:r>
        <w:rPr>
          <w:rFonts w:hint="eastAsia" w:ascii="宋体" w:hAnsi="宋体"/>
          <w:sz w:val="24"/>
          <w:szCs w:val="24"/>
        </w:rPr>
        <w:t>（2）质疑人与质疑事项不存在利害关系的；</w:t>
      </w:r>
    </w:p>
    <w:p>
      <w:pPr>
        <w:spacing w:line="360" w:lineRule="auto"/>
        <w:ind w:firstLine="480" w:firstLineChars="200"/>
        <w:rPr>
          <w:rFonts w:ascii="宋体" w:hAnsi="宋体"/>
          <w:sz w:val="24"/>
          <w:szCs w:val="24"/>
        </w:rPr>
      </w:pPr>
      <w:r>
        <w:rPr>
          <w:rFonts w:hint="eastAsia" w:ascii="宋体" w:hAnsi="宋体"/>
          <w:sz w:val="24"/>
          <w:szCs w:val="24"/>
        </w:rPr>
        <w:t>（3）未在法定期限内提出质疑的；</w:t>
      </w:r>
    </w:p>
    <w:p>
      <w:pPr>
        <w:spacing w:line="360" w:lineRule="auto"/>
        <w:ind w:firstLine="480" w:firstLineChars="200"/>
        <w:rPr>
          <w:rFonts w:ascii="宋体" w:hAnsi="宋体"/>
          <w:sz w:val="24"/>
          <w:szCs w:val="24"/>
        </w:rPr>
      </w:pPr>
      <w:r>
        <w:rPr>
          <w:rFonts w:hint="eastAsia" w:ascii="宋体" w:hAnsi="宋体"/>
          <w:sz w:val="24"/>
          <w:szCs w:val="24"/>
        </w:rPr>
        <w:t>（4）质疑未以书面形式提出，或质疑书主要内容构成不完整的；</w:t>
      </w:r>
    </w:p>
    <w:p>
      <w:pPr>
        <w:spacing w:line="360" w:lineRule="auto"/>
        <w:ind w:firstLine="480" w:firstLineChars="200"/>
        <w:rPr>
          <w:rFonts w:ascii="宋体" w:hAnsi="宋体"/>
          <w:sz w:val="24"/>
          <w:szCs w:val="24"/>
        </w:rPr>
      </w:pPr>
      <w:r>
        <w:rPr>
          <w:rFonts w:hint="eastAsia" w:ascii="宋体" w:hAnsi="宋体"/>
          <w:sz w:val="24"/>
          <w:szCs w:val="24"/>
        </w:rPr>
        <w:t>（5）质疑书没有合法有效的签字、盖章或授权的；</w:t>
      </w:r>
    </w:p>
    <w:p>
      <w:pPr>
        <w:spacing w:line="360" w:lineRule="auto"/>
        <w:ind w:firstLine="480" w:firstLineChars="200"/>
        <w:rPr>
          <w:rFonts w:ascii="宋体" w:hAnsi="宋体"/>
          <w:sz w:val="24"/>
          <w:szCs w:val="24"/>
        </w:rPr>
      </w:pPr>
      <w:r>
        <w:rPr>
          <w:rFonts w:hint="eastAsia" w:ascii="宋体" w:hAnsi="宋体"/>
          <w:sz w:val="24"/>
          <w:szCs w:val="24"/>
        </w:rPr>
        <w:t>（6）以非法手段取得证据、材料的；</w:t>
      </w:r>
    </w:p>
    <w:p>
      <w:pPr>
        <w:spacing w:line="360" w:lineRule="auto"/>
        <w:ind w:firstLine="480" w:firstLineChars="200"/>
        <w:rPr>
          <w:rFonts w:ascii="宋体" w:hAnsi="宋体"/>
          <w:sz w:val="24"/>
          <w:szCs w:val="24"/>
        </w:rPr>
      </w:pPr>
      <w:r>
        <w:rPr>
          <w:rFonts w:hint="eastAsia" w:ascii="宋体" w:hAnsi="宋体"/>
          <w:sz w:val="24"/>
          <w:szCs w:val="24"/>
        </w:rPr>
        <w:t>（7）质疑答复后，同一质疑人就同一事项再次提出质疑的；</w:t>
      </w:r>
    </w:p>
    <w:p>
      <w:pPr>
        <w:spacing w:line="360" w:lineRule="auto"/>
        <w:ind w:firstLine="480" w:firstLineChars="200"/>
        <w:rPr>
          <w:rFonts w:ascii="宋体" w:hAnsi="宋体"/>
          <w:sz w:val="24"/>
          <w:szCs w:val="24"/>
        </w:rPr>
      </w:pPr>
      <w:r>
        <w:rPr>
          <w:rFonts w:hint="eastAsia" w:ascii="宋体" w:hAnsi="宋体"/>
          <w:sz w:val="24"/>
          <w:szCs w:val="24"/>
        </w:rPr>
        <w:t>（8）不符合法律、法规、规章和政府采购监管机构规定的其他条件的。</w:t>
      </w:r>
    </w:p>
    <w:p>
      <w:pPr>
        <w:spacing w:line="360" w:lineRule="auto"/>
        <w:ind w:firstLine="480" w:firstLineChars="200"/>
        <w:rPr>
          <w:rFonts w:ascii="宋体" w:hAnsi="宋体"/>
          <w:sz w:val="24"/>
          <w:szCs w:val="24"/>
        </w:rPr>
      </w:pPr>
      <w:r>
        <w:rPr>
          <w:rFonts w:hint="eastAsia" w:ascii="宋体" w:hAnsi="宋体"/>
          <w:sz w:val="24"/>
          <w:szCs w:val="24"/>
        </w:rPr>
        <w:t>38.5投标供应商投诉的事项不得超出已质疑事项的范围。</w:t>
      </w:r>
    </w:p>
    <w:p>
      <w:pPr>
        <w:spacing w:line="360" w:lineRule="auto"/>
        <w:ind w:firstLine="480" w:firstLineChars="200"/>
        <w:rPr>
          <w:rFonts w:ascii="宋体" w:hAnsi="宋体"/>
          <w:sz w:val="24"/>
          <w:szCs w:val="24"/>
        </w:rPr>
      </w:pPr>
      <w:r>
        <w:rPr>
          <w:rFonts w:hint="eastAsia" w:ascii="宋体" w:hAnsi="宋体"/>
          <w:sz w:val="24"/>
          <w:szCs w:val="24"/>
        </w:rPr>
        <w:t>38.6联系人及联系方式</w:t>
      </w:r>
    </w:p>
    <w:p>
      <w:pPr>
        <w:spacing w:line="360" w:lineRule="auto"/>
        <w:ind w:firstLine="480" w:firstLineChars="200"/>
        <w:rPr>
          <w:rFonts w:ascii="宋体" w:hAnsi="宋体"/>
          <w:sz w:val="24"/>
          <w:szCs w:val="24"/>
        </w:rPr>
      </w:pPr>
      <w:r>
        <w:rPr>
          <w:rFonts w:hint="eastAsia" w:ascii="宋体" w:hAnsi="宋体"/>
          <w:sz w:val="24"/>
          <w:szCs w:val="24"/>
        </w:rPr>
        <w:t>项目负责部门：招标部</w:t>
      </w:r>
    </w:p>
    <w:p>
      <w:pPr>
        <w:spacing w:line="360" w:lineRule="auto"/>
        <w:ind w:firstLine="480" w:firstLineChars="200"/>
        <w:rPr>
          <w:rFonts w:ascii="宋体" w:hAnsi="宋体"/>
          <w:sz w:val="24"/>
          <w:szCs w:val="24"/>
        </w:rPr>
      </w:pPr>
      <w:r>
        <w:rPr>
          <w:rFonts w:hint="eastAsia" w:ascii="宋体" w:hAnsi="宋体"/>
          <w:sz w:val="24"/>
          <w:szCs w:val="24"/>
        </w:rPr>
        <w:t>联   系   人：陈孛明</w:t>
      </w:r>
    </w:p>
    <w:p>
      <w:pPr>
        <w:spacing w:line="360" w:lineRule="auto"/>
        <w:ind w:firstLine="480" w:firstLineChars="200"/>
        <w:rPr>
          <w:rFonts w:ascii="宋体" w:hAnsi="宋体"/>
          <w:sz w:val="24"/>
          <w:szCs w:val="24"/>
        </w:rPr>
      </w:pPr>
      <w:r>
        <w:rPr>
          <w:rFonts w:hint="eastAsia" w:ascii="宋体" w:hAnsi="宋体"/>
          <w:sz w:val="24"/>
          <w:szCs w:val="24"/>
        </w:rPr>
        <w:t>联 系  电 话：029-89331890</w:t>
      </w:r>
    </w:p>
    <w:p>
      <w:pPr>
        <w:spacing w:line="360" w:lineRule="auto"/>
        <w:ind w:firstLine="480" w:firstLineChars="200"/>
        <w:rPr>
          <w:rFonts w:ascii="宋体" w:hAnsi="宋体"/>
          <w:b/>
          <w:snapToGrid w:val="0"/>
          <w:sz w:val="24"/>
          <w:szCs w:val="24"/>
        </w:rPr>
      </w:pPr>
      <w:r>
        <w:rPr>
          <w:rFonts w:hint="eastAsia" w:ascii="宋体" w:hAnsi="宋体"/>
          <w:sz w:val="24"/>
          <w:szCs w:val="24"/>
        </w:rPr>
        <w:t>地        址：西安市灞桥区沁水路1266号草北小区商务楼四楼</w:t>
      </w:r>
    </w:p>
    <w:p>
      <w:pPr>
        <w:spacing w:line="360" w:lineRule="auto"/>
        <w:ind w:firstLine="482" w:firstLineChars="200"/>
        <w:rPr>
          <w:rFonts w:ascii="宋体" w:hAnsi="宋体"/>
          <w:b/>
          <w:snapToGrid w:val="0"/>
          <w:sz w:val="24"/>
          <w:szCs w:val="24"/>
        </w:rPr>
      </w:pPr>
      <w:r>
        <w:rPr>
          <w:rFonts w:hint="eastAsia" w:ascii="宋体" w:hAnsi="宋体"/>
          <w:b/>
          <w:snapToGrid w:val="0"/>
          <w:sz w:val="24"/>
          <w:szCs w:val="24"/>
        </w:rPr>
        <w:t>39、采购政策</w:t>
      </w:r>
    </w:p>
    <w:p>
      <w:pPr>
        <w:spacing w:line="360" w:lineRule="auto"/>
        <w:ind w:firstLine="480" w:firstLineChars="200"/>
        <w:rPr>
          <w:rFonts w:ascii="宋体" w:hAnsi="宋体"/>
          <w:sz w:val="24"/>
          <w:szCs w:val="24"/>
        </w:rPr>
      </w:pPr>
      <w:r>
        <w:rPr>
          <w:rFonts w:hint="eastAsia" w:ascii="宋体" w:hAnsi="宋体"/>
          <w:sz w:val="24"/>
          <w:szCs w:val="24"/>
        </w:rPr>
        <w:t>根据《陕西省财政厅关于政府采购有关问题的通知》（陕财办采资（2016）53号）、《西安市政府采购信用担保及信用融资工作实施方案（试行）》（市财发〔2014〕167）的规定，对政府采购相关政策落实如下：</w:t>
      </w:r>
    </w:p>
    <w:p>
      <w:pPr>
        <w:tabs>
          <w:tab w:val="left" w:pos="0"/>
        </w:tabs>
        <w:autoSpaceDE w:val="0"/>
        <w:autoSpaceDN w:val="0"/>
        <w:adjustRightInd w:val="0"/>
        <w:snapToGrid w:val="0"/>
        <w:spacing w:line="360" w:lineRule="auto"/>
        <w:ind w:firstLine="200"/>
        <w:rPr>
          <w:rFonts w:ascii="宋体" w:hAnsi="宋体"/>
          <w:sz w:val="24"/>
          <w:szCs w:val="24"/>
        </w:rPr>
      </w:pPr>
      <w:r>
        <w:rPr>
          <w:rFonts w:hint="eastAsia" w:ascii="宋体" w:hAnsi="宋体"/>
          <w:sz w:val="24"/>
          <w:szCs w:val="24"/>
        </w:rPr>
        <w:t xml:space="preserve">（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  </w:t>
      </w:r>
    </w:p>
    <w:p>
      <w:pPr>
        <w:tabs>
          <w:tab w:val="left" w:pos="0"/>
        </w:tabs>
        <w:autoSpaceDE w:val="0"/>
        <w:autoSpaceDN w:val="0"/>
        <w:adjustRightInd w:val="0"/>
        <w:snapToGrid w:val="0"/>
        <w:spacing w:line="360" w:lineRule="auto"/>
        <w:ind w:firstLine="200"/>
        <w:rPr>
          <w:rFonts w:ascii="宋体" w:hAnsi="宋体"/>
          <w:sz w:val="24"/>
          <w:szCs w:val="24"/>
        </w:rPr>
      </w:pPr>
      <w:r>
        <w:rPr>
          <w:rFonts w:hint="eastAsia" w:ascii="宋体" w:hAnsi="宋体"/>
          <w:sz w:val="24"/>
          <w:szCs w:val="24"/>
        </w:rPr>
        <w:t>（2）根据财政部、司法部联合下发的《关于政府采购支持监狱企业发展有关问题的通知》（财库〔2014〕68号）的规定，监狱企业视同小型、微型企业。评标时，对监狱企业给与6%的价格扣除，用扣除后的价格参与评审；</w:t>
      </w:r>
    </w:p>
    <w:p>
      <w:pPr>
        <w:tabs>
          <w:tab w:val="left" w:pos="0"/>
        </w:tabs>
        <w:autoSpaceDE w:val="0"/>
        <w:autoSpaceDN w:val="0"/>
        <w:adjustRightInd w:val="0"/>
        <w:snapToGrid w:val="0"/>
        <w:spacing w:line="360" w:lineRule="auto"/>
        <w:ind w:firstLine="200"/>
        <w:rPr>
          <w:rFonts w:ascii="宋体" w:hAnsi="宋体"/>
          <w:sz w:val="24"/>
          <w:szCs w:val="24"/>
        </w:rPr>
      </w:pPr>
      <w:r>
        <w:rPr>
          <w:rFonts w:hint="eastAsia" w:ascii="宋体" w:hAnsi="宋体"/>
          <w:sz w:val="24"/>
          <w:szCs w:val="24"/>
        </w:rPr>
        <w:t>(3) 根据财政部、民政部、中国残疾人联合会下发的《关于促进残疾人就业政府采购政策的通知》（财库〔201</w:t>
      </w:r>
      <w:r>
        <w:rPr>
          <w:rFonts w:ascii="宋体" w:hAnsi="宋体"/>
          <w:sz w:val="24"/>
          <w:szCs w:val="24"/>
        </w:rPr>
        <w:t>7</w:t>
      </w:r>
      <w:r>
        <w:rPr>
          <w:rFonts w:hint="eastAsia" w:ascii="宋体" w:hAnsi="宋体"/>
          <w:sz w:val="24"/>
          <w:szCs w:val="24"/>
        </w:rPr>
        <w:t>〕</w:t>
      </w:r>
      <w:r>
        <w:rPr>
          <w:rFonts w:ascii="宋体" w:hAnsi="宋体"/>
          <w:sz w:val="24"/>
          <w:szCs w:val="24"/>
        </w:rPr>
        <w:t>141</w:t>
      </w:r>
      <w:r>
        <w:rPr>
          <w:rFonts w:hint="eastAsia" w:ascii="宋体" w:hAnsi="宋体"/>
          <w:sz w:val="24"/>
          <w:szCs w:val="24"/>
        </w:rPr>
        <w:t>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w:t>
      </w:r>
    </w:p>
    <w:p>
      <w:pPr>
        <w:spacing w:line="360" w:lineRule="auto"/>
        <w:ind w:firstLine="482" w:firstLineChars="200"/>
        <w:rPr>
          <w:rFonts w:ascii="宋体" w:hAnsi="宋体"/>
          <w:sz w:val="24"/>
          <w:szCs w:val="24"/>
        </w:rPr>
      </w:pPr>
      <w:r>
        <w:rPr>
          <w:rFonts w:hint="eastAsia" w:ascii="宋体" w:hAnsi="宋体"/>
          <w:b/>
          <w:sz w:val="24"/>
          <w:szCs w:val="24"/>
        </w:rPr>
        <w:t>注：</w:t>
      </w:r>
      <w:r>
        <w:rPr>
          <w:rFonts w:hint="eastAsia" w:ascii="宋体" w:hAnsi="宋体"/>
          <w:sz w:val="24"/>
          <w:szCs w:val="24"/>
        </w:rPr>
        <w:t>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招标文件规定的价格扣除，但不影响响应文件的有效性,对既属于监狱企业、福利企业，同时又满足中小微企业规定的投标单位，其价格扣除仅适用一次。</w:t>
      </w:r>
    </w:p>
    <w:p>
      <w:pPr>
        <w:spacing w:line="360" w:lineRule="auto"/>
        <w:ind w:firstLine="480" w:firstLineChars="200"/>
        <w:rPr>
          <w:rFonts w:ascii="宋体" w:hAnsi="宋体"/>
          <w:sz w:val="24"/>
          <w:szCs w:val="24"/>
        </w:rPr>
      </w:pPr>
      <w:r>
        <w:rPr>
          <w:rFonts w:hint="eastAsia" w:ascii="宋体" w:hAnsi="宋体"/>
          <w:sz w:val="24"/>
          <w:szCs w:val="24"/>
        </w:rPr>
        <w:t>(4) ①根据财政部、国家发展改革委《关于印发〈节能产品政府采购实施意见〉的通知》（财库〔2004〕185号）所投产品属于节能产品政府采购清单所列产品，在技术、服务同等的条件下，应当优先采用清单中的节能产品；</w:t>
      </w:r>
    </w:p>
    <w:p>
      <w:pPr>
        <w:spacing w:line="360" w:lineRule="auto"/>
        <w:ind w:firstLine="480" w:firstLineChars="200"/>
        <w:rPr>
          <w:rFonts w:ascii="宋体" w:hAnsi="宋体"/>
          <w:sz w:val="24"/>
          <w:szCs w:val="24"/>
        </w:rPr>
      </w:pPr>
      <w:r>
        <w:rPr>
          <w:rFonts w:hint="eastAsia" w:ascii="宋体" w:hAnsi="宋体"/>
          <w:sz w:val="24"/>
          <w:szCs w:val="24"/>
        </w:rPr>
        <w:t>②所投产品为“环境标志产品政府采购清单”所列产品，在性能、技术、服务等指标同等的条件下，应当优先采用；</w:t>
      </w:r>
    </w:p>
    <w:p>
      <w:pPr>
        <w:spacing w:line="360" w:lineRule="auto"/>
        <w:ind w:firstLine="480" w:firstLineChars="200"/>
        <w:rPr>
          <w:rFonts w:ascii="宋体" w:hAnsi="宋体"/>
          <w:sz w:val="24"/>
          <w:szCs w:val="24"/>
        </w:rPr>
      </w:pPr>
      <w:r>
        <w:rPr>
          <w:rFonts w:hint="eastAsia" w:ascii="宋体" w:hAnsi="宋体"/>
          <w:sz w:val="24"/>
          <w:szCs w:val="24"/>
        </w:rPr>
        <w:t>③节能产品根据《国务院办公厅关于建立政府强制采购节能产品制度的通知》（国办发（2007）51号的规定，以中国政府采购网（http://www.ccgp.gov.cn/）公布的最新一期节能产品政府采购清单为准；</w:t>
      </w:r>
    </w:p>
    <w:p>
      <w:pPr>
        <w:spacing w:line="360" w:lineRule="auto"/>
        <w:ind w:firstLine="480" w:firstLineChars="200"/>
        <w:rPr>
          <w:rFonts w:ascii="宋体" w:hAnsi="宋体"/>
          <w:sz w:val="24"/>
          <w:szCs w:val="24"/>
        </w:rPr>
      </w:pPr>
      <w:r>
        <w:rPr>
          <w:rFonts w:hint="eastAsia" w:ascii="宋体" w:hAnsi="宋体"/>
          <w:sz w:val="24"/>
          <w:szCs w:val="24"/>
        </w:rPr>
        <w:t>④环境标志产品根据《环境标志产品政府采购实施的意见》（财库[2006]90号）的规定，以中国政府采购网（http://www.ccgp.gov.cn/）公布的最新一期环境标志产品政府采购清单为准；</w:t>
      </w:r>
    </w:p>
    <w:p>
      <w:pPr>
        <w:spacing w:line="360" w:lineRule="auto"/>
        <w:ind w:firstLine="480" w:firstLineChars="200"/>
        <w:rPr>
          <w:rFonts w:ascii="宋体" w:hAnsi="宋体"/>
          <w:sz w:val="24"/>
          <w:szCs w:val="24"/>
        </w:rPr>
      </w:pPr>
      <w:r>
        <w:rPr>
          <w:rFonts w:hint="eastAsia" w:ascii="宋体" w:hAnsi="宋体"/>
          <w:sz w:val="24"/>
          <w:szCs w:val="24"/>
        </w:rPr>
        <w:t>⑤若节能、环保、环境标志清单内的产品仅是构成投标产品的部件、组件或零件的，则该投标产品不享受鼓励优惠政策；</w:t>
      </w:r>
    </w:p>
    <w:p>
      <w:pPr>
        <w:spacing w:line="360" w:lineRule="auto"/>
        <w:ind w:firstLine="480" w:firstLineChars="200"/>
        <w:rPr>
          <w:rFonts w:ascii="宋体" w:hAnsi="宋体"/>
          <w:sz w:val="24"/>
          <w:szCs w:val="24"/>
        </w:rPr>
      </w:pPr>
      <w:r>
        <w:rPr>
          <w:rFonts w:hint="eastAsia" w:ascii="宋体" w:hAnsi="宋体"/>
          <w:sz w:val="24"/>
          <w:szCs w:val="24"/>
        </w:rPr>
        <w:t>（5）信用担保</w:t>
      </w:r>
    </w:p>
    <w:p>
      <w:pPr>
        <w:snapToGrid w:val="0"/>
        <w:spacing w:line="360" w:lineRule="auto"/>
        <w:ind w:firstLine="480" w:firstLineChars="200"/>
        <w:rPr>
          <w:rFonts w:ascii="宋体" w:hAnsi="宋体"/>
          <w:sz w:val="24"/>
          <w:szCs w:val="24"/>
        </w:rPr>
      </w:pPr>
      <w:r>
        <w:rPr>
          <w:rFonts w:hint="eastAsia" w:ascii="宋体" w:hAnsi="宋体"/>
          <w:sz w:val="24"/>
          <w:szCs w:val="24"/>
        </w:rPr>
        <w:t>根据《关于开展政府采购信用担保试点工作的通知》（财库（2011）124号）及《西安市政府采购信用担保及信用融资工作实施方案（试行）》（市财发〔2014〕167），为参与西安市市级政府采购项目的投标人提供政府采购信用担保和融资服务，并按照程序确定了合作的担保机构和商业银行（具体联系名单附后）。投标人在缴纳投标保证金及中标供应商缴纳履约保证金时可自愿选择通过担保机构保函的形式缴纳；中标供应商如果需要融资贷款服务的，可凭中标通知书、政府采购合同等相关资料，按照实施方案规定的程序申请办理，具体规定可登陆西安政府采购网(www.xazfcg.gov.cn)重要通知专栏和西安市财政局网站(www.xaczj.gov.cn)政府采购专栏中查询了解。</w:t>
      </w:r>
    </w:p>
    <w:p>
      <w:pPr>
        <w:snapToGrid w:val="0"/>
        <w:spacing w:line="360" w:lineRule="auto"/>
        <w:ind w:firstLine="480" w:firstLineChars="200"/>
      </w:pPr>
      <w:r>
        <w:rPr>
          <w:rFonts w:hint="eastAsia" w:ascii="宋体" w:hAnsi="宋体"/>
          <w:sz w:val="24"/>
          <w:szCs w:val="24"/>
        </w:rPr>
        <w:t>（6）</w:t>
      </w:r>
      <w:r>
        <w:rPr>
          <w:rFonts w:ascii="宋体" w:hAnsi="宋体"/>
          <w:sz w:val="24"/>
          <w:szCs w:val="24"/>
        </w:rPr>
        <w:t>关于信用记录的查询和使用</w:t>
      </w:r>
    </w:p>
    <w:p>
      <w:pPr>
        <w:snapToGrid w:val="0"/>
        <w:spacing w:line="360" w:lineRule="auto"/>
        <w:ind w:firstLine="480" w:firstLineChars="200"/>
        <w:rPr>
          <w:rFonts w:ascii="宋体" w:hAnsi="宋体"/>
          <w:sz w:val="24"/>
          <w:szCs w:val="24"/>
        </w:rPr>
      </w:pPr>
      <w:r>
        <w:rPr>
          <w:rFonts w:hint="eastAsia" w:ascii="宋体" w:hAnsi="宋体"/>
          <w:sz w:val="24"/>
          <w:szCs w:val="24"/>
        </w:rPr>
        <w:t>1、采购人将在</w:t>
      </w:r>
      <w:r>
        <w:rPr>
          <w:rFonts w:ascii="宋体" w:hAnsi="宋体"/>
          <w:sz w:val="24"/>
          <w:szCs w:val="24"/>
        </w:rPr>
        <w:t>资格审查</w:t>
      </w:r>
      <w:r>
        <w:rPr>
          <w:rFonts w:hint="eastAsia" w:ascii="宋体" w:hAnsi="宋体"/>
          <w:sz w:val="24"/>
          <w:szCs w:val="24"/>
        </w:rPr>
        <w:t>阶段通过【</w:t>
      </w:r>
      <w:r>
        <w:fldChar w:fldCharType="begin"/>
      </w:r>
      <w:r>
        <w:instrText xml:space="preserve"> HYPERLINK "http://www.creditchina.gov.cn" </w:instrText>
      </w:r>
      <w:r>
        <w:fldChar w:fldCharType="separate"/>
      </w:r>
      <w:r>
        <w:rPr>
          <w:rFonts w:hint="eastAsia" w:ascii="宋体" w:hAnsi="宋体"/>
          <w:sz w:val="24"/>
          <w:szCs w:val="24"/>
        </w:rPr>
        <w:t>信用中国</w:t>
      </w:r>
      <w:r>
        <w:rPr>
          <w:rFonts w:hint="eastAsia" w:ascii="宋体" w:hAnsi="宋体"/>
          <w:sz w:val="24"/>
          <w:szCs w:val="24"/>
        </w:rPr>
        <w:fldChar w:fldCharType="end"/>
      </w:r>
      <w:r>
        <w:rPr>
          <w:rFonts w:hint="eastAsia" w:ascii="宋体" w:hAnsi="宋体"/>
          <w:sz w:val="24"/>
          <w:szCs w:val="24"/>
        </w:rPr>
        <w:t>（www.creditchina.gov.cn）】、【</w:t>
      </w:r>
      <w:r>
        <w:fldChar w:fldCharType="begin"/>
      </w:r>
      <w:r>
        <w:instrText xml:space="preserve"> HYPERLINK "http://www.ccgp.gov.cn/cr/list" </w:instrText>
      </w:r>
      <w:r>
        <w:fldChar w:fldCharType="separate"/>
      </w:r>
      <w:r>
        <w:rPr>
          <w:rFonts w:hint="eastAsia" w:ascii="宋体" w:hAnsi="宋体"/>
          <w:sz w:val="24"/>
          <w:szCs w:val="24"/>
        </w:rPr>
        <w:t>中国政府采购网</w:t>
      </w:r>
      <w:r>
        <w:rPr>
          <w:rFonts w:hint="eastAsia" w:ascii="宋体" w:hAnsi="宋体"/>
          <w:sz w:val="24"/>
          <w:szCs w:val="24"/>
        </w:rPr>
        <w:fldChar w:fldCharType="end"/>
      </w:r>
      <w:r>
        <w:rPr>
          <w:rFonts w:hint="eastAsia" w:ascii="宋体" w:hAnsi="宋体"/>
          <w:sz w:val="24"/>
          <w:szCs w:val="24"/>
        </w:rPr>
        <w:t>（www.ccgp.gov.cn）】网站对投标文件正本中的《投标人书面声明函》的信用情况进行甄别。对列入失信被执行人、重大税收违法案件当事人名单、政府采购严重违法失信行为记录名单及其他不符合《中华人民共和国政府采购法》第二十二条规定条件的投标人，根据《关于在政府采购活动中查询及使用信用记录有关问题的通知》（财库〔2016〕125号）的第二条第（三）款规定，其投标或中标资格将被取消；</w:t>
      </w:r>
    </w:p>
    <w:p>
      <w:pPr>
        <w:snapToGrid w:val="0"/>
        <w:spacing w:line="360" w:lineRule="auto"/>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、投标人在参加政府采购活动前3年内因违法经营被禁止在一定期限内参加政府采购活动，期限届满的，可以参加政府采购活动的，但投标人应提供相关证明材料；</w:t>
      </w:r>
    </w:p>
    <w:p>
      <w:pPr>
        <w:snapToGrid w:val="0"/>
        <w:spacing w:line="360" w:lineRule="auto"/>
        <w:ind w:firstLine="480" w:firstLineChars="200"/>
        <w:rPr>
          <w:rFonts w:ascii="宋体" w:hAnsi="宋体"/>
          <w:sz w:val="24"/>
          <w:szCs w:val="24"/>
        </w:rPr>
      </w:pPr>
      <w:r>
        <w:rPr>
          <w:rFonts w:ascii="宋体" w:hAnsi="宋体"/>
          <w:sz w:val="24"/>
          <w:szCs w:val="24"/>
        </w:rPr>
        <w:t>3、信用记录查询的截止时点为“</w:t>
      </w:r>
      <w:r>
        <w:rPr>
          <w:rFonts w:hint="eastAsia" w:ascii="宋体" w:hAnsi="宋体"/>
          <w:sz w:val="24"/>
          <w:szCs w:val="24"/>
        </w:rPr>
        <w:t>招标文件公告期截止之日（含当日）</w:t>
      </w:r>
      <w:r>
        <w:rPr>
          <w:rFonts w:ascii="宋体" w:hAnsi="宋体"/>
          <w:sz w:val="24"/>
          <w:szCs w:val="24"/>
        </w:rPr>
        <w:t>”。</w:t>
      </w:r>
      <w:r>
        <w:rPr>
          <w:rFonts w:hint="eastAsia" w:ascii="宋体" w:hAnsi="宋体"/>
          <w:sz w:val="24"/>
          <w:szCs w:val="24"/>
        </w:rPr>
        <w:t>信用记录查询的结果，将以纸质截图或将截图保存至电子介质的形式留存。投标人未如实填报《投标人书面声明函》的，视为“投标人提供虚假材料谋取中标、成交的”行为。</w:t>
      </w:r>
    </w:p>
    <w:bookmarkEnd w:id="198"/>
    <w:bookmarkEnd w:id="199"/>
    <w:bookmarkEnd w:id="200"/>
    <w:bookmarkEnd w:id="211"/>
    <w:p>
      <w:pPr>
        <w:spacing w:line="360" w:lineRule="auto"/>
        <w:rPr>
          <w:rFonts w:ascii="宋体" w:hAnsi="宋体"/>
          <w:sz w:val="24"/>
          <w:szCs w:val="24"/>
        </w:rPr>
        <w:sectPr>
          <w:headerReference r:id="rId4" w:type="default"/>
          <w:footerReference r:id="rId5" w:type="default"/>
          <w:pgSz w:w="11906" w:h="16838"/>
          <w:pgMar w:top="1440" w:right="1418" w:bottom="1440" w:left="1418" w:header="851" w:footer="992" w:gutter="0"/>
          <w:cols w:space="720" w:num="1"/>
          <w:docGrid w:type="lines" w:linePitch="312" w:charSpace="0"/>
        </w:sectPr>
      </w:pPr>
    </w:p>
    <w:p>
      <w:pPr>
        <w:pStyle w:val="2"/>
        <w:jc w:val="center"/>
      </w:pPr>
      <w:bookmarkStart w:id="237" w:name="_Toc57822483"/>
      <w:r>
        <w:rPr>
          <w:rFonts w:hint="eastAsia"/>
        </w:rPr>
        <w:t>四、磋商内容及</w:t>
      </w:r>
      <w:bookmarkEnd w:id="192"/>
      <w:bookmarkEnd w:id="193"/>
      <w:r>
        <w:rPr>
          <w:rFonts w:hint="eastAsia"/>
        </w:rPr>
        <w:t>要求</w:t>
      </w:r>
      <w:bookmarkEnd w:id="237"/>
    </w:p>
    <w:p>
      <w:pPr>
        <w:spacing w:line="360" w:lineRule="auto"/>
        <w:ind w:firstLine="480" w:firstLineChars="200"/>
        <w:rPr>
          <w:rFonts w:ascii="仿宋" w:hAnsi="仿宋" w:eastAsia="仿宋" w:cs="仿宋"/>
          <w:sz w:val="24"/>
          <w:szCs w:val="24"/>
        </w:rPr>
      </w:pPr>
      <w:r>
        <w:rPr>
          <w:rFonts w:hint="eastAsia" w:ascii="宋体" w:hAnsi="宋体"/>
          <w:sz w:val="24"/>
          <w:szCs w:val="24"/>
        </w:rPr>
        <w:t>根据市财发【2014】115号文 《西安市财政局关于财政惠民补贴资金“一卡通”兑付方式改革代理银行的通知》的有关精神，为了充分体现公平、公正、公开的原则，选取阎良区财政惠民补贴资金“一卡通”业务委托代理银行。具体内容及要求如下：</w:t>
      </w:r>
    </w:p>
    <w:p>
      <w:pPr>
        <w:spacing w:line="360" w:lineRule="auto"/>
        <w:ind w:firstLine="482" w:firstLineChars="200"/>
        <w:rPr>
          <w:rFonts w:ascii="宋体" w:hAnsi="宋体"/>
          <w:b/>
          <w:sz w:val="24"/>
          <w:szCs w:val="24"/>
        </w:rPr>
      </w:pPr>
      <w:r>
        <w:rPr>
          <w:rFonts w:hint="eastAsia" w:ascii="宋体" w:hAnsi="宋体"/>
          <w:b/>
          <w:sz w:val="24"/>
          <w:szCs w:val="24"/>
        </w:rPr>
        <w:t>一、各村设立“一卡通服务站”</w:t>
      </w:r>
    </w:p>
    <w:p>
      <w:pPr>
        <w:spacing w:line="360" w:lineRule="auto"/>
        <w:ind w:firstLine="480" w:firstLineChars="200"/>
        <w:rPr>
          <w:rFonts w:ascii="宋体" w:hAnsi="宋体"/>
          <w:sz w:val="24"/>
          <w:szCs w:val="24"/>
        </w:rPr>
      </w:pPr>
      <w:r>
        <w:rPr>
          <w:rFonts w:hint="eastAsia" w:ascii="宋体" w:hAnsi="宋体"/>
          <w:sz w:val="24"/>
          <w:szCs w:val="24"/>
        </w:rPr>
        <w:t>代理银行应在我区各村设立“一卡通服务站”，每村至少一处，覆盖全区所有行政村。设立各村的一卡通服务站需要对群众提供方便服务，保证农民不出村就能享受基本金融服务，可以就近办理小额取款、补贴资金明细查询、消费等多项金融业务。同时，各村“一卡通服务站”由代理银行管理、培训、支出相关运维费用。</w:t>
      </w:r>
    </w:p>
    <w:p>
      <w:pPr>
        <w:spacing w:line="360" w:lineRule="auto"/>
        <w:ind w:firstLine="482" w:firstLineChars="200"/>
        <w:rPr>
          <w:rFonts w:ascii="宋体" w:hAnsi="宋体"/>
          <w:b/>
          <w:sz w:val="24"/>
          <w:szCs w:val="24"/>
        </w:rPr>
      </w:pPr>
      <w:r>
        <w:rPr>
          <w:rFonts w:hint="eastAsia" w:ascii="宋体" w:hAnsi="宋体"/>
          <w:b/>
          <w:sz w:val="24"/>
          <w:szCs w:val="24"/>
        </w:rPr>
        <w:t>二、对代发业务可提供的软硬件支持</w:t>
      </w:r>
    </w:p>
    <w:p>
      <w:pPr>
        <w:spacing w:line="360" w:lineRule="auto"/>
        <w:ind w:firstLine="480" w:firstLineChars="200"/>
        <w:rPr>
          <w:rFonts w:ascii="宋体" w:hAnsi="宋体"/>
          <w:sz w:val="24"/>
          <w:szCs w:val="24"/>
        </w:rPr>
      </w:pPr>
      <w:r>
        <w:rPr>
          <w:rFonts w:hint="eastAsia" w:ascii="宋体" w:hAnsi="宋体"/>
          <w:sz w:val="24"/>
          <w:szCs w:val="24"/>
        </w:rPr>
        <w:t>(一)代理银行需要出资成立 “一卡通”发放兑付办公室。由代理银行成立“一卡通”发放兑付办公室，安排专人负责“一卡通”发放业务，设立一卡通兑付专柜，有效保证财政惠民补贴资金的发放，同时负责电子设备、系统网络等相关设施配置。</w:t>
      </w:r>
    </w:p>
    <w:p>
      <w:pPr>
        <w:spacing w:line="360" w:lineRule="auto"/>
        <w:ind w:firstLine="480" w:firstLineChars="200"/>
        <w:rPr>
          <w:rFonts w:ascii="宋体" w:hAnsi="宋体"/>
          <w:sz w:val="24"/>
          <w:szCs w:val="24"/>
        </w:rPr>
      </w:pPr>
      <w:r>
        <w:rPr>
          <w:rFonts w:hint="eastAsia" w:ascii="宋体" w:hAnsi="宋体"/>
          <w:sz w:val="24"/>
          <w:szCs w:val="24"/>
        </w:rPr>
        <w:t xml:space="preserve"> (二)代理银行负责开展形式多样的政策宣传、公示活动。通过电视合、传媒网络、各类户外广告、银行LED屏、流动宣传车、一卡通服务站、印制手册指南等开展持续的宣传活动，让财政惠民补贴资金“一卡通”业务家喻户晓，同时负责通知“一卡通”持卡人相关注意事项，妥善保管银行卡，开展好补贴发放业务的宣传、咨询、公示工作。</w:t>
      </w:r>
    </w:p>
    <w:p>
      <w:pPr>
        <w:spacing w:line="360" w:lineRule="auto"/>
        <w:ind w:firstLine="480" w:firstLineChars="200"/>
        <w:rPr>
          <w:rFonts w:ascii="宋体" w:hAnsi="宋体"/>
          <w:sz w:val="24"/>
          <w:szCs w:val="24"/>
        </w:rPr>
      </w:pPr>
      <w:r>
        <w:rPr>
          <w:rFonts w:hint="eastAsia" w:ascii="宋体" w:hAnsi="宋体"/>
          <w:sz w:val="24"/>
          <w:szCs w:val="24"/>
        </w:rPr>
        <w:t>(三)代理银行应随时接受政府、社会监督。代理银行制定相关制度措施，明确银行在服务群众过程中的各项措施及责任，设定监督机制和办法，随时接受政府、社会各界对代理银行服务群众的监督工作。</w:t>
      </w:r>
    </w:p>
    <w:p>
      <w:pPr>
        <w:spacing w:line="360" w:lineRule="auto"/>
        <w:ind w:firstLine="480" w:firstLineChars="200"/>
        <w:rPr>
          <w:rFonts w:ascii="宋体" w:hAnsi="宋体"/>
          <w:sz w:val="24"/>
          <w:szCs w:val="24"/>
        </w:rPr>
      </w:pPr>
      <w:r>
        <w:rPr>
          <w:rFonts w:hint="eastAsia" w:ascii="宋体" w:hAnsi="宋体"/>
          <w:sz w:val="24"/>
          <w:szCs w:val="24"/>
        </w:rPr>
        <w:t>(四) 做好与财政惠民“一卡通”兑付系统的数据对接工作，及时反馈主管部门发放情况。阎良区惠民补贴发放，依托“陕西省惠民补贴资金‘一卡通’兑付系统”(以下简称“一卡通”系统)管理平台发放。代理银行必须保证系统能与省市财政惠民补贴资金“一卡通”兑付系统管理平台无缝对接，保障财政惠民补贴资金的有序发放。</w:t>
      </w:r>
    </w:p>
    <w:p>
      <w:pPr>
        <w:spacing w:line="360" w:lineRule="auto"/>
        <w:ind w:firstLine="480" w:firstLineChars="200"/>
        <w:rPr>
          <w:rFonts w:ascii="宋体" w:hAnsi="宋体"/>
          <w:sz w:val="24"/>
          <w:szCs w:val="24"/>
        </w:rPr>
      </w:pPr>
      <w:r>
        <w:rPr>
          <w:rFonts w:hint="eastAsia" w:ascii="宋体" w:hAnsi="宋体"/>
          <w:sz w:val="24"/>
          <w:szCs w:val="24"/>
        </w:rPr>
        <w:t>阎良区财政惠民补贴发放流程为：代理银行提供待发账户账号，惠民补贴发放时，由各项目主管部门将补贴资金划转至待发账户。同时，主管单位用“一卡通”兑付系统将补贴数据包发放到代理银行后，代理银行用开发的系统接收数据，将补贴资金在24小时内划入应享受补贴卡，并将补贴数据发放成功、失败信息详细反馈回财政惠民“一卡通”系统（反馈信息包含失败原因、人员明细、失败金额、家庭住址等信息），对于惠民补贴资金失败户再次发放数据也要及时反馈主管部门。同时代理银行将发放补贴情况（包括失败户再次发放情况）通过纸质并电话告知各补贴主管部门。</w:t>
      </w:r>
    </w:p>
    <w:p>
      <w:pPr>
        <w:spacing w:line="360" w:lineRule="auto"/>
        <w:ind w:firstLine="480" w:firstLineChars="200"/>
        <w:rPr>
          <w:rFonts w:ascii="宋体" w:hAnsi="宋体"/>
          <w:sz w:val="24"/>
          <w:szCs w:val="24"/>
        </w:rPr>
      </w:pPr>
      <w:r>
        <w:rPr>
          <w:rFonts w:hint="eastAsia" w:ascii="宋体" w:hAnsi="宋体"/>
          <w:sz w:val="24"/>
          <w:szCs w:val="24"/>
        </w:rPr>
        <w:t>（五）代理银行对财政惠民“一卡通”补贴卡的制作</w:t>
      </w:r>
    </w:p>
    <w:p>
      <w:pPr>
        <w:spacing w:line="360" w:lineRule="auto"/>
        <w:ind w:firstLine="480" w:firstLineChars="200"/>
        <w:rPr>
          <w:rFonts w:hint="eastAsia" w:ascii="宋体" w:hAnsi="宋体"/>
          <w:sz w:val="24"/>
          <w:szCs w:val="24"/>
        </w:rPr>
      </w:pPr>
      <w:r>
        <w:rPr>
          <w:rFonts w:hint="eastAsia" w:ascii="宋体" w:hAnsi="宋体"/>
          <w:sz w:val="24"/>
          <w:szCs w:val="24"/>
        </w:rPr>
        <w:t>代理银行应具备短期大批量制卡、发卡能力，同时确保财政惠民 “一卡通”同一个</w:t>
      </w:r>
      <w:r>
        <w:rPr>
          <w:rFonts w:hint="eastAsia" w:ascii="宋体" w:hAnsi="宋体"/>
          <w:color w:val="FF0000"/>
          <w:sz w:val="24"/>
          <w:szCs w:val="24"/>
        </w:rPr>
        <w:t>农户</w:t>
      </w:r>
      <w:r>
        <w:rPr>
          <w:rFonts w:hint="eastAsia" w:ascii="宋体" w:hAnsi="宋体"/>
          <w:sz w:val="24"/>
          <w:szCs w:val="24"/>
        </w:rPr>
        <w:t>只能有一个银行卡号，一张银行卡，即“一人一卡一号”，目前我</w:t>
      </w:r>
      <w:r>
        <w:rPr>
          <w:rFonts w:hint="eastAsia" w:ascii="宋体" w:hAnsi="宋体"/>
          <w:color w:val="FF0000"/>
          <w:sz w:val="24"/>
          <w:szCs w:val="24"/>
        </w:rPr>
        <w:t>区</w:t>
      </w:r>
      <w:r>
        <w:rPr>
          <w:rFonts w:hint="eastAsia" w:ascii="宋体" w:hAnsi="宋体"/>
          <w:sz w:val="24"/>
          <w:szCs w:val="24"/>
        </w:rPr>
        <w:t>涉及需要办卡农户</w:t>
      </w:r>
      <w:r>
        <w:rPr>
          <w:rFonts w:hint="eastAsia" w:ascii="宋体" w:hAnsi="宋体"/>
          <w:color w:val="FF0000"/>
          <w:sz w:val="24"/>
          <w:szCs w:val="24"/>
        </w:rPr>
        <w:t>13万左右</w:t>
      </w:r>
      <w:r>
        <w:rPr>
          <w:rFonts w:hint="eastAsia" w:ascii="宋体" w:hAnsi="宋体"/>
          <w:sz w:val="24"/>
          <w:szCs w:val="24"/>
        </w:rPr>
        <w:t>（无上限），代理银行应保障我</w:t>
      </w:r>
      <w:r>
        <w:rPr>
          <w:rFonts w:hint="eastAsia" w:ascii="宋体" w:hAnsi="宋体"/>
          <w:color w:val="FF0000"/>
          <w:sz w:val="24"/>
          <w:szCs w:val="24"/>
        </w:rPr>
        <w:t>区</w:t>
      </w:r>
      <w:r>
        <w:rPr>
          <w:rFonts w:hint="eastAsia" w:ascii="宋体" w:hAnsi="宋体"/>
          <w:sz w:val="24"/>
          <w:szCs w:val="24"/>
        </w:rPr>
        <w:t>惠民卡的制作要求，对于群众遗失需要补办银行卡的，热情接待，并及时办理且要保证补卡不换卡号。</w:t>
      </w:r>
    </w:p>
    <w:p>
      <w:pPr>
        <w:spacing w:line="360" w:lineRule="auto"/>
        <w:ind w:firstLine="480" w:firstLineChars="200"/>
        <w:rPr>
          <w:rFonts w:ascii="宋体" w:hAnsi="宋体"/>
          <w:sz w:val="24"/>
          <w:szCs w:val="24"/>
        </w:rPr>
      </w:pPr>
      <w:r>
        <w:rPr>
          <w:rFonts w:hint="eastAsia" w:ascii="宋体" w:hAnsi="宋体"/>
          <w:sz w:val="24"/>
          <w:szCs w:val="24"/>
        </w:rPr>
        <w:t>（六）代理银行服务内容须满足对省市财政关于惠民补贴“一卡通”业务的服务承诺。</w:t>
      </w:r>
    </w:p>
    <w:p>
      <w:pPr>
        <w:spacing w:line="360" w:lineRule="auto"/>
        <w:ind w:firstLine="482" w:firstLineChars="200"/>
        <w:rPr>
          <w:rFonts w:ascii="宋体" w:hAnsi="宋体"/>
          <w:b/>
          <w:sz w:val="24"/>
          <w:szCs w:val="24"/>
        </w:rPr>
      </w:pPr>
      <w:r>
        <w:rPr>
          <w:rFonts w:hint="eastAsia" w:ascii="宋体" w:hAnsi="宋体"/>
          <w:b/>
          <w:sz w:val="24"/>
          <w:szCs w:val="24"/>
        </w:rPr>
        <w:t>三、代理银行为群众办理惠民“一卡通”优惠条件</w:t>
      </w:r>
    </w:p>
    <w:p>
      <w:pPr>
        <w:spacing w:line="360" w:lineRule="auto"/>
        <w:ind w:firstLine="480" w:firstLineChars="200"/>
        <w:rPr>
          <w:rFonts w:ascii="宋体" w:hAnsi="宋体"/>
          <w:sz w:val="24"/>
          <w:szCs w:val="24"/>
        </w:rPr>
      </w:pPr>
      <w:r>
        <w:rPr>
          <w:rFonts w:hint="eastAsia" w:ascii="宋体" w:hAnsi="宋体"/>
          <w:sz w:val="24"/>
          <w:szCs w:val="24"/>
        </w:rPr>
        <w:t>代理银行应专门研发功能完善的对财政惠民“一卡通”银行卡，完全满足惠民补贴代理业务的金融需求：</w:t>
      </w:r>
    </w:p>
    <w:p>
      <w:pPr>
        <w:spacing w:line="360" w:lineRule="auto"/>
        <w:ind w:firstLine="480" w:firstLineChars="200"/>
        <w:rPr>
          <w:rFonts w:ascii="宋体" w:hAnsi="宋体"/>
          <w:sz w:val="24"/>
          <w:szCs w:val="24"/>
        </w:rPr>
      </w:pPr>
      <w:r>
        <w:rPr>
          <w:rFonts w:hint="eastAsia" w:ascii="宋体" w:hAnsi="宋体"/>
          <w:sz w:val="24"/>
          <w:szCs w:val="24"/>
        </w:rPr>
        <w:t>(一)代理银行应满足惠民“一卡通”的优惠项目</w:t>
      </w:r>
    </w:p>
    <w:p>
      <w:pPr>
        <w:spacing w:line="360" w:lineRule="auto"/>
        <w:ind w:firstLine="480" w:firstLineChars="200"/>
        <w:rPr>
          <w:rFonts w:ascii="宋体" w:hAnsi="宋体"/>
          <w:sz w:val="24"/>
          <w:szCs w:val="24"/>
        </w:rPr>
      </w:pPr>
      <w:r>
        <w:rPr>
          <w:rFonts w:hint="eastAsia" w:ascii="宋体" w:hAnsi="宋体"/>
          <w:sz w:val="24"/>
          <w:szCs w:val="24"/>
        </w:rPr>
        <w:t>1.免开卡工本费；</w:t>
      </w:r>
    </w:p>
    <w:p>
      <w:pPr>
        <w:spacing w:line="360" w:lineRule="auto"/>
        <w:ind w:firstLine="480" w:firstLineChars="200"/>
        <w:rPr>
          <w:rFonts w:ascii="宋体" w:hAnsi="宋体"/>
          <w:sz w:val="24"/>
          <w:szCs w:val="24"/>
        </w:rPr>
      </w:pPr>
      <w:r>
        <w:rPr>
          <w:rFonts w:hint="eastAsia" w:ascii="宋体" w:hAnsi="宋体"/>
          <w:sz w:val="24"/>
          <w:szCs w:val="24"/>
        </w:rPr>
        <w:t>2.免年费；</w:t>
      </w:r>
    </w:p>
    <w:p>
      <w:pPr>
        <w:spacing w:line="360" w:lineRule="auto"/>
        <w:ind w:firstLine="480" w:firstLineChars="200"/>
        <w:rPr>
          <w:rFonts w:ascii="宋体" w:hAnsi="宋体"/>
          <w:sz w:val="24"/>
          <w:szCs w:val="24"/>
        </w:rPr>
      </w:pPr>
      <w:r>
        <w:rPr>
          <w:rFonts w:hint="eastAsia" w:ascii="宋体" w:hAnsi="宋体"/>
          <w:sz w:val="24"/>
          <w:szCs w:val="24"/>
        </w:rPr>
        <w:t>3免小额账户管理费；</w:t>
      </w:r>
    </w:p>
    <w:p>
      <w:pPr>
        <w:spacing w:line="360" w:lineRule="auto"/>
        <w:ind w:firstLine="480" w:firstLineChars="200"/>
        <w:rPr>
          <w:rFonts w:ascii="宋体" w:hAnsi="宋体"/>
          <w:sz w:val="24"/>
          <w:szCs w:val="24"/>
        </w:rPr>
      </w:pPr>
      <w:r>
        <w:rPr>
          <w:rFonts w:hint="eastAsia" w:ascii="宋体" w:hAnsi="宋体"/>
          <w:sz w:val="24"/>
          <w:szCs w:val="24"/>
        </w:rPr>
        <w:t>4.免跨行ATM询手续费；</w:t>
      </w:r>
    </w:p>
    <w:p>
      <w:pPr>
        <w:spacing w:line="360" w:lineRule="auto"/>
        <w:ind w:firstLine="480" w:firstLineChars="200"/>
        <w:rPr>
          <w:rFonts w:ascii="宋体" w:hAnsi="宋体"/>
          <w:sz w:val="24"/>
          <w:szCs w:val="24"/>
        </w:rPr>
      </w:pPr>
      <w:r>
        <w:rPr>
          <w:rFonts w:hint="eastAsia" w:ascii="宋体" w:hAnsi="宋体"/>
          <w:sz w:val="24"/>
          <w:szCs w:val="24"/>
        </w:rPr>
        <w:t>5.免费签约手机银行，免费办理本行、跨行、异地转账业务；</w:t>
      </w:r>
    </w:p>
    <w:p>
      <w:pPr>
        <w:spacing w:line="360" w:lineRule="auto"/>
        <w:ind w:firstLine="480" w:firstLineChars="200"/>
        <w:rPr>
          <w:rFonts w:ascii="宋体" w:hAnsi="宋体"/>
          <w:sz w:val="24"/>
          <w:szCs w:val="24"/>
        </w:rPr>
      </w:pPr>
      <w:r>
        <w:rPr>
          <w:rFonts w:hint="eastAsia" w:ascii="宋体" w:hAnsi="宋体"/>
          <w:sz w:val="24"/>
          <w:szCs w:val="24"/>
        </w:rPr>
        <w:t>6. 免费为持卡人提供财政惠民补贴资金到账短信通知等。</w:t>
      </w:r>
    </w:p>
    <w:p>
      <w:pPr>
        <w:spacing w:line="360" w:lineRule="auto"/>
        <w:ind w:firstLine="480" w:firstLineChars="200"/>
        <w:rPr>
          <w:rFonts w:ascii="宋体" w:hAnsi="宋体"/>
          <w:sz w:val="24"/>
          <w:szCs w:val="24"/>
        </w:rPr>
      </w:pPr>
      <w:r>
        <w:rPr>
          <w:rFonts w:hint="eastAsia" w:ascii="宋体" w:hAnsi="宋体"/>
          <w:sz w:val="24"/>
          <w:szCs w:val="24"/>
        </w:rPr>
        <w:t xml:space="preserve"> (二)代理银行满足其他优惠</w:t>
      </w:r>
    </w:p>
    <w:p>
      <w:pPr>
        <w:spacing w:line="360" w:lineRule="auto"/>
        <w:ind w:firstLine="480" w:firstLineChars="200"/>
        <w:rPr>
          <w:rFonts w:ascii="宋体" w:hAnsi="宋体"/>
          <w:sz w:val="24"/>
          <w:szCs w:val="24"/>
        </w:rPr>
      </w:pPr>
      <w:r>
        <w:rPr>
          <w:rFonts w:hint="eastAsia" w:ascii="宋体" w:hAnsi="宋体"/>
          <w:sz w:val="24"/>
          <w:szCs w:val="24"/>
        </w:rPr>
        <w:t>1.免费在各村的“一卡通服务站”办理查询补贴到账等业务，包括打印交易项目明细等；</w:t>
      </w:r>
    </w:p>
    <w:p>
      <w:pPr>
        <w:spacing w:line="360" w:lineRule="auto"/>
        <w:ind w:firstLine="480" w:firstLineChars="200"/>
        <w:rPr>
          <w:rFonts w:ascii="宋体" w:hAnsi="宋体"/>
          <w:sz w:val="24"/>
          <w:szCs w:val="24"/>
        </w:rPr>
      </w:pPr>
      <w:r>
        <w:rPr>
          <w:rFonts w:hint="eastAsia" w:ascii="宋体" w:hAnsi="宋体"/>
          <w:sz w:val="24"/>
          <w:szCs w:val="24"/>
        </w:rPr>
        <w:t>2.免费办理资金取款业务；</w:t>
      </w:r>
    </w:p>
    <w:p>
      <w:pPr>
        <w:spacing w:line="360" w:lineRule="auto"/>
        <w:ind w:firstLine="480" w:firstLineChars="200"/>
        <w:rPr>
          <w:rFonts w:ascii="宋体" w:hAnsi="宋体"/>
          <w:sz w:val="24"/>
          <w:szCs w:val="24"/>
        </w:rPr>
      </w:pPr>
      <w:r>
        <w:rPr>
          <w:rFonts w:hint="eastAsia" w:ascii="宋体" w:hAnsi="宋体"/>
          <w:sz w:val="24"/>
          <w:szCs w:val="24"/>
        </w:rPr>
        <w:t>3.设立公布“一卡通”惠农补贴业务24小时服务电话，代理银行安排专人负责随时解答群众疑问。如代理银行解答不了，由主要负责主管单位负责解答。</w:t>
      </w:r>
    </w:p>
    <w:p>
      <w:pPr>
        <w:spacing w:line="360" w:lineRule="auto"/>
        <w:ind w:firstLine="482" w:firstLineChars="200"/>
        <w:rPr>
          <w:rFonts w:ascii="宋体" w:hAnsi="宋体"/>
          <w:b/>
          <w:sz w:val="24"/>
          <w:szCs w:val="24"/>
        </w:rPr>
      </w:pPr>
      <w:r>
        <w:rPr>
          <w:rFonts w:hint="eastAsia" w:ascii="宋体" w:hAnsi="宋体"/>
          <w:b/>
          <w:sz w:val="24"/>
          <w:szCs w:val="24"/>
        </w:rPr>
        <w:t>四、代理银行对财政惠民补贴资金安全保障能力</w:t>
      </w:r>
    </w:p>
    <w:p>
      <w:pPr>
        <w:spacing w:line="360" w:lineRule="auto"/>
        <w:ind w:firstLine="480" w:firstLineChars="200"/>
        <w:rPr>
          <w:rFonts w:ascii="宋体" w:hAnsi="宋体"/>
          <w:sz w:val="24"/>
          <w:szCs w:val="24"/>
        </w:rPr>
      </w:pPr>
      <w:r>
        <w:rPr>
          <w:rFonts w:hint="eastAsia" w:ascii="宋体" w:hAnsi="宋体"/>
          <w:sz w:val="24"/>
          <w:szCs w:val="24"/>
        </w:rPr>
        <w:t>代理银行应制定严格的规章制度和完善的管理体系，为财政惠民补贴资金“一卡通”支付业务的顺利、安全运行提供制度上的保障。</w:t>
      </w:r>
    </w:p>
    <w:p>
      <w:pPr>
        <w:spacing w:line="360" w:lineRule="auto"/>
        <w:ind w:firstLine="480" w:firstLineChars="200"/>
        <w:rPr>
          <w:rFonts w:ascii="宋体" w:hAnsi="宋体"/>
          <w:sz w:val="24"/>
          <w:szCs w:val="24"/>
        </w:rPr>
      </w:pPr>
      <w:r>
        <w:rPr>
          <w:rFonts w:hint="eastAsia" w:ascii="宋体" w:hAnsi="宋体"/>
          <w:sz w:val="24"/>
          <w:szCs w:val="24"/>
        </w:rPr>
        <w:t>（一）代理银行应确保资金实时到账</w:t>
      </w:r>
    </w:p>
    <w:p>
      <w:pPr>
        <w:spacing w:line="360" w:lineRule="auto"/>
        <w:ind w:firstLine="480" w:firstLineChars="200"/>
        <w:rPr>
          <w:rFonts w:ascii="宋体" w:hAnsi="宋体"/>
          <w:sz w:val="24"/>
          <w:szCs w:val="24"/>
        </w:rPr>
      </w:pPr>
      <w:r>
        <w:rPr>
          <w:rFonts w:hint="eastAsia" w:ascii="宋体" w:hAnsi="宋体"/>
          <w:sz w:val="24"/>
          <w:szCs w:val="24"/>
        </w:rPr>
        <w:t>保障惠民资金在主管单位提出发放申请，资金实时到账，及时兑付，建成资金汇划的“高速公路网”。</w:t>
      </w:r>
    </w:p>
    <w:p>
      <w:pPr>
        <w:spacing w:line="360" w:lineRule="auto"/>
        <w:ind w:firstLine="480" w:firstLineChars="200"/>
        <w:rPr>
          <w:rFonts w:ascii="宋体" w:hAnsi="宋体"/>
          <w:sz w:val="24"/>
          <w:szCs w:val="24"/>
        </w:rPr>
      </w:pPr>
      <w:r>
        <w:rPr>
          <w:rFonts w:hint="eastAsia" w:ascii="宋体" w:hAnsi="宋体"/>
          <w:sz w:val="24"/>
          <w:szCs w:val="24"/>
        </w:rPr>
        <w:t>(二)代理银行应制定完善的应急预案体系</w:t>
      </w:r>
    </w:p>
    <w:p>
      <w:pPr>
        <w:spacing w:line="360" w:lineRule="auto"/>
        <w:ind w:firstLine="480" w:firstLineChars="200"/>
        <w:rPr>
          <w:rFonts w:ascii="宋体" w:hAnsi="宋体"/>
          <w:sz w:val="24"/>
          <w:szCs w:val="24"/>
        </w:rPr>
      </w:pPr>
      <w:r>
        <w:rPr>
          <w:rFonts w:hint="eastAsia" w:ascii="宋体" w:hAnsi="宋体"/>
          <w:sz w:val="24"/>
          <w:szCs w:val="24"/>
        </w:rPr>
        <w:t>1.完善重大突发事件应急预案；</w:t>
      </w:r>
    </w:p>
    <w:p>
      <w:pPr>
        <w:spacing w:line="360" w:lineRule="auto"/>
        <w:ind w:firstLine="480" w:firstLineChars="200"/>
        <w:rPr>
          <w:rFonts w:ascii="宋体" w:hAnsi="宋体"/>
          <w:sz w:val="24"/>
          <w:szCs w:val="24"/>
        </w:rPr>
      </w:pPr>
      <w:r>
        <w:rPr>
          <w:rFonts w:hint="eastAsia" w:ascii="宋体" w:hAnsi="宋体"/>
          <w:sz w:val="24"/>
          <w:szCs w:val="24"/>
        </w:rPr>
        <w:t>2.严密的业务系统、网络应急预案；</w:t>
      </w:r>
    </w:p>
    <w:p>
      <w:pPr>
        <w:spacing w:line="360" w:lineRule="auto"/>
        <w:ind w:firstLine="480" w:firstLineChars="200"/>
        <w:rPr>
          <w:rFonts w:ascii="宋体" w:hAnsi="宋体"/>
          <w:sz w:val="24"/>
          <w:szCs w:val="24"/>
        </w:rPr>
      </w:pPr>
      <w:r>
        <w:rPr>
          <w:rFonts w:hint="eastAsia" w:ascii="宋体" w:hAnsi="宋体"/>
          <w:sz w:val="24"/>
          <w:szCs w:val="24"/>
        </w:rPr>
        <w:t>3.严谨的汇划系统手工应急预案。</w:t>
      </w:r>
    </w:p>
    <w:p>
      <w:pPr>
        <w:spacing w:line="360" w:lineRule="auto"/>
        <w:ind w:firstLine="480" w:firstLineChars="200"/>
        <w:rPr>
          <w:rFonts w:ascii="宋体" w:hAnsi="宋体"/>
          <w:sz w:val="24"/>
          <w:szCs w:val="24"/>
        </w:rPr>
      </w:pPr>
      <w:r>
        <w:rPr>
          <w:rFonts w:hint="eastAsia" w:ascii="宋体" w:hAnsi="宋体"/>
          <w:sz w:val="24"/>
          <w:szCs w:val="24"/>
        </w:rPr>
        <w:t>(三)代理银行应具备实时动态监控功能</w:t>
      </w:r>
    </w:p>
    <w:p>
      <w:pPr>
        <w:spacing w:line="360" w:lineRule="auto"/>
        <w:ind w:firstLine="480" w:firstLineChars="200"/>
        <w:rPr>
          <w:rFonts w:ascii="宋体" w:hAnsi="宋体"/>
          <w:sz w:val="24"/>
          <w:szCs w:val="24"/>
        </w:rPr>
      </w:pPr>
      <w:r>
        <w:rPr>
          <w:rFonts w:hint="eastAsia" w:ascii="宋体" w:hAnsi="宋体"/>
          <w:sz w:val="24"/>
          <w:szCs w:val="24"/>
        </w:rPr>
        <w:t>提供系统对设备日常运行及交易状况实时监控功能，设定预警标准，对可疑交易和突发事件实时预警。严格操作，确保代理资金的安全，有效防范风险。</w:t>
      </w:r>
    </w:p>
    <w:p>
      <w:pPr>
        <w:spacing w:line="360" w:lineRule="auto"/>
        <w:ind w:firstLine="480" w:firstLineChars="200"/>
        <w:rPr>
          <w:rFonts w:ascii="宋体" w:hAnsi="宋体"/>
          <w:sz w:val="24"/>
          <w:szCs w:val="24"/>
        </w:rPr>
      </w:pPr>
      <w:r>
        <w:rPr>
          <w:rFonts w:hint="eastAsia" w:ascii="宋体" w:hAnsi="宋体"/>
          <w:sz w:val="24"/>
          <w:szCs w:val="24"/>
        </w:rPr>
        <w:t>(四)完善的风险防控体系</w:t>
      </w:r>
    </w:p>
    <w:p>
      <w:pPr>
        <w:spacing w:line="360" w:lineRule="auto"/>
        <w:ind w:firstLine="480" w:firstLineChars="200"/>
        <w:rPr>
          <w:rFonts w:ascii="宋体" w:hAnsi="宋体"/>
          <w:sz w:val="24"/>
          <w:szCs w:val="24"/>
        </w:rPr>
      </w:pPr>
      <w:r>
        <w:rPr>
          <w:rFonts w:hint="eastAsia" w:ascii="宋体" w:hAnsi="宋体"/>
          <w:sz w:val="24"/>
          <w:szCs w:val="24"/>
        </w:rPr>
        <w:t>代理银行应将风险控制贯穿在业务的每个环节，确保财政惠民资金安全：</w:t>
      </w:r>
    </w:p>
    <w:p>
      <w:pPr>
        <w:spacing w:line="360" w:lineRule="auto"/>
        <w:ind w:firstLine="480" w:firstLineChars="200"/>
        <w:rPr>
          <w:rFonts w:ascii="宋体" w:hAnsi="宋体"/>
          <w:sz w:val="24"/>
          <w:szCs w:val="24"/>
        </w:rPr>
      </w:pPr>
      <w:r>
        <w:rPr>
          <w:rFonts w:hint="eastAsia" w:ascii="宋体" w:hAnsi="宋体"/>
          <w:sz w:val="24"/>
          <w:szCs w:val="24"/>
        </w:rPr>
        <w:t>1.代理银行应有安全的数据通道，实现业务数据高效、安全传输，保障财政惠民“一卡通”兑付系统传送的数据安全，群众账户信息、个人账户的信息安全；</w:t>
      </w:r>
    </w:p>
    <w:p>
      <w:pPr>
        <w:spacing w:line="360" w:lineRule="auto"/>
        <w:ind w:firstLine="480" w:firstLineChars="200"/>
        <w:rPr>
          <w:rFonts w:ascii="宋体" w:hAnsi="宋体"/>
          <w:sz w:val="24"/>
          <w:szCs w:val="24"/>
        </w:rPr>
      </w:pPr>
      <w:r>
        <w:rPr>
          <w:rFonts w:hint="eastAsia" w:ascii="宋体" w:hAnsi="宋体"/>
          <w:sz w:val="24"/>
          <w:szCs w:val="24"/>
        </w:rPr>
        <w:t>2.代理银行应有严格的数据比对、制卡、发卡、支取环节，有效杜绝财政惠民资金被冒领、虚列等风险。</w:t>
      </w:r>
    </w:p>
    <w:p>
      <w:pPr>
        <w:spacing w:line="360" w:lineRule="auto"/>
        <w:ind w:firstLine="480" w:firstLineChars="200"/>
        <w:rPr>
          <w:rFonts w:ascii="宋体" w:hAnsi="宋体"/>
          <w:sz w:val="24"/>
          <w:szCs w:val="24"/>
        </w:rPr>
      </w:pPr>
      <w:r>
        <w:rPr>
          <w:rFonts w:hint="eastAsia" w:ascii="宋体" w:hAnsi="宋体"/>
          <w:sz w:val="24"/>
          <w:szCs w:val="24"/>
        </w:rPr>
        <w:t>(1)代理银行应将主管部门提供的</w:t>
      </w:r>
      <w:r>
        <w:rPr>
          <w:rFonts w:hint="eastAsia" w:ascii="宋体" w:hAnsi="宋体"/>
          <w:color w:val="FF0000"/>
          <w:sz w:val="24"/>
          <w:szCs w:val="24"/>
        </w:rPr>
        <w:t>农户(个人)</w:t>
      </w:r>
      <w:r>
        <w:rPr>
          <w:rFonts w:hint="eastAsia" w:ascii="宋体" w:hAnsi="宋体"/>
          <w:sz w:val="24"/>
          <w:szCs w:val="24"/>
        </w:rPr>
        <w:t>身份信息进行比对，从源头上防止数据差错；</w:t>
      </w:r>
    </w:p>
    <w:p>
      <w:pPr>
        <w:spacing w:line="360" w:lineRule="auto"/>
        <w:ind w:firstLine="480" w:firstLineChars="200"/>
        <w:rPr>
          <w:rFonts w:ascii="宋体" w:hAnsi="宋体"/>
          <w:sz w:val="24"/>
          <w:szCs w:val="24"/>
        </w:rPr>
      </w:pPr>
      <w:r>
        <w:rPr>
          <w:rFonts w:hint="eastAsia" w:ascii="宋体" w:hAnsi="宋体"/>
          <w:sz w:val="24"/>
          <w:szCs w:val="24"/>
        </w:rPr>
        <w:t>(2)发卡环节，代理银行负责将制作好的惠民补贴联名卡发到每个人手中，并做好用卡和保管银行卡的宣传培训。此环节是风险控制的关键，可以有效防范冒领、虚列等风险隐患。</w:t>
      </w:r>
    </w:p>
    <w:p>
      <w:pPr>
        <w:spacing w:line="360" w:lineRule="auto"/>
        <w:ind w:firstLine="480" w:firstLineChars="200"/>
        <w:rPr>
          <w:rFonts w:ascii="宋体" w:hAnsi="宋体"/>
          <w:sz w:val="24"/>
          <w:szCs w:val="24"/>
        </w:rPr>
      </w:pPr>
      <w:r>
        <w:rPr>
          <w:rFonts w:hint="eastAsia" w:ascii="宋体" w:hAnsi="宋体"/>
          <w:sz w:val="24"/>
          <w:szCs w:val="24"/>
        </w:rPr>
        <w:t>（五）完善的资金管控体系</w:t>
      </w:r>
    </w:p>
    <w:p>
      <w:pPr>
        <w:spacing w:line="360" w:lineRule="auto"/>
        <w:ind w:firstLine="480" w:firstLineChars="200"/>
        <w:rPr>
          <w:rFonts w:ascii="宋体" w:hAnsi="宋体"/>
          <w:sz w:val="24"/>
          <w:szCs w:val="24"/>
        </w:rPr>
      </w:pPr>
      <w:r>
        <w:rPr>
          <w:rFonts w:hint="eastAsia" w:ascii="宋体" w:hAnsi="宋体"/>
          <w:sz w:val="24"/>
          <w:szCs w:val="24"/>
        </w:rPr>
        <w:t>代理银行应有详细的资金管控体系，通过合理的业务分工和制度安排，确保资金的专款专用，保障资金的安全，防止资金的挪用、多发漏发等情况出现。</w:t>
      </w:r>
    </w:p>
    <w:p>
      <w:pPr>
        <w:spacing w:line="360" w:lineRule="auto"/>
        <w:ind w:firstLine="482" w:firstLineChars="200"/>
        <w:rPr>
          <w:rFonts w:ascii="宋体" w:hAnsi="宋体"/>
          <w:b/>
          <w:color w:val="FF0000"/>
          <w:sz w:val="24"/>
          <w:szCs w:val="24"/>
        </w:rPr>
      </w:pPr>
      <w:r>
        <w:rPr>
          <w:rFonts w:hint="eastAsia" w:ascii="宋体" w:hAnsi="宋体"/>
          <w:b/>
          <w:color w:val="FF0000"/>
          <w:sz w:val="24"/>
          <w:szCs w:val="24"/>
        </w:rPr>
        <w:t>五、人员组织</w:t>
      </w:r>
    </w:p>
    <w:p>
      <w:pPr>
        <w:spacing w:line="360" w:lineRule="auto"/>
        <w:ind w:firstLine="480" w:firstLineChars="200"/>
        <w:rPr>
          <w:rFonts w:ascii="宋体" w:hAnsi="宋体"/>
          <w:sz w:val="24"/>
          <w:szCs w:val="24"/>
        </w:rPr>
      </w:pPr>
      <w:r>
        <w:rPr>
          <w:rFonts w:hint="eastAsia" w:ascii="宋体" w:hAnsi="宋体"/>
          <w:sz w:val="24"/>
          <w:szCs w:val="24"/>
        </w:rPr>
        <w:t>(一)代理银行应有专门的服务团队保障</w:t>
      </w:r>
    </w:p>
    <w:p>
      <w:pPr>
        <w:spacing w:line="360" w:lineRule="auto"/>
        <w:ind w:firstLine="480" w:firstLineChars="200"/>
        <w:rPr>
          <w:rFonts w:ascii="宋体" w:hAnsi="宋体"/>
          <w:sz w:val="24"/>
          <w:szCs w:val="24"/>
        </w:rPr>
      </w:pPr>
      <w:r>
        <w:rPr>
          <w:rFonts w:hint="eastAsia" w:ascii="宋体" w:hAnsi="宋体"/>
          <w:sz w:val="24"/>
          <w:szCs w:val="24"/>
        </w:rPr>
        <w:t>代理银行应加强管理协调，成立专业团队，提供专业服务，成立相应的领导小组，成立专门机构。同时配备专业人员，全面负责“一卡通”的管理与协调工作，包括对“一卡通”补贴项目的日常报表统计、工作协调、票据传送等，为不能到代理银行点办理开卡等相关手续的群众，提供上门服务。</w:t>
      </w:r>
    </w:p>
    <w:p>
      <w:pPr>
        <w:spacing w:line="360" w:lineRule="auto"/>
        <w:ind w:firstLine="480" w:firstLineChars="200"/>
        <w:rPr>
          <w:rFonts w:ascii="宋体" w:hAnsi="宋体"/>
          <w:sz w:val="24"/>
          <w:szCs w:val="24"/>
        </w:rPr>
      </w:pPr>
      <w:r>
        <w:rPr>
          <w:rFonts w:hint="eastAsia" w:ascii="宋体" w:hAnsi="宋体"/>
          <w:sz w:val="24"/>
          <w:szCs w:val="24"/>
        </w:rPr>
        <w:t>（二）代理银行应有专门的账务管理</w:t>
      </w:r>
    </w:p>
    <w:p>
      <w:pPr>
        <w:spacing w:line="360" w:lineRule="auto"/>
        <w:ind w:firstLine="480" w:firstLineChars="200"/>
        <w:rPr>
          <w:rFonts w:ascii="宋体" w:hAnsi="宋体"/>
          <w:sz w:val="24"/>
          <w:szCs w:val="24"/>
        </w:rPr>
      </w:pPr>
      <w:r>
        <w:rPr>
          <w:rFonts w:hint="eastAsia" w:ascii="宋体" w:hAnsi="宋体"/>
          <w:sz w:val="24"/>
          <w:szCs w:val="24"/>
        </w:rPr>
        <w:t>对财政惠民“一卡通”系统进行专人专账，即安排专人记好相关账务，随时方便政府、社会各界查询、统计相关数据。</w:t>
      </w:r>
    </w:p>
    <w:p>
      <w:pPr>
        <w:spacing w:line="360" w:lineRule="auto"/>
        <w:ind w:firstLine="482" w:firstLineChars="200"/>
        <w:rPr>
          <w:rFonts w:ascii="宋体" w:hAnsi="宋体"/>
          <w:b/>
          <w:color w:val="FF0000"/>
          <w:sz w:val="24"/>
          <w:szCs w:val="24"/>
        </w:rPr>
      </w:pPr>
      <w:r>
        <w:rPr>
          <w:rFonts w:hint="eastAsia" w:ascii="宋体" w:hAnsi="宋体"/>
          <w:b/>
          <w:color w:val="FF0000"/>
          <w:sz w:val="24"/>
          <w:szCs w:val="24"/>
        </w:rPr>
        <w:t>六、服务期限</w:t>
      </w:r>
    </w:p>
    <w:p>
      <w:pPr>
        <w:spacing w:line="360" w:lineRule="auto"/>
        <w:ind w:firstLine="480" w:firstLineChars="200"/>
        <w:rPr>
          <w:rFonts w:ascii="宋体" w:hAnsi="宋体"/>
          <w:sz w:val="24"/>
          <w:szCs w:val="24"/>
        </w:rPr>
      </w:pPr>
      <w:r>
        <w:rPr>
          <w:rFonts w:hint="eastAsia" w:ascii="宋体" w:hAnsi="宋体"/>
          <w:sz w:val="24"/>
          <w:szCs w:val="24"/>
        </w:rPr>
        <w:t>本次采购确定代理银行后，服务期限为3年。采购合同</w:t>
      </w:r>
      <w:r>
        <w:rPr>
          <w:rFonts w:hint="eastAsia" w:ascii="宋体" w:hAnsi="宋体" w:cs="宋体"/>
          <w:bCs/>
          <w:sz w:val="24"/>
        </w:rPr>
        <w:t>每年签订一次，符合考核标准方可续签下一年合同。</w:t>
      </w:r>
    </w:p>
    <w:p>
      <w:pPr>
        <w:adjustRightInd w:val="0"/>
        <w:snapToGrid w:val="0"/>
        <w:spacing w:line="360" w:lineRule="auto"/>
        <w:ind w:firstLine="480" w:firstLineChars="200"/>
        <w:rPr>
          <w:rFonts w:ascii="宋体" w:hAnsi="宋体"/>
          <w:sz w:val="24"/>
          <w:szCs w:val="24"/>
        </w:rPr>
      </w:pPr>
    </w:p>
    <w:p>
      <w:pPr>
        <w:spacing w:line="360" w:lineRule="auto"/>
        <w:rPr>
          <w:rFonts w:asciiTheme="minorEastAsia" w:hAnsiTheme="minorEastAsia" w:eastAsiaTheme="minorEastAsia"/>
          <w:b/>
          <w:sz w:val="30"/>
          <w:szCs w:val="30"/>
        </w:rPr>
      </w:pPr>
    </w:p>
    <w:p>
      <w:pPr>
        <w:sectPr>
          <w:pgSz w:w="11906" w:h="16838"/>
          <w:pgMar w:top="1440" w:right="1800" w:bottom="1440" w:left="1800" w:header="851" w:footer="992" w:gutter="0"/>
          <w:cols w:space="425" w:num="1"/>
          <w:docGrid w:type="lines" w:linePitch="312" w:charSpace="0"/>
        </w:sectPr>
      </w:pPr>
      <w:bookmarkStart w:id="238" w:name="_Toc445306402"/>
    </w:p>
    <w:p>
      <w:pPr>
        <w:pStyle w:val="2"/>
        <w:tabs>
          <w:tab w:val="left" w:pos="34"/>
          <w:tab w:val="center" w:pos="4535"/>
        </w:tabs>
        <w:spacing w:line="360" w:lineRule="auto"/>
        <w:jc w:val="center"/>
        <w:rPr>
          <w:rFonts w:ascii="宋体" w:hAnsi="宋体"/>
          <w:color w:val="FF0000"/>
        </w:rPr>
      </w:pPr>
      <w:bookmarkStart w:id="239" w:name="_Toc57822484"/>
      <w:r>
        <w:rPr>
          <w:rFonts w:hint="eastAsia"/>
          <w:color w:val="FF0000"/>
        </w:rPr>
        <w:t>五、</w:t>
      </w:r>
      <w:bookmarkEnd w:id="238"/>
      <w:bookmarkStart w:id="240" w:name="_Toc512416557"/>
      <w:bookmarkStart w:id="241" w:name="_Toc445306403"/>
      <w:r>
        <w:rPr>
          <w:rFonts w:hint="eastAsia" w:ascii="宋体" w:hAnsi="宋体"/>
          <w:color w:val="FF0000"/>
        </w:rPr>
        <w:t>合同主要条款（参考文本）</w:t>
      </w:r>
      <w:bookmarkEnd w:id="239"/>
      <w:bookmarkEnd w:id="240"/>
    </w:p>
    <w:p>
      <w:pPr>
        <w:spacing w:line="360" w:lineRule="auto"/>
        <w:rPr>
          <w:rFonts w:ascii="宋体" w:hAnsi="宋体"/>
          <w:sz w:val="24"/>
          <w:szCs w:val="24"/>
        </w:rPr>
      </w:pPr>
      <w:r>
        <w:rPr>
          <w:rFonts w:hint="eastAsia" w:ascii="宋体" w:hAnsi="宋体"/>
          <w:sz w:val="24"/>
          <w:szCs w:val="24"/>
        </w:rPr>
        <w:t>甲    方：</w:t>
      </w:r>
    </w:p>
    <w:p>
      <w:pPr>
        <w:spacing w:line="360" w:lineRule="auto"/>
        <w:rPr>
          <w:rFonts w:ascii="宋体" w:hAnsi="宋体"/>
          <w:sz w:val="24"/>
          <w:szCs w:val="24"/>
          <w:u w:val="single"/>
        </w:rPr>
      </w:pPr>
      <w:r>
        <w:rPr>
          <w:rFonts w:hint="eastAsia" w:ascii="宋体" w:hAnsi="宋体"/>
          <w:sz w:val="24"/>
          <w:szCs w:val="24"/>
        </w:rPr>
        <w:t>甲方地址：</w:t>
      </w:r>
    </w:p>
    <w:p>
      <w:pPr>
        <w:spacing w:line="360" w:lineRule="auto"/>
        <w:rPr>
          <w:rFonts w:ascii="宋体" w:hAnsi="宋体"/>
          <w:sz w:val="24"/>
          <w:szCs w:val="24"/>
          <w:u w:val="single"/>
        </w:rPr>
      </w:pPr>
      <w:r>
        <w:rPr>
          <w:rFonts w:hint="eastAsia" w:ascii="宋体" w:hAnsi="宋体"/>
          <w:sz w:val="24"/>
          <w:szCs w:val="24"/>
        </w:rPr>
        <w:t>乙    方：</w:t>
      </w:r>
    </w:p>
    <w:p>
      <w:pPr>
        <w:spacing w:line="360" w:lineRule="auto"/>
        <w:rPr>
          <w:rFonts w:ascii="宋体" w:hAnsi="宋体"/>
          <w:sz w:val="24"/>
          <w:szCs w:val="24"/>
        </w:rPr>
      </w:pPr>
      <w:r>
        <w:rPr>
          <w:rFonts w:hint="eastAsia" w:ascii="宋体" w:hAnsi="宋体"/>
          <w:sz w:val="24"/>
          <w:szCs w:val="24"/>
        </w:rPr>
        <w:t>乙方地址：</w:t>
      </w:r>
    </w:p>
    <w:p>
      <w:pPr>
        <w:spacing w:line="360" w:lineRule="auto"/>
        <w:ind w:firstLine="360" w:firstLineChars="150"/>
        <w:rPr>
          <w:rFonts w:ascii="宋体" w:hAnsi="宋体"/>
          <w:sz w:val="24"/>
          <w:szCs w:val="24"/>
        </w:rPr>
      </w:pPr>
      <w:r>
        <w:rPr>
          <w:rFonts w:hint="eastAsia" w:ascii="宋体" w:hAnsi="宋体"/>
          <w:sz w:val="24"/>
          <w:szCs w:val="24"/>
        </w:rPr>
        <w:t>依照国家有关法律、行政法规，遵循平等、自愿、公平和诚实信用的原则，双方就</w:t>
      </w:r>
      <w:r>
        <w:rPr>
          <w:rFonts w:hint="eastAsia" w:ascii="宋体" w:hAnsi="宋体"/>
          <w:sz w:val="24"/>
          <w:szCs w:val="24"/>
          <w:u w:val="single"/>
        </w:rPr>
        <w:t>项目名称</w:t>
      </w:r>
      <w:r>
        <w:rPr>
          <w:rFonts w:hint="eastAsia" w:ascii="宋体" w:hAnsi="宋体"/>
          <w:sz w:val="24"/>
          <w:szCs w:val="24"/>
        </w:rPr>
        <w:t>事项协</w:t>
      </w:r>
      <w:r>
        <w:rPr>
          <w:rFonts w:hint="eastAsia" w:ascii="宋体" w:hAnsi="宋体"/>
          <w:bCs/>
          <w:sz w:val="24"/>
          <w:szCs w:val="24"/>
        </w:rPr>
        <w:t>商一致，</w:t>
      </w:r>
      <w:r>
        <w:rPr>
          <w:rFonts w:hint="eastAsia" w:ascii="宋体" w:hAnsi="宋体"/>
          <w:sz w:val="24"/>
          <w:szCs w:val="24"/>
        </w:rPr>
        <w:t>同意按下述条款和条件签署本合同及附件。</w:t>
      </w:r>
    </w:p>
    <w:p>
      <w:pPr>
        <w:autoSpaceDE w:val="0"/>
        <w:autoSpaceDN w:val="0"/>
        <w:adjustRightInd w:val="0"/>
        <w:snapToGrid w:val="0"/>
        <w:spacing w:line="360" w:lineRule="auto"/>
        <w:rPr>
          <w:rFonts w:ascii="宋体" w:hAnsi="宋体" w:cs="宋体"/>
          <w:b/>
          <w:sz w:val="24"/>
          <w:szCs w:val="24"/>
        </w:rPr>
      </w:pPr>
      <w:r>
        <w:rPr>
          <w:rFonts w:hint="eastAsia" w:ascii="宋体" w:hAnsi="宋体" w:cs="宋体"/>
          <w:b/>
          <w:sz w:val="24"/>
          <w:szCs w:val="24"/>
        </w:rPr>
        <w:t>第一条  采购事项</w:t>
      </w:r>
    </w:p>
    <w:p>
      <w:pPr>
        <w:autoSpaceDE w:val="0"/>
        <w:autoSpaceDN w:val="0"/>
        <w:adjustRightInd w:val="0"/>
        <w:snapToGrid w:val="0"/>
        <w:spacing w:line="360" w:lineRule="auto"/>
        <w:rPr>
          <w:rFonts w:ascii="宋体" w:hAnsi="宋体" w:cs="宋体"/>
          <w:sz w:val="24"/>
          <w:szCs w:val="24"/>
        </w:rPr>
      </w:pPr>
      <w:r>
        <w:rPr>
          <w:rFonts w:hint="eastAsia" w:ascii="宋体" w:hAnsi="宋体" w:cs="宋体"/>
          <w:sz w:val="24"/>
          <w:szCs w:val="24"/>
        </w:rPr>
        <w:t>阎良区财政惠民补贴“一卡通”服务采购</w:t>
      </w:r>
    </w:p>
    <w:p>
      <w:pPr>
        <w:autoSpaceDE w:val="0"/>
        <w:autoSpaceDN w:val="0"/>
        <w:adjustRightInd w:val="0"/>
        <w:snapToGrid w:val="0"/>
        <w:spacing w:line="360" w:lineRule="auto"/>
        <w:rPr>
          <w:rFonts w:ascii="宋体" w:hAnsi="宋体" w:cs="宋体"/>
          <w:b/>
          <w:sz w:val="24"/>
          <w:szCs w:val="24"/>
        </w:rPr>
      </w:pPr>
      <w:r>
        <w:rPr>
          <w:rFonts w:hint="eastAsia" w:ascii="宋体" w:hAnsi="宋体" w:cs="宋体"/>
          <w:b/>
          <w:sz w:val="24"/>
          <w:szCs w:val="24"/>
        </w:rPr>
        <w:t>第二条  服务期限</w:t>
      </w:r>
    </w:p>
    <w:p>
      <w:pPr>
        <w:autoSpaceDE w:val="0"/>
        <w:autoSpaceDN w:val="0"/>
        <w:adjustRightInd w:val="0"/>
        <w:snapToGrid w:val="0"/>
        <w:spacing w:line="360" w:lineRule="auto"/>
        <w:rPr>
          <w:rFonts w:ascii="宋体" w:hAnsi="宋体" w:cs="宋体"/>
          <w:sz w:val="24"/>
          <w:szCs w:val="24"/>
        </w:rPr>
      </w:pPr>
      <w:r>
        <w:rPr>
          <w:rFonts w:hint="eastAsia" w:ascii="宋体" w:hAnsi="宋体" w:cs="宋体"/>
          <w:sz w:val="24"/>
          <w:szCs w:val="24"/>
        </w:rPr>
        <w:t>本项目服务期限为3年。</w:t>
      </w:r>
      <w:r>
        <w:rPr>
          <w:rFonts w:hint="eastAsia" w:ascii="宋体" w:hAnsi="宋体" w:cs="宋体"/>
          <w:bCs/>
          <w:sz w:val="24"/>
        </w:rPr>
        <w:t>采购合同每年签订一次，符合考核标准方可续签下一年合同。</w:t>
      </w:r>
    </w:p>
    <w:p>
      <w:pPr>
        <w:autoSpaceDE w:val="0"/>
        <w:autoSpaceDN w:val="0"/>
        <w:adjustRightInd w:val="0"/>
        <w:snapToGrid w:val="0"/>
        <w:spacing w:line="360" w:lineRule="auto"/>
        <w:rPr>
          <w:rFonts w:ascii="宋体" w:hAnsi="宋体" w:cs="宋体"/>
          <w:b/>
          <w:sz w:val="24"/>
          <w:szCs w:val="24"/>
        </w:rPr>
      </w:pPr>
      <w:r>
        <w:rPr>
          <w:rFonts w:hint="eastAsia" w:ascii="宋体" w:hAnsi="宋体" w:cs="宋体"/>
          <w:b/>
          <w:sz w:val="24"/>
          <w:szCs w:val="24"/>
        </w:rPr>
        <w:t>第三条  采购服务具体内容及要求</w:t>
      </w:r>
    </w:p>
    <w:p>
      <w:pPr>
        <w:spacing w:line="360" w:lineRule="auto"/>
        <w:ind w:firstLine="482" w:firstLineChars="200"/>
        <w:rPr>
          <w:rFonts w:ascii="宋体" w:hAnsi="宋体"/>
          <w:b/>
          <w:sz w:val="24"/>
          <w:szCs w:val="24"/>
        </w:rPr>
      </w:pPr>
      <w:r>
        <w:rPr>
          <w:rFonts w:hint="eastAsia" w:ascii="宋体" w:hAnsi="宋体"/>
          <w:b/>
          <w:sz w:val="24"/>
          <w:szCs w:val="24"/>
        </w:rPr>
        <w:t>一、各村设立“一卡通服务站”</w:t>
      </w:r>
    </w:p>
    <w:p>
      <w:pPr>
        <w:spacing w:line="360" w:lineRule="auto"/>
        <w:ind w:firstLine="480" w:firstLineChars="200"/>
        <w:rPr>
          <w:rFonts w:ascii="宋体" w:hAnsi="宋体"/>
          <w:sz w:val="24"/>
          <w:szCs w:val="24"/>
        </w:rPr>
      </w:pPr>
      <w:r>
        <w:rPr>
          <w:rFonts w:hint="eastAsia" w:ascii="宋体" w:hAnsi="宋体"/>
          <w:sz w:val="24"/>
          <w:szCs w:val="24"/>
        </w:rPr>
        <w:t>代理银行应在我区各村设立“一卡通服务站”，每村至少一处，覆盖全区所有行政村。设立各村的一卡通服务站需要对群众提供方便服务，保证农民不出村就能享受基本金融服务，可以就近办理小额取款、补贴资金明细查询、消费等多项金融业务。同时，各村“一卡通服务站”由代理银行管理、培训、支出相关运维费用。</w:t>
      </w:r>
    </w:p>
    <w:p>
      <w:pPr>
        <w:spacing w:line="360" w:lineRule="auto"/>
        <w:ind w:firstLine="482" w:firstLineChars="200"/>
        <w:rPr>
          <w:rFonts w:ascii="宋体" w:hAnsi="宋体"/>
          <w:b/>
          <w:sz w:val="24"/>
          <w:szCs w:val="24"/>
        </w:rPr>
      </w:pPr>
      <w:r>
        <w:rPr>
          <w:rFonts w:hint="eastAsia" w:ascii="宋体" w:hAnsi="宋体"/>
          <w:b/>
          <w:sz w:val="24"/>
          <w:szCs w:val="24"/>
        </w:rPr>
        <w:t>二、对代发业务可提供的软硬件支持</w:t>
      </w:r>
    </w:p>
    <w:p>
      <w:pPr>
        <w:spacing w:line="360" w:lineRule="auto"/>
        <w:ind w:firstLine="480" w:firstLineChars="200"/>
        <w:rPr>
          <w:rFonts w:ascii="宋体" w:hAnsi="宋体"/>
          <w:sz w:val="24"/>
          <w:szCs w:val="24"/>
        </w:rPr>
      </w:pPr>
      <w:r>
        <w:rPr>
          <w:rFonts w:hint="eastAsia" w:ascii="宋体" w:hAnsi="宋体"/>
          <w:sz w:val="24"/>
          <w:szCs w:val="24"/>
        </w:rPr>
        <w:t>1、代理银行需要出资成立 “一卡通”发放兑付办公室。由代理银行成立“一卡通”发放兑付办公室，安排专人负责“一卡通”发放业务，设立一卡通兑付专柜，有效保证财政惠民补贴资金的发放，同时负责电子设备、系统网络等相关设施配置。</w:t>
      </w:r>
    </w:p>
    <w:p>
      <w:pPr>
        <w:spacing w:line="360" w:lineRule="auto"/>
        <w:ind w:firstLine="480" w:firstLineChars="200"/>
        <w:rPr>
          <w:rFonts w:ascii="宋体" w:hAnsi="宋体"/>
          <w:sz w:val="24"/>
          <w:szCs w:val="24"/>
        </w:rPr>
      </w:pPr>
      <w:r>
        <w:rPr>
          <w:rFonts w:hint="eastAsia" w:ascii="宋体" w:hAnsi="宋体"/>
          <w:sz w:val="24"/>
          <w:szCs w:val="24"/>
        </w:rPr>
        <w:t>2、代理银行负责开展形式多样的政策宣传、公示活动。通过电视合、传媒网络、各类户外广告、银行LED屏、流动宣传车、一卡通服务站、印制手册指南等开展持续的宣传活动，让财政惠民补贴资金“一卡通”业务家喻户晓，同时负责通知“一卡通”持卡人相关注意事项，妥善保管银行卡，开展好补贴发放业务的宣传、咨询、公示工作。</w:t>
      </w:r>
    </w:p>
    <w:p>
      <w:pPr>
        <w:spacing w:line="360" w:lineRule="auto"/>
        <w:ind w:firstLine="480" w:firstLineChars="200"/>
        <w:rPr>
          <w:rFonts w:ascii="宋体" w:hAnsi="宋体"/>
          <w:sz w:val="24"/>
          <w:szCs w:val="24"/>
        </w:rPr>
      </w:pPr>
      <w:r>
        <w:rPr>
          <w:rFonts w:hint="eastAsia" w:ascii="宋体" w:hAnsi="宋体"/>
          <w:sz w:val="24"/>
          <w:szCs w:val="24"/>
        </w:rPr>
        <w:t>3、代理银行应随时接受政府、社会监督。代理银行制定相关制度措施，明确银行在服务群众过程中的各项措施及责任，设定监督机制和办法，随时接受政府、社会各界对代理银行服务群众的监督工作。</w:t>
      </w:r>
    </w:p>
    <w:p>
      <w:pPr>
        <w:spacing w:line="360" w:lineRule="auto"/>
        <w:ind w:firstLine="480" w:firstLineChars="200"/>
        <w:rPr>
          <w:rFonts w:ascii="宋体" w:hAnsi="宋体"/>
          <w:sz w:val="24"/>
          <w:szCs w:val="24"/>
        </w:rPr>
      </w:pPr>
      <w:r>
        <w:rPr>
          <w:rFonts w:hint="eastAsia" w:ascii="宋体" w:hAnsi="宋体"/>
          <w:sz w:val="24"/>
          <w:szCs w:val="24"/>
        </w:rPr>
        <w:t>4、做好与财政惠民“一卡通”兑付系统的数据对接工作，及时反馈主管部门发放情况。阎良区惠民补贴发放，依托“陕西省惠民补贴资金‘一卡通’兑付系统”(以下简称“一卡通”系统)管理平台发放。代理银行必须保证系统能与省市财政惠民补贴资金“一卡通”兑付系统管理平台无缝对接，保障财政惠民补贴资金的有序发放。</w:t>
      </w:r>
    </w:p>
    <w:p>
      <w:pPr>
        <w:spacing w:line="360" w:lineRule="auto"/>
        <w:ind w:firstLine="480" w:firstLineChars="200"/>
        <w:rPr>
          <w:rFonts w:ascii="宋体" w:hAnsi="宋体"/>
          <w:sz w:val="24"/>
          <w:szCs w:val="24"/>
        </w:rPr>
      </w:pPr>
      <w:r>
        <w:rPr>
          <w:rFonts w:hint="eastAsia" w:ascii="宋体" w:hAnsi="宋体"/>
          <w:sz w:val="24"/>
          <w:szCs w:val="24"/>
        </w:rPr>
        <w:t>阎良区财政惠民补贴发放流程为：代理银行提供待发账户账号，惠民补贴发放时，由各项目主管部门将补贴资金划转至待发账户。同时，主管单位用“一卡通”兑付系统将补贴数据包发放到代理银行后，代理银行用开发的系统接收数据，将补贴资金在24小时内划入应享受补贴卡，并将补贴数据发放成功、失败信息详细反馈回财政惠民“一卡通”系统（反馈信息包含失败原因、人员明细、失败金额、家庭住址等信息），对于惠民补贴资金失败户再次发放数据也要及时反馈主管部门。同时代理银行将发放补贴情况（包括失败户再次发放情况）通过纸质并电话告知各补贴主管部门。</w:t>
      </w:r>
    </w:p>
    <w:p>
      <w:pPr>
        <w:spacing w:line="360" w:lineRule="auto"/>
        <w:ind w:firstLine="480" w:firstLineChars="200"/>
        <w:rPr>
          <w:rFonts w:ascii="宋体" w:hAnsi="宋体"/>
          <w:sz w:val="24"/>
          <w:szCs w:val="24"/>
        </w:rPr>
      </w:pPr>
      <w:r>
        <w:rPr>
          <w:rFonts w:hint="eastAsia" w:ascii="宋体" w:hAnsi="宋体"/>
          <w:sz w:val="24"/>
          <w:szCs w:val="24"/>
        </w:rPr>
        <w:t>5、代理银行对财政惠民“一卡通”补贴卡的制作</w:t>
      </w:r>
    </w:p>
    <w:p>
      <w:pPr>
        <w:spacing w:line="360" w:lineRule="auto"/>
        <w:ind w:firstLine="480" w:firstLineChars="200"/>
        <w:rPr>
          <w:rFonts w:hint="eastAsia" w:ascii="宋体" w:hAnsi="宋体"/>
          <w:sz w:val="24"/>
          <w:szCs w:val="24"/>
        </w:rPr>
      </w:pPr>
      <w:r>
        <w:rPr>
          <w:rFonts w:hint="eastAsia" w:ascii="宋体" w:hAnsi="宋体"/>
          <w:sz w:val="24"/>
          <w:szCs w:val="24"/>
        </w:rPr>
        <w:t>代理银行应具备短期大批量制卡、发卡能力，同时确保财政惠民 “一卡通”同一个</w:t>
      </w:r>
      <w:r>
        <w:rPr>
          <w:rFonts w:hint="eastAsia" w:ascii="宋体" w:hAnsi="宋体"/>
          <w:color w:val="FF0000"/>
          <w:sz w:val="24"/>
          <w:szCs w:val="24"/>
        </w:rPr>
        <w:t>农户</w:t>
      </w:r>
      <w:r>
        <w:rPr>
          <w:rFonts w:hint="eastAsia" w:ascii="宋体" w:hAnsi="宋体"/>
          <w:sz w:val="24"/>
          <w:szCs w:val="24"/>
        </w:rPr>
        <w:t>只能有一个银行卡号，一张银行卡，即“一人一卡一号”，目前我</w:t>
      </w:r>
      <w:r>
        <w:rPr>
          <w:rFonts w:hint="eastAsia" w:ascii="宋体" w:hAnsi="宋体"/>
          <w:color w:val="FF0000"/>
          <w:sz w:val="24"/>
          <w:szCs w:val="24"/>
        </w:rPr>
        <w:t>区</w:t>
      </w:r>
      <w:r>
        <w:rPr>
          <w:rFonts w:hint="eastAsia" w:ascii="宋体" w:hAnsi="宋体"/>
          <w:sz w:val="24"/>
          <w:szCs w:val="24"/>
        </w:rPr>
        <w:t>涉及需要办卡农户</w:t>
      </w:r>
      <w:r>
        <w:rPr>
          <w:rFonts w:hint="eastAsia" w:ascii="宋体" w:hAnsi="宋体"/>
          <w:color w:val="FF0000"/>
          <w:sz w:val="24"/>
          <w:szCs w:val="24"/>
        </w:rPr>
        <w:t>13万左右</w:t>
      </w:r>
      <w:r>
        <w:rPr>
          <w:rFonts w:hint="eastAsia" w:ascii="宋体" w:hAnsi="宋体"/>
          <w:sz w:val="24"/>
          <w:szCs w:val="24"/>
        </w:rPr>
        <w:t>（无上限），代理银行应保障我</w:t>
      </w:r>
      <w:r>
        <w:rPr>
          <w:rFonts w:hint="eastAsia" w:ascii="宋体" w:hAnsi="宋体"/>
          <w:color w:val="FF0000"/>
          <w:sz w:val="24"/>
          <w:szCs w:val="24"/>
        </w:rPr>
        <w:t>区</w:t>
      </w:r>
      <w:r>
        <w:rPr>
          <w:rFonts w:hint="eastAsia" w:ascii="宋体" w:hAnsi="宋体"/>
          <w:sz w:val="24"/>
          <w:szCs w:val="24"/>
        </w:rPr>
        <w:t>惠民卡的制作要求，对于群众遗失需要补办银行卡的，热情接待，并及时办理且要保证补卡不换卡号。</w:t>
      </w:r>
    </w:p>
    <w:p>
      <w:pPr>
        <w:spacing w:line="360" w:lineRule="auto"/>
        <w:ind w:firstLine="480" w:firstLineChars="200"/>
        <w:rPr>
          <w:rFonts w:ascii="宋体" w:hAnsi="宋体"/>
          <w:sz w:val="24"/>
          <w:szCs w:val="24"/>
        </w:rPr>
      </w:pPr>
      <w:r>
        <w:rPr>
          <w:rFonts w:hint="eastAsia" w:ascii="宋体" w:hAnsi="宋体"/>
          <w:sz w:val="24"/>
          <w:szCs w:val="24"/>
        </w:rPr>
        <w:t>6、代理银行服务内容须满足对省市财政关于惠民补贴“一卡通”业务的服务承诺。</w:t>
      </w:r>
    </w:p>
    <w:p>
      <w:pPr>
        <w:spacing w:line="360" w:lineRule="auto"/>
        <w:ind w:firstLine="482" w:firstLineChars="200"/>
        <w:rPr>
          <w:rFonts w:ascii="宋体" w:hAnsi="宋体"/>
          <w:b/>
          <w:sz w:val="24"/>
          <w:szCs w:val="24"/>
        </w:rPr>
      </w:pPr>
      <w:r>
        <w:rPr>
          <w:rFonts w:hint="eastAsia" w:ascii="宋体" w:hAnsi="宋体"/>
          <w:b/>
          <w:sz w:val="24"/>
          <w:szCs w:val="24"/>
        </w:rPr>
        <w:t>三、代理银行为群众办理惠民“一卡通”优惠条件</w:t>
      </w:r>
    </w:p>
    <w:p>
      <w:pPr>
        <w:spacing w:line="360" w:lineRule="auto"/>
        <w:ind w:firstLine="480" w:firstLineChars="200"/>
        <w:rPr>
          <w:rFonts w:ascii="宋体" w:hAnsi="宋体"/>
          <w:sz w:val="24"/>
          <w:szCs w:val="24"/>
        </w:rPr>
      </w:pPr>
      <w:r>
        <w:rPr>
          <w:rFonts w:hint="eastAsia" w:ascii="宋体" w:hAnsi="宋体"/>
          <w:sz w:val="24"/>
          <w:szCs w:val="24"/>
        </w:rPr>
        <w:t>代理银行应专门研发功能完善的对财政惠民“一卡通”银行卡，完全满足惠民补贴代理业务的金融需求：</w:t>
      </w:r>
    </w:p>
    <w:p>
      <w:pPr>
        <w:spacing w:line="360" w:lineRule="auto"/>
        <w:ind w:firstLine="480" w:firstLineChars="200"/>
        <w:rPr>
          <w:rFonts w:ascii="宋体" w:hAnsi="宋体"/>
          <w:sz w:val="24"/>
          <w:szCs w:val="24"/>
        </w:rPr>
      </w:pPr>
      <w:r>
        <w:rPr>
          <w:rFonts w:hint="eastAsia" w:ascii="宋体" w:hAnsi="宋体"/>
          <w:sz w:val="24"/>
          <w:szCs w:val="24"/>
        </w:rPr>
        <w:t>1、代理银行应满足惠民“一卡通”的优惠项目</w:t>
      </w:r>
    </w:p>
    <w:p>
      <w:pPr>
        <w:spacing w:line="360" w:lineRule="auto"/>
        <w:ind w:firstLine="480" w:firstLineChars="200"/>
        <w:rPr>
          <w:rFonts w:ascii="宋体" w:hAnsi="宋体"/>
          <w:sz w:val="24"/>
          <w:szCs w:val="24"/>
        </w:rPr>
      </w:pPr>
      <w:r>
        <w:rPr>
          <w:rFonts w:hint="eastAsia" w:ascii="宋体" w:hAnsi="宋体"/>
          <w:sz w:val="24"/>
          <w:szCs w:val="24"/>
        </w:rPr>
        <w:t>1.1免开卡工本费；</w:t>
      </w:r>
    </w:p>
    <w:p>
      <w:pPr>
        <w:spacing w:line="360" w:lineRule="auto"/>
        <w:ind w:firstLine="480" w:firstLineChars="200"/>
        <w:rPr>
          <w:rFonts w:ascii="宋体" w:hAnsi="宋体"/>
          <w:sz w:val="24"/>
          <w:szCs w:val="24"/>
        </w:rPr>
      </w:pPr>
      <w:r>
        <w:rPr>
          <w:rFonts w:hint="eastAsia" w:ascii="宋体" w:hAnsi="宋体"/>
          <w:sz w:val="24"/>
          <w:szCs w:val="24"/>
        </w:rPr>
        <w:t>1.2免年费；</w:t>
      </w:r>
    </w:p>
    <w:p>
      <w:pPr>
        <w:spacing w:line="360" w:lineRule="auto"/>
        <w:ind w:firstLine="480" w:firstLineChars="200"/>
        <w:rPr>
          <w:rFonts w:ascii="宋体" w:hAnsi="宋体"/>
          <w:sz w:val="24"/>
          <w:szCs w:val="24"/>
        </w:rPr>
      </w:pPr>
      <w:r>
        <w:rPr>
          <w:rFonts w:hint="eastAsia" w:ascii="宋体" w:hAnsi="宋体"/>
          <w:sz w:val="24"/>
          <w:szCs w:val="24"/>
        </w:rPr>
        <w:t>1.3免小额账户管理费；</w:t>
      </w:r>
    </w:p>
    <w:p>
      <w:pPr>
        <w:spacing w:line="360" w:lineRule="auto"/>
        <w:ind w:firstLine="480" w:firstLineChars="200"/>
        <w:rPr>
          <w:rFonts w:ascii="宋体" w:hAnsi="宋体"/>
          <w:sz w:val="24"/>
          <w:szCs w:val="24"/>
        </w:rPr>
      </w:pPr>
      <w:r>
        <w:rPr>
          <w:rFonts w:hint="eastAsia" w:ascii="宋体" w:hAnsi="宋体"/>
          <w:sz w:val="24"/>
          <w:szCs w:val="24"/>
        </w:rPr>
        <w:t>1.4免跨行ATM询手续费；</w:t>
      </w:r>
    </w:p>
    <w:p>
      <w:pPr>
        <w:spacing w:line="360" w:lineRule="auto"/>
        <w:ind w:firstLine="480" w:firstLineChars="200"/>
        <w:rPr>
          <w:rFonts w:ascii="宋体" w:hAnsi="宋体"/>
          <w:sz w:val="24"/>
          <w:szCs w:val="24"/>
        </w:rPr>
      </w:pPr>
      <w:r>
        <w:rPr>
          <w:rFonts w:hint="eastAsia" w:ascii="宋体" w:hAnsi="宋体"/>
          <w:sz w:val="24"/>
          <w:szCs w:val="24"/>
        </w:rPr>
        <w:t>1.5免费签约手机银行，免费办理本行、跨行、异地转账业务；</w:t>
      </w:r>
    </w:p>
    <w:p>
      <w:pPr>
        <w:spacing w:line="360" w:lineRule="auto"/>
        <w:ind w:firstLine="480" w:firstLineChars="200"/>
        <w:rPr>
          <w:rFonts w:ascii="宋体" w:hAnsi="宋体"/>
          <w:sz w:val="24"/>
          <w:szCs w:val="24"/>
        </w:rPr>
      </w:pPr>
      <w:r>
        <w:rPr>
          <w:rFonts w:hint="eastAsia" w:ascii="宋体" w:hAnsi="宋体"/>
          <w:sz w:val="24"/>
          <w:szCs w:val="24"/>
        </w:rPr>
        <w:t>1.6 免费为持卡人提供财政惠民补贴资金到账短信通知等。</w:t>
      </w:r>
    </w:p>
    <w:p>
      <w:pPr>
        <w:spacing w:line="360" w:lineRule="auto"/>
        <w:ind w:firstLine="480" w:firstLineChars="200"/>
        <w:rPr>
          <w:rFonts w:ascii="宋体" w:hAnsi="宋体"/>
          <w:sz w:val="24"/>
          <w:szCs w:val="24"/>
        </w:rPr>
      </w:pPr>
      <w:r>
        <w:rPr>
          <w:rFonts w:hint="eastAsia" w:ascii="宋体" w:hAnsi="宋体"/>
          <w:sz w:val="24"/>
          <w:szCs w:val="24"/>
        </w:rPr>
        <w:t>2、代理银行满足其他优惠</w:t>
      </w:r>
    </w:p>
    <w:p>
      <w:pPr>
        <w:spacing w:line="360" w:lineRule="auto"/>
        <w:ind w:firstLine="480" w:firstLineChars="200"/>
        <w:rPr>
          <w:rFonts w:ascii="宋体" w:hAnsi="宋体"/>
          <w:sz w:val="24"/>
          <w:szCs w:val="24"/>
        </w:rPr>
      </w:pPr>
      <w:r>
        <w:rPr>
          <w:rFonts w:hint="eastAsia" w:ascii="宋体" w:hAnsi="宋体"/>
          <w:sz w:val="24"/>
          <w:szCs w:val="24"/>
        </w:rPr>
        <w:t>2.1免费在各村的“一卡通服务站”办理查询补贴到账等业务，包括打印交易项目明细等；</w:t>
      </w:r>
    </w:p>
    <w:p>
      <w:pPr>
        <w:spacing w:line="360" w:lineRule="auto"/>
        <w:ind w:firstLine="480" w:firstLineChars="200"/>
        <w:rPr>
          <w:rFonts w:ascii="宋体" w:hAnsi="宋体"/>
          <w:sz w:val="24"/>
          <w:szCs w:val="24"/>
        </w:rPr>
      </w:pPr>
      <w:r>
        <w:rPr>
          <w:rFonts w:hint="eastAsia" w:ascii="宋体" w:hAnsi="宋体"/>
          <w:sz w:val="24"/>
          <w:szCs w:val="24"/>
        </w:rPr>
        <w:t>2.2免费办理资金取款业务；</w:t>
      </w:r>
    </w:p>
    <w:p>
      <w:pPr>
        <w:spacing w:line="360" w:lineRule="auto"/>
        <w:ind w:firstLine="480" w:firstLineChars="200"/>
        <w:rPr>
          <w:rFonts w:ascii="宋体" w:hAnsi="宋体"/>
          <w:sz w:val="24"/>
          <w:szCs w:val="24"/>
        </w:rPr>
      </w:pPr>
      <w:r>
        <w:rPr>
          <w:rFonts w:hint="eastAsia" w:ascii="宋体" w:hAnsi="宋体"/>
          <w:sz w:val="24"/>
          <w:szCs w:val="24"/>
        </w:rPr>
        <w:t>2.3设立公布“一卡通”惠农补贴业务24小时服务电话，代理银行安排专人负责随时解答群众疑问。如代理银行解答不了，由主要负责主管单位负责解答。</w:t>
      </w:r>
    </w:p>
    <w:p>
      <w:pPr>
        <w:spacing w:line="360" w:lineRule="auto"/>
        <w:ind w:firstLine="482" w:firstLineChars="200"/>
        <w:rPr>
          <w:rFonts w:ascii="宋体" w:hAnsi="宋体"/>
          <w:b/>
          <w:sz w:val="24"/>
          <w:szCs w:val="24"/>
        </w:rPr>
      </w:pPr>
      <w:r>
        <w:rPr>
          <w:rFonts w:hint="eastAsia" w:ascii="宋体" w:hAnsi="宋体"/>
          <w:b/>
          <w:sz w:val="24"/>
          <w:szCs w:val="24"/>
        </w:rPr>
        <w:t>四、代理银行对财政惠民补贴资金安全保障能力</w:t>
      </w:r>
    </w:p>
    <w:p>
      <w:pPr>
        <w:spacing w:line="360" w:lineRule="auto"/>
        <w:ind w:firstLine="480" w:firstLineChars="200"/>
        <w:rPr>
          <w:rFonts w:ascii="宋体" w:hAnsi="宋体"/>
          <w:sz w:val="24"/>
          <w:szCs w:val="24"/>
        </w:rPr>
      </w:pPr>
      <w:r>
        <w:rPr>
          <w:rFonts w:hint="eastAsia" w:ascii="宋体" w:hAnsi="宋体"/>
          <w:sz w:val="24"/>
          <w:szCs w:val="24"/>
        </w:rPr>
        <w:t>代理银行应制定严格的规章制度和完善的管理体系，为财政惠民补贴资金“一卡通”支付业务的顺利、安全运行提供制度上的保障。</w:t>
      </w:r>
    </w:p>
    <w:p>
      <w:pPr>
        <w:spacing w:line="360" w:lineRule="auto"/>
        <w:ind w:firstLine="480" w:firstLineChars="200"/>
        <w:rPr>
          <w:rFonts w:ascii="宋体" w:hAnsi="宋体"/>
          <w:sz w:val="24"/>
          <w:szCs w:val="24"/>
        </w:rPr>
      </w:pPr>
      <w:r>
        <w:rPr>
          <w:rFonts w:hint="eastAsia" w:ascii="宋体" w:hAnsi="宋体"/>
          <w:sz w:val="24"/>
          <w:szCs w:val="24"/>
        </w:rPr>
        <w:t>1、代理银行应确保资金实时到账</w:t>
      </w:r>
    </w:p>
    <w:p>
      <w:pPr>
        <w:spacing w:line="360" w:lineRule="auto"/>
        <w:ind w:firstLine="480" w:firstLineChars="200"/>
        <w:rPr>
          <w:rFonts w:ascii="宋体" w:hAnsi="宋体"/>
          <w:sz w:val="24"/>
          <w:szCs w:val="24"/>
        </w:rPr>
      </w:pPr>
      <w:r>
        <w:rPr>
          <w:rFonts w:hint="eastAsia" w:ascii="宋体" w:hAnsi="宋体"/>
          <w:sz w:val="24"/>
          <w:szCs w:val="24"/>
        </w:rPr>
        <w:t>保障惠民资金在主管单位提出发放申请，资金实时到账，及时兑付，建成资金汇划的“高速公路网”。</w:t>
      </w:r>
    </w:p>
    <w:p>
      <w:pPr>
        <w:spacing w:line="360" w:lineRule="auto"/>
        <w:ind w:firstLine="480" w:firstLineChars="200"/>
        <w:rPr>
          <w:rFonts w:ascii="宋体" w:hAnsi="宋体"/>
          <w:sz w:val="24"/>
          <w:szCs w:val="24"/>
        </w:rPr>
      </w:pPr>
      <w:r>
        <w:rPr>
          <w:rFonts w:hint="eastAsia" w:ascii="宋体" w:hAnsi="宋体"/>
          <w:sz w:val="24"/>
          <w:szCs w:val="24"/>
        </w:rPr>
        <w:t>2、代理银行应制定完善的应急预案体系</w:t>
      </w:r>
    </w:p>
    <w:p>
      <w:pPr>
        <w:spacing w:line="360" w:lineRule="auto"/>
        <w:ind w:firstLine="480" w:firstLineChars="200"/>
        <w:rPr>
          <w:rFonts w:ascii="宋体" w:hAnsi="宋体"/>
          <w:sz w:val="24"/>
          <w:szCs w:val="24"/>
        </w:rPr>
      </w:pPr>
      <w:r>
        <w:rPr>
          <w:rFonts w:hint="eastAsia" w:ascii="宋体" w:hAnsi="宋体"/>
          <w:sz w:val="24"/>
          <w:szCs w:val="24"/>
        </w:rPr>
        <w:t>2.1完善重大突发事件应急预案；</w:t>
      </w:r>
    </w:p>
    <w:p>
      <w:pPr>
        <w:spacing w:line="360" w:lineRule="auto"/>
        <w:ind w:firstLine="480" w:firstLineChars="200"/>
        <w:rPr>
          <w:rFonts w:ascii="宋体" w:hAnsi="宋体"/>
          <w:sz w:val="24"/>
          <w:szCs w:val="24"/>
        </w:rPr>
      </w:pPr>
      <w:r>
        <w:rPr>
          <w:rFonts w:hint="eastAsia" w:ascii="宋体" w:hAnsi="宋体"/>
          <w:sz w:val="24"/>
          <w:szCs w:val="24"/>
        </w:rPr>
        <w:t>2.2严密的业务系统、网络应急预案；</w:t>
      </w:r>
    </w:p>
    <w:p>
      <w:pPr>
        <w:spacing w:line="360" w:lineRule="auto"/>
        <w:ind w:firstLine="480" w:firstLineChars="200"/>
        <w:rPr>
          <w:rFonts w:ascii="宋体" w:hAnsi="宋体"/>
          <w:sz w:val="24"/>
          <w:szCs w:val="24"/>
        </w:rPr>
      </w:pPr>
      <w:r>
        <w:rPr>
          <w:rFonts w:hint="eastAsia" w:ascii="宋体" w:hAnsi="宋体"/>
          <w:sz w:val="24"/>
          <w:szCs w:val="24"/>
        </w:rPr>
        <w:t>2.3严谨的汇划系统手工应急预案。</w:t>
      </w:r>
    </w:p>
    <w:p>
      <w:pPr>
        <w:spacing w:line="360" w:lineRule="auto"/>
        <w:ind w:firstLine="480" w:firstLineChars="200"/>
        <w:rPr>
          <w:rFonts w:ascii="宋体" w:hAnsi="宋体"/>
          <w:sz w:val="24"/>
          <w:szCs w:val="24"/>
        </w:rPr>
      </w:pPr>
      <w:r>
        <w:rPr>
          <w:rFonts w:hint="eastAsia" w:ascii="宋体" w:hAnsi="宋体"/>
          <w:sz w:val="24"/>
          <w:szCs w:val="24"/>
        </w:rPr>
        <w:t>3、代理银行应具备实时动态监控功能</w:t>
      </w:r>
    </w:p>
    <w:p>
      <w:pPr>
        <w:spacing w:line="360" w:lineRule="auto"/>
        <w:ind w:firstLine="480" w:firstLineChars="200"/>
        <w:rPr>
          <w:rFonts w:ascii="宋体" w:hAnsi="宋体"/>
          <w:sz w:val="24"/>
          <w:szCs w:val="24"/>
        </w:rPr>
      </w:pPr>
      <w:r>
        <w:rPr>
          <w:rFonts w:hint="eastAsia" w:ascii="宋体" w:hAnsi="宋体"/>
          <w:sz w:val="24"/>
          <w:szCs w:val="24"/>
        </w:rPr>
        <w:t>提供系统对设备日常运行及交易状况实时监控功能，设定预警标准，对可疑交易和突发事件实时预警。严格操作，确保代理资金的安全，有效防范风险。</w:t>
      </w:r>
    </w:p>
    <w:p>
      <w:pPr>
        <w:spacing w:line="360" w:lineRule="auto"/>
        <w:ind w:firstLine="480" w:firstLineChars="200"/>
        <w:rPr>
          <w:rFonts w:ascii="宋体" w:hAnsi="宋体"/>
          <w:sz w:val="24"/>
          <w:szCs w:val="24"/>
        </w:rPr>
      </w:pPr>
      <w:r>
        <w:rPr>
          <w:rFonts w:hint="eastAsia" w:ascii="宋体" w:hAnsi="宋体"/>
          <w:sz w:val="24"/>
          <w:szCs w:val="24"/>
        </w:rPr>
        <w:t>4、完善的风险防控体系</w:t>
      </w:r>
    </w:p>
    <w:p>
      <w:pPr>
        <w:spacing w:line="360" w:lineRule="auto"/>
        <w:ind w:firstLine="480" w:firstLineChars="200"/>
        <w:rPr>
          <w:rFonts w:ascii="宋体" w:hAnsi="宋体"/>
          <w:sz w:val="24"/>
          <w:szCs w:val="24"/>
        </w:rPr>
      </w:pPr>
      <w:r>
        <w:rPr>
          <w:rFonts w:hint="eastAsia" w:ascii="宋体" w:hAnsi="宋体"/>
          <w:sz w:val="24"/>
          <w:szCs w:val="24"/>
        </w:rPr>
        <w:t>代理银行应将风险控制贯穿在业务的每个环节，确保财政惠民资金安全：</w:t>
      </w:r>
    </w:p>
    <w:p>
      <w:pPr>
        <w:spacing w:line="360" w:lineRule="auto"/>
        <w:ind w:firstLine="480" w:firstLineChars="200"/>
        <w:rPr>
          <w:rFonts w:ascii="宋体" w:hAnsi="宋体"/>
          <w:sz w:val="24"/>
          <w:szCs w:val="24"/>
        </w:rPr>
      </w:pPr>
      <w:r>
        <w:rPr>
          <w:rFonts w:hint="eastAsia" w:ascii="宋体" w:hAnsi="宋体"/>
          <w:sz w:val="24"/>
          <w:szCs w:val="24"/>
        </w:rPr>
        <w:t>4.1代理银行应有安全的数据通道，实现业务数据高效、安全传输，保障财政惠民“一卡通”兑付系统传送的数据安全，群众账户信息、个人账户的信息安全；</w:t>
      </w:r>
    </w:p>
    <w:p>
      <w:pPr>
        <w:spacing w:line="360" w:lineRule="auto"/>
        <w:ind w:firstLine="480" w:firstLineChars="200"/>
        <w:rPr>
          <w:rFonts w:ascii="宋体" w:hAnsi="宋体"/>
          <w:sz w:val="24"/>
          <w:szCs w:val="24"/>
        </w:rPr>
      </w:pPr>
      <w:r>
        <w:rPr>
          <w:rFonts w:hint="eastAsia" w:ascii="宋体" w:hAnsi="宋体"/>
          <w:sz w:val="24"/>
          <w:szCs w:val="24"/>
        </w:rPr>
        <w:t>4.2代理银行应有严格的数据比对、制卡、发卡、支取环节，有效杜绝财政惠民资金被冒领、虚列等风险。</w:t>
      </w:r>
    </w:p>
    <w:p>
      <w:pPr>
        <w:spacing w:line="360" w:lineRule="auto"/>
        <w:ind w:firstLine="480" w:firstLineChars="200"/>
        <w:rPr>
          <w:rFonts w:ascii="宋体" w:hAnsi="宋体"/>
          <w:sz w:val="24"/>
          <w:szCs w:val="24"/>
        </w:rPr>
      </w:pPr>
      <w:r>
        <w:rPr>
          <w:rFonts w:hint="eastAsia" w:ascii="宋体" w:hAnsi="宋体"/>
          <w:sz w:val="24"/>
          <w:szCs w:val="24"/>
        </w:rPr>
        <w:t>4.2.1代理银行应将主管部门提供的</w:t>
      </w:r>
      <w:r>
        <w:rPr>
          <w:rFonts w:hint="eastAsia" w:ascii="宋体" w:hAnsi="宋体"/>
          <w:color w:val="FF0000"/>
          <w:sz w:val="24"/>
          <w:szCs w:val="24"/>
        </w:rPr>
        <w:t>农户(个人)</w:t>
      </w:r>
      <w:r>
        <w:rPr>
          <w:rFonts w:hint="eastAsia" w:ascii="宋体" w:hAnsi="宋体"/>
          <w:sz w:val="24"/>
          <w:szCs w:val="24"/>
        </w:rPr>
        <w:t>身份信息进行比对，从源头上防止数据差错；</w:t>
      </w:r>
    </w:p>
    <w:p>
      <w:pPr>
        <w:spacing w:line="360" w:lineRule="auto"/>
        <w:ind w:firstLine="480" w:firstLineChars="200"/>
        <w:rPr>
          <w:rFonts w:ascii="宋体" w:hAnsi="宋体"/>
          <w:sz w:val="24"/>
          <w:szCs w:val="24"/>
        </w:rPr>
      </w:pPr>
      <w:r>
        <w:rPr>
          <w:rFonts w:hint="eastAsia" w:ascii="宋体" w:hAnsi="宋体"/>
          <w:sz w:val="24"/>
          <w:szCs w:val="24"/>
        </w:rPr>
        <w:t>4.2.2发卡环节，代理银行负责将制作好的惠民补贴联名卡发到每个人手中，并做好用卡和保管银行卡的宣传培训。此环节是风险控制的关键，可以有效防范冒领、虚列等风险隐患。</w:t>
      </w:r>
    </w:p>
    <w:p>
      <w:pPr>
        <w:spacing w:line="360" w:lineRule="auto"/>
        <w:ind w:firstLine="480" w:firstLineChars="200"/>
        <w:rPr>
          <w:rFonts w:ascii="宋体" w:hAnsi="宋体"/>
          <w:sz w:val="24"/>
          <w:szCs w:val="24"/>
        </w:rPr>
      </w:pPr>
      <w:r>
        <w:rPr>
          <w:rFonts w:hint="eastAsia" w:ascii="宋体" w:hAnsi="宋体"/>
          <w:sz w:val="24"/>
          <w:szCs w:val="24"/>
        </w:rPr>
        <w:t>5、完善的资金管控体系</w:t>
      </w:r>
    </w:p>
    <w:p>
      <w:pPr>
        <w:spacing w:line="360" w:lineRule="auto"/>
        <w:ind w:firstLine="480" w:firstLineChars="200"/>
        <w:rPr>
          <w:rFonts w:ascii="宋体" w:hAnsi="宋体"/>
          <w:sz w:val="24"/>
          <w:szCs w:val="24"/>
        </w:rPr>
      </w:pPr>
      <w:r>
        <w:rPr>
          <w:rFonts w:hint="eastAsia" w:ascii="宋体" w:hAnsi="宋体"/>
          <w:sz w:val="24"/>
          <w:szCs w:val="24"/>
        </w:rPr>
        <w:t>代理银行应有详细的资金管控体系，通过合理的业务分工和制度安排，确保资金的专款专用，保障资金的安全，防止资金的挪用、多发漏发等情况出现。</w:t>
      </w:r>
    </w:p>
    <w:p>
      <w:pPr>
        <w:spacing w:line="360" w:lineRule="auto"/>
        <w:ind w:firstLine="482" w:firstLineChars="200"/>
        <w:rPr>
          <w:rFonts w:ascii="宋体" w:hAnsi="宋体"/>
          <w:b/>
          <w:color w:val="FF0000"/>
          <w:sz w:val="24"/>
          <w:szCs w:val="24"/>
        </w:rPr>
      </w:pPr>
      <w:r>
        <w:rPr>
          <w:rFonts w:hint="eastAsia" w:ascii="宋体" w:hAnsi="宋体"/>
          <w:b/>
          <w:color w:val="FF0000"/>
          <w:sz w:val="24"/>
          <w:szCs w:val="24"/>
        </w:rPr>
        <w:t>五、人员组织</w:t>
      </w:r>
    </w:p>
    <w:p>
      <w:pPr>
        <w:spacing w:line="360" w:lineRule="auto"/>
        <w:ind w:firstLine="480" w:firstLineChars="200"/>
        <w:rPr>
          <w:rFonts w:ascii="宋体" w:hAnsi="宋体"/>
          <w:sz w:val="24"/>
          <w:szCs w:val="24"/>
        </w:rPr>
      </w:pPr>
      <w:r>
        <w:rPr>
          <w:rFonts w:hint="eastAsia" w:ascii="宋体" w:hAnsi="宋体"/>
          <w:sz w:val="24"/>
          <w:szCs w:val="24"/>
        </w:rPr>
        <w:t>1、代理银行应有专门的服务团队保障</w:t>
      </w:r>
    </w:p>
    <w:p>
      <w:pPr>
        <w:spacing w:line="360" w:lineRule="auto"/>
        <w:ind w:firstLine="480" w:firstLineChars="200"/>
        <w:rPr>
          <w:rFonts w:ascii="宋体" w:hAnsi="宋体"/>
          <w:sz w:val="24"/>
          <w:szCs w:val="24"/>
        </w:rPr>
      </w:pPr>
      <w:r>
        <w:rPr>
          <w:rFonts w:hint="eastAsia" w:ascii="宋体" w:hAnsi="宋体"/>
          <w:sz w:val="24"/>
          <w:szCs w:val="24"/>
        </w:rPr>
        <w:t>代理银行应加强管理协调，成立专业团队，提供专业服务，成立相应的领导小组，成立专门机构。同时配备专业人员，全面负责“一卡通”的管理与协调工作，包括对“一卡通”补贴项目的日常报表统计、工作协调、票据传送等，为不能到代理银行点办理开卡等相关手续的群众，提供上门服务。</w:t>
      </w:r>
    </w:p>
    <w:p>
      <w:pPr>
        <w:spacing w:line="360" w:lineRule="auto"/>
        <w:ind w:firstLine="480" w:firstLineChars="200"/>
        <w:rPr>
          <w:rFonts w:ascii="宋体" w:hAnsi="宋体"/>
          <w:sz w:val="24"/>
          <w:szCs w:val="24"/>
        </w:rPr>
      </w:pPr>
      <w:r>
        <w:rPr>
          <w:rFonts w:hint="eastAsia" w:ascii="宋体" w:hAnsi="宋体"/>
          <w:sz w:val="24"/>
          <w:szCs w:val="24"/>
        </w:rPr>
        <w:t>2、代理银行应有专门的账务管理</w:t>
      </w:r>
    </w:p>
    <w:p>
      <w:pPr>
        <w:adjustRightInd w:val="0"/>
        <w:snapToGrid w:val="0"/>
        <w:spacing w:line="360" w:lineRule="auto"/>
        <w:rPr>
          <w:rFonts w:ascii="宋体" w:hAnsi="宋体" w:cs="宋体"/>
          <w:sz w:val="24"/>
          <w:szCs w:val="24"/>
        </w:rPr>
      </w:pPr>
      <w:r>
        <w:rPr>
          <w:rFonts w:hint="eastAsia" w:ascii="宋体" w:hAnsi="宋体"/>
          <w:sz w:val="24"/>
          <w:szCs w:val="24"/>
        </w:rPr>
        <w:t>对财政惠民“一卡通”系统进行专人专账，即安排专人记好相关账务，随时方便政府、社会各界查询、统计相关数据。</w:t>
      </w:r>
    </w:p>
    <w:p>
      <w:pPr>
        <w:adjustRightInd w:val="0"/>
        <w:snapToGrid w:val="0"/>
        <w:spacing w:line="360" w:lineRule="auto"/>
        <w:rPr>
          <w:rFonts w:ascii="宋体" w:hAnsi="宋体" w:cs="宋体"/>
          <w:b/>
          <w:sz w:val="24"/>
          <w:szCs w:val="24"/>
        </w:rPr>
      </w:pPr>
      <w:r>
        <w:rPr>
          <w:rFonts w:hint="eastAsia" w:ascii="宋体" w:hAnsi="宋体" w:cs="宋体"/>
          <w:b/>
          <w:sz w:val="24"/>
          <w:szCs w:val="24"/>
        </w:rPr>
        <w:t>第四条  服务质量保证</w:t>
      </w:r>
    </w:p>
    <w:p>
      <w:pPr>
        <w:spacing w:line="360" w:lineRule="auto"/>
        <w:ind w:firstLine="480" w:firstLineChars="200"/>
        <w:rPr>
          <w:rFonts w:ascii="宋体" w:hAnsi="宋体"/>
          <w:b/>
          <w:sz w:val="24"/>
          <w:szCs w:val="24"/>
        </w:rPr>
      </w:pPr>
      <w:r>
        <w:rPr>
          <w:rFonts w:hint="eastAsia" w:ascii="宋体" w:hAnsi="宋体"/>
          <w:sz w:val="24"/>
          <w:szCs w:val="24"/>
        </w:rPr>
        <w:t>1、</w:t>
      </w:r>
      <w:r>
        <w:rPr>
          <w:rFonts w:hint="eastAsia" w:ascii="宋体" w:hAnsi="宋体" w:cs="宋体"/>
          <w:sz w:val="24"/>
          <w:szCs w:val="24"/>
        </w:rPr>
        <w:t>服务期间应确保人员稳定，响应及时。</w:t>
      </w:r>
    </w:p>
    <w:p>
      <w:pPr>
        <w:tabs>
          <w:tab w:val="left" w:pos="480"/>
        </w:tabs>
        <w:spacing w:line="360" w:lineRule="auto"/>
        <w:ind w:firstLine="480" w:firstLineChars="200"/>
        <w:rPr>
          <w:rFonts w:ascii="宋体" w:cs="宋体"/>
          <w:sz w:val="24"/>
          <w:szCs w:val="24"/>
        </w:rPr>
      </w:pPr>
      <w:r>
        <w:rPr>
          <w:rFonts w:hint="eastAsia" w:ascii="宋体" w:hAnsi="宋体" w:cs="宋体"/>
          <w:sz w:val="24"/>
          <w:szCs w:val="24"/>
        </w:rPr>
        <w:t>2、服务商提供的服务，若发生侵权而产生的一切后果，由服务商负责。采购人保留索赔权力。</w:t>
      </w:r>
    </w:p>
    <w:p>
      <w:pPr>
        <w:adjustRightInd w:val="0"/>
        <w:snapToGrid w:val="0"/>
        <w:spacing w:line="360" w:lineRule="auto"/>
        <w:rPr>
          <w:rFonts w:ascii="宋体" w:hAnsi="宋体" w:cs="宋体"/>
          <w:b/>
          <w:sz w:val="24"/>
          <w:szCs w:val="24"/>
        </w:rPr>
      </w:pPr>
      <w:r>
        <w:rPr>
          <w:rFonts w:hint="eastAsia" w:ascii="宋体" w:hAnsi="宋体" w:cs="宋体"/>
          <w:b/>
          <w:sz w:val="24"/>
          <w:szCs w:val="24"/>
        </w:rPr>
        <w:t>第八条  保密条款</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 xml:space="preserve">1、双方对于因执行本合同获悉对方的商业秘密均承担保密责任，即未经对方书面许可不得披露、泄露、使用于该项目之外或许可给任何第三方为任何目的之使用。 </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未经甲方书面许可，乙方不得单方面公开项目成果或对项目成果进行任何形式的商业化利用。即使向履行本合同有关的人员提供，也应注意保密并限于履行合同的必须范围并报甲方审查备案。乙方违反本约定给甲方造成损失的，应赔偿甲方全部经济损失。</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3、本协议终止后本保密条款仍然适用，不受时间限制。</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4、本项目结束后，项目成果归甲方所有，甲方享有该项目成果的出版、引用等所有相关权利。乙方不得以任何理由干涉甲方对项目成果的使用。</w:t>
      </w:r>
    </w:p>
    <w:p>
      <w:pPr>
        <w:adjustRightInd w:val="0"/>
        <w:snapToGrid w:val="0"/>
        <w:spacing w:line="360" w:lineRule="auto"/>
        <w:rPr>
          <w:rFonts w:ascii="宋体" w:hAnsi="宋体" w:cs="宋体"/>
          <w:b/>
          <w:sz w:val="24"/>
          <w:szCs w:val="24"/>
        </w:rPr>
      </w:pPr>
      <w:r>
        <w:rPr>
          <w:rFonts w:hint="eastAsia" w:ascii="宋体" w:hAnsi="宋体" w:cs="宋体"/>
          <w:b/>
          <w:sz w:val="24"/>
          <w:szCs w:val="24"/>
        </w:rPr>
        <w:t>第九条  不可抗力</w:t>
      </w:r>
    </w:p>
    <w:p>
      <w:pPr>
        <w:tabs>
          <w:tab w:val="left" w:pos="360"/>
        </w:tabs>
        <w:autoSpaceDE w:val="0"/>
        <w:autoSpaceDN w:val="0"/>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1、双方因不可抗力的影响不能履行合同，履行合同的时间相应推迟，推迟时间与不可抗力持续时间相同，合同费用不因此而改变。</w:t>
      </w:r>
    </w:p>
    <w:p>
      <w:pPr>
        <w:tabs>
          <w:tab w:val="left" w:pos="360"/>
        </w:tabs>
        <w:autoSpaceDE w:val="0"/>
        <w:autoSpaceDN w:val="0"/>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2、不可抗力发生后，双方要立即通知对方，并采取必要措施密切配合，以减少影响。</w:t>
      </w:r>
    </w:p>
    <w:p>
      <w:pPr>
        <w:tabs>
          <w:tab w:val="left" w:pos="360"/>
        </w:tabs>
        <w:autoSpaceDE w:val="0"/>
        <w:autoSpaceDN w:val="0"/>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3、不可抗力指在本合同生效后发生了一方或双方无法控制、不可预见和不能克服的事件，并使一方或双方无法全部或部分履行本合同的客观情况，该事件包括但不限于政府行为、自然灾害、战争、动乱、台风、地震、水灾等类似事件。</w:t>
      </w:r>
    </w:p>
    <w:p>
      <w:pPr>
        <w:adjustRightInd w:val="0"/>
        <w:snapToGrid w:val="0"/>
        <w:spacing w:line="360" w:lineRule="auto"/>
        <w:rPr>
          <w:rFonts w:ascii="宋体" w:hAnsi="宋体" w:cs="宋体"/>
          <w:b/>
          <w:sz w:val="24"/>
          <w:szCs w:val="24"/>
        </w:rPr>
      </w:pPr>
      <w:r>
        <w:rPr>
          <w:rFonts w:hint="eastAsia" w:ascii="宋体" w:hAnsi="宋体" w:cs="宋体"/>
          <w:b/>
          <w:sz w:val="24"/>
          <w:szCs w:val="24"/>
        </w:rPr>
        <w:t>第十条  违约责任</w:t>
      </w:r>
    </w:p>
    <w:p>
      <w:pPr>
        <w:autoSpaceDE w:val="0"/>
        <w:autoSpaceDN w:val="0"/>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甲乙双方任何一方严重违反本协议，造成本合同约定的合作业务无法经营或由于一方不履行协议规定的义务、经通知纠正后15日内仍未纠正的，视作根本违约，守约方有权解除本协议。如双方同意继续合作，违约方仍应赔偿守约方经济损失。</w:t>
      </w:r>
    </w:p>
    <w:p>
      <w:pPr>
        <w:autoSpaceDE w:val="0"/>
        <w:autoSpaceDN w:val="0"/>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2、未经对方书面同意，任何一方无正当理由不得单方解除本合同。</w:t>
      </w:r>
    </w:p>
    <w:p>
      <w:pPr>
        <w:adjustRightInd w:val="0"/>
        <w:snapToGrid w:val="0"/>
        <w:spacing w:line="360" w:lineRule="auto"/>
        <w:ind w:firstLine="480" w:firstLineChars="200"/>
        <w:rPr>
          <w:rFonts w:ascii="宋体" w:hAnsi="宋体"/>
          <w:sz w:val="24"/>
          <w:szCs w:val="24"/>
        </w:rPr>
      </w:pPr>
      <w:r>
        <w:rPr>
          <w:rFonts w:hint="eastAsia" w:ascii="宋体" w:hAnsi="宋体" w:cs="宋体"/>
          <w:sz w:val="24"/>
          <w:szCs w:val="24"/>
        </w:rPr>
        <w:t>3、</w:t>
      </w:r>
      <w:r>
        <w:rPr>
          <w:rFonts w:hint="eastAsia" w:ascii="宋体" w:hAnsi="宋体"/>
          <w:sz w:val="24"/>
          <w:szCs w:val="24"/>
        </w:rPr>
        <w:t>其它违约责任按《中华人民共和国合同法》处理。</w:t>
      </w:r>
    </w:p>
    <w:p>
      <w:pPr>
        <w:spacing w:line="360" w:lineRule="auto"/>
        <w:rPr>
          <w:rFonts w:ascii="宋体" w:hAnsi="宋体"/>
          <w:b/>
          <w:sz w:val="24"/>
          <w:szCs w:val="24"/>
        </w:rPr>
      </w:pPr>
      <w:r>
        <w:rPr>
          <w:rFonts w:hint="eastAsia" w:ascii="宋体" w:hAnsi="宋体"/>
          <w:b/>
          <w:sz w:val="24"/>
          <w:szCs w:val="24"/>
        </w:rPr>
        <w:t>第十一条  解决合同纠纷的方式</w:t>
      </w:r>
    </w:p>
    <w:p>
      <w:pPr>
        <w:spacing w:line="360" w:lineRule="auto"/>
        <w:ind w:firstLine="460" w:firstLineChars="192"/>
        <w:rPr>
          <w:rFonts w:ascii="宋体" w:hAnsi="宋体"/>
          <w:sz w:val="24"/>
          <w:szCs w:val="24"/>
        </w:rPr>
      </w:pPr>
      <w:r>
        <w:rPr>
          <w:rFonts w:hint="eastAsia" w:ascii="宋体" w:hAnsi="宋体"/>
          <w:sz w:val="24"/>
          <w:szCs w:val="24"/>
        </w:rPr>
        <w:t>1、执行本合同中发生的或与本合同有关的争端，双方应通过友好协商的方式解决，若在3</w:t>
      </w:r>
      <w:r>
        <w:rPr>
          <w:rFonts w:ascii="宋体" w:hAnsi="宋体"/>
          <w:sz w:val="24"/>
          <w:szCs w:val="24"/>
        </w:rPr>
        <w:t>0</w:t>
      </w:r>
      <w:r>
        <w:rPr>
          <w:rFonts w:hint="eastAsia" w:ascii="宋体" w:hAnsi="宋体"/>
          <w:sz w:val="24"/>
          <w:szCs w:val="24"/>
        </w:rPr>
        <w:t>天内不能达成协议时，应提交仲裁。</w:t>
      </w:r>
    </w:p>
    <w:p>
      <w:pPr>
        <w:spacing w:line="360" w:lineRule="auto"/>
        <w:ind w:firstLine="460" w:firstLineChars="192"/>
        <w:rPr>
          <w:rFonts w:ascii="宋体" w:hAnsi="宋体"/>
          <w:sz w:val="24"/>
          <w:szCs w:val="24"/>
        </w:rPr>
      </w:pPr>
      <w:r>
        <w:rPr>
          <w:rFonts w:hint="eastAsia" w:ascii="宋体" w:hAnsi="宋体"/>
          <w:sz w:val="24"/>
          <w:szCs w:val="24"/>
        </w:rPr>
        <w:t>2、合同争端的仲裁应由甲方当地仲裁委员会进行仲裁，其仲裁裁决对双方具有约束力。</w:t>
      </w:r>
    </w:p>
    <w:p>
      <w:pPr>
        <w:spacing w:line="360" w:lineRule="auto"/>
        <w:ind w:firstLine="460" w:firstLineChars="192"/>
        <w:rPr>
          <w:rFonts w:ascii="宋体" w:hAnsi="宋体"/>
          <w:sz w:val="24"/>
          <w:szCs w:val="24"/>
        </w:rPr>
      </w:pPr>
      <w:r>
        <w:rPr>
          <w:rFonts w:hint="eastAsia" w:ascii="宋体" w:hAnsi="宋体"/>
          <w:sz w:val="24"/>
          <w:szCs w:val="24"/>
        </w:rPr>
        <w:t>3、除另有裁决外，仲裁费应由败诉方负担。</w:t>
      </w:r>
    </w:p>
    <w:p>
      <w:pPr>
        <w:spacing w:line="360" w:lineRule="auto"/>
        <w:ind w:firstLine="460" w:firstLineChars="192"/>
        <w:rPr>
          <w:rFonts w:ascii="宋体" w:hAnsi="宋体"/>
          <w:sz w:val="24"/>
          <w:szCs w:val="24"/>
        </w:rPr>
      </w:pPr>
      <w:r>
        <w:rPr>
          <w:rFonts w:hint="eastAsia" w:ascii="宋体" w:hAnsi="宋体"/>
          <w:sz w:val="24"/>
          <w:szCs w:val="24"/>
        </w:rPr>
        <w:t>4、在仲裁期间，除正在进行仲裁部分外，合同其它部分继续执行。</w:t>
      </w:r>
    </w:p>
    <w:p>
      <w:pPr>
        <w:spacing w:line="360" w:lineRule="auto"/>
        <w:rPr>
          <w:rFonts w:ascii="宋体" w:hAnsi="宋体"/>
          <w:b/>
          <w:sz w:val="24"/>
          <w:szCs w:val="24"/>
        </w:rPr>
      </w:pPr>
      <w:r>
        <w:rPr>
          <w:rFonts w:hint="eastAsia" w:ascii="宋体" w:hAnsi="宋体"/>
          <w:b/>
          <w:sz w:val="24"/>
          <w:szCs w:val="24"/>
        </w:rPr>
        <w:t>第十二条  合同的修订和补充</w:t>
      </w:r>
    </w:p>
    <w:p>
      <w:pPr>
        <w:spacing w:line="360" w:lineRule="auto"/>
        <w:ind w:firstLine="480" w:firstLineChars="200"/>
        <w:rPr>
          <w:rFonts w:ascii="宋体" w:hAnsi="宋体"/>
          <w:sz w:val="24"/>
          <w:szCs w:val="24"/>
        </w:rPr>
      </w:pPr>
      <w:r>
        <w:rPr>
          <w:rFonts w:hint="eastAsia" w:ascii="宋体" w:hAnsi="宋体"/>
          <w:sz w:val="24"/>
          <w:szCs w:val="24"/>
        </w:rPr>
        <w:t>对合同款做出的任何改动，均须由双方签署书面的合同修改书。</w:t>
      </w:r>
    </w:p>
    <w:p>
      <w:pPr>
        <w:spacing w:line="360" w:lineRule="auto"/>
        <w:rPr>
          <w:rFonts w:ascii="宋体" w:hAnsi="宋体"/>
          <w:b/>
          <w:sz w:val="24"/>
          <w:szCs w:val="24"/>
        </w:rPr>
      </w:pPr>
      <w:r>
        <w:rPr>
          <w:rFonts w:hint="eastAsia" w:ascii="宋体" w:hAnsi="宋体"/>
          <w:b/>
          <w:sz w:val="24"/>
          <w:szCs w:val="24"/>
        </w:rPr>
        <w:t>第十三条  合同生效执行</w:t>
      </w:r>
    </w:p>
    <w:p>
      <w:pPr>
        <w:spacing w:line="360" w:lineRule="auto"/>
        <w:ind w:firstLine="460" w:firstLineChars="192"/>
        <w:rPr>
          <w:rFonts w:ascii="宋体" w:hAnsi="宋体"/>
          <w:sz w:val="24"/>
          <w:szCs w:val="24"/>
        </w:rPr>
      </w:pPr>
      <w:r>
        <w:rPr>
          <w:rFonts w:ascii="宋体" w:hAnsi="宋体"/>
          <w:sz w:val="24"/>
          <w:szCs w:val="24"/>
        </w:rPr>
        <w:t>1</w:t>
      </w:r>
      <w:r>
        <w:rPr>
          <w:rFonts w:hint="eastAsia" w:ascii="宋体" w:hAnsi="宋体"/>
          <w:sz w:val="24"/>
          <w:szCs w:val="24"/>
        </w:rPr>
        <w:t>、本合同自双方签章之日起生效。</w:t>
      </w:r>
    </w:p>
    <w:p>
      <w:pPr>
        <w:spacing w:line="360" w:lineRule="auto"/>
        <w:ind w:left="1" w:firstLine="460" w:firstLineChars="192"/>
        <w:rPr>
          <w:rFonts w:ascii="宋体" w:hAnsi="宋体"/>
          <w:sz w:val="24"/>
          <w:szCs w:val="24"/>
        </w:rPr>
      </w:pPr>
      <w:r>
        <w:rPr>
          <w:rFonts w:ascii="宋体" w:hAnsi="宋体"/>
          <w:sz w:val="24"/>
          <w:szCs w:val="24"/>
        </w:rPr>
        <w:t>2</w:t>
      </w:r>
      <w:r>
        <w:rPr>
          <w:rFonts w:hint="eastAsia" w:ascii="宋体" w:hAnsi="宋体"/>
          <w:sz w:val="24"/>
          <w:szCs w:val="24"/>
        </w:rPr>
        <w:t>、本合同一式五份，甲方执叁份，乙方执两份，具有同等法律效力。</w:t>
      </w:r>
    </w:p>
    <w:p>
      <w:pPr>
        <w:spacing w:line="360" w:lineRule="auto"/>
        <w:ind w:firstLine="460" w:firstLineChars="192"/>
        <w:rPr>
          <w:rFonts w:ascii="宋体" w:hAnsi="宋体"/>
          <w:b/>
          <w:sz w:val="24"/>
          <w:szCs w:val="24"/>
        </w:rPr>
      </w:pPr>
      <w:r>
        <w:rPr>
          <w:rFonts w:hint="eastAsia" w:ascii="宋体" w:hAnsi="宋体"/>
          <w:sz w:val="24"/>
          <w:szCs w:val="24"/>
        </w:rPr>
        <w:t>3、本合同未尽事宜，由双方友好协商解决。</w:t>
      </w:r>
    </w:p>
    <w:p>
      <w:pPr>
        <w:spacing w:line="360" w:lineRule="auto"/>
        <w:ind w:firstLine="420" w:firstLineChars="150"/>
        <w:rPr>
          <w:rFonts w:ascii="宋体" w:hAnsi="宋体"/>
          <w:sz w:val="28"/>
          <w:szCs w:val="28"/>
        </w:rPr>
      </w:pPr>
    </w:p>
    <w:p>
      <w:pPr>
        <w:spacing w:line="360" w:lineRule="auto"/>
        <w:ind w:firstLine="463" w:firstLineChars="192"/>
        <w:rPr>
          <w:rFonts w:ascii="宋体" w:hAnsi="宋体"/>
          <w:b/>
          <w:sz w:val="24"/>
          <w:szCs w:val="24"/>
        </w:rPr>
      </w:pPr>
      <w:bookmarkStart w:id="242" w:name="_Toc175643998"/>
      <w:bookmarkStart w:id="243" w:name="_Toc174432511"/>
    </w:p>
    <w:p>
      <w:pPr>
        <w:adjustRightInd w:val="0"/>
        <w:snapToGrid w:val="0"/>
        <w:spacing w:line="360" w:lineRule="auto"/>
        <w:rPr>
          <w:rFonts w:ascii="宋体" w:hAnsi="宋体"/>
          <w:sz w:val="24"/>
          <w:szCs w:val="24"/>
        </w:rPr>
      </w:pPr>
      <w:r>
        <w:rPr>
          <w:rFonts w:hint="eastAsia" w:ascii="宋体" w:hAnsi="宋体"/>
          <w:sz w:val="24"/>
          <w:szCs w:val="24"/>
        </w:rPr>
        <w:t>甲方（盖章）：               乙方（盖章）：</w:t>
      </w:r>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r>
        <w:rPr>
          <w:rFonts w:hint="eastAsia" w:ascii="宋体" w:hAnsi="宋体"/>
          <w:sz w:val="24"/>
          <w:szCs w:val="24"/>
        </w:rPr>
        <w:t>法人授权代表人（签字）：     法人授权代表人（签字）：</w:t>
      </w:r>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r>
        <w:rPr>
          <w:rFonts w:hint="eastAsia" w:ascii="宋体" w:hAnsi="宋体"/>
          <w:sz w:val="24"/>
          <w:szCs w:val="24"/>
        </w:rPr>
        <w:t>联系电话：                   联系电话：</w:t>
      </w:r>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r>
        <w:rPr>
          <w:rFonts w:hint="eastAsia" w:ascii="宋体" w:hAnsi="宋体"/>
          <w:sz w:val="24"/>
          <w:szCs w:val="24"/>
        </w:rPr>
        <w:t>开户银行：                  开户银行：</w:t>
      </w:r>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r>
        <w:rPr>
          <w:rFonts w:hint="eastAsia" w:ascii="宋体" w:hAnsi="宋体"/>
          <w:sz w:val="24"/>
          <w:szCs w:val="24"/>
        </w:rPr>
        <w:t>帐号：                      帐号：</w:t>
      </w:r>
      <w:bookmarkEnd w:id="242"/>
      <w:bookmarkEnd w:id="243"/>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r>
        <w:rPr>
          <w:rFonts w:hint="eastAsia" w:ascii="宋体" w:hAnsi="宋体"/>
          <w:sz w:val="24"/>
          <w:szCs w:val="24"/>
        </w:rPr>
        <w:t>日期：                      日期：</w:t>
      </w:r>
    </w:p>
    <w:p>
      <w:pPr>
        <w:pStyle w:val="2"/>
        <w:adjustRightInd w:val="0"/>
        <w:snapToGrid w:val="0"/>
        <w:spacing w:line="360" w:lineRule="auto"/>
        <w:jc w:val="center"/>
        <w:rPr>
          <w:rFonts w:ascii="宋体" w:hAnsi="宋体" w:cs="宋体"/>
          <w:b w:val="0"/>
          <w:sz w:val="24"/>
        </w:rPr>
      </w:pPr>
    </w:p>
    <w:p>
      <w:pPr>
        <w:adjustRightInd w:val="0"/>
        <w:snapToGrid w:val="0"/>
        <w:spacing w:line="360" w:lineRule="auto"/>
        <w:rPr>
          <w:rFonts w:ascii="宋体" w:hAnsi="宋体" w:cs="宋体"/>
          <w:b/>
          <w:sz w:val="24"/>
        </w:rPr>
      </w:pPr>
      <w:r>
        <w:rPr>
          <w:rFonts w:hint="eastAsia" w:ascii="宋体" w:hAnsi="宋体" w:cs="宋体"/>
          <w:b/>
          <w:sz w:val="24"/>
        </w:rPr>
        <w:t>本合同条款为参考文本，具体内容由采购人及成交单位协商确定。</w:t>
      </w:r>
    </w:p>
    <w:p>
      <w:pPr>
        <w:rPr>
          <w:rFonts w:ascii="宋体" w:hAnsi="宋体" w:cs="宋体"/>
          <w:b/>
          <w:sz w:val="24"/>
        </w:rPr>
      </w:pPr>
    </w:p>
    <w:bookmarkEnd w:id="241"/>
    <w:p>
      <w:pPr>
        <w:widowControl/>
        <w:jc w:val="left"/>
        <w:rPr>
          <w:b/>
          <w:bCs/>
          <w:kern w:val="44"/>
          <w:sz w:val="44"/>
          <w:szCs w:val="44"/>
        </w:rPr>
      </w:pPr>
      <w:bookmarkStart w:id="244" w:name="_Toc484890085"/>
      <w:bookmarkStart w:id="245" w:name="_Toc417906114"/>
      <w:bookmarkStart w:id="246" w:name="_Toc508096322"/>
      <w:r>
        <w:br w:type="page"/>
      </w:r>
    </w:p>
    <w:p>
      <w:pPr>
        <w:pStyle w:val="2"/>
        <w:jc w:val="center"/>
      </w:pPr>
      <w:bookmarkStart w:id="247" w:name="_Toc57822485"/>
      <w:r>
        <w:rPr>
          <w:rFonts w:hint="eastAsia"/>
        </w:rPr>
        <w:t>六、响应文件</w:t>
      </w:r>
      <w:bookmarkEnd w:id="244"/>
      <w:bookmarkEnd w:id="245"/>
      <w:r>
        <w:rPr>
          <w:rFonts w:hint="eastAsia"/>
        </w:rPr>
        <w:t>（参考格式）</w:t>
      </w:r>
      <w:bookmarkEnd w:id="246"/>
      <w:bookmarkEnd w:id="247"/>
    </w:p>
    <w:p>
      <w:pPr>
        <w:spacing w:line="360" w:lineRule="auto"/>
        <w:rPr>
          <w:rFonts w:ascii="宋体" w:hAnsi="宋体"/>
          <w:sz w:val="28"/>
          <w:szCs w:val="28"/>
        </w:rPr>
      </w:pPr>
    </w:p>
    <w:p>
      <w:pPr>
        <w:spacing w:line="360" w:lineRule="auto"/>
        <w:jc w:val="center"/>
        <w:rPr>
          <w:rFonts w:ascii="宋体" w:hAnsi="宋体"/>
          <w:b/>
          <w:sz w:val="48"/>
          <w:szCs w:val="48"/>
        </w:rPr>
      </w:pPr>
    </w:p>
    <w:p>
      <w:pPr>
        <w:spacing w:line="360" w:lineRule="auto"/>
        <w:jc w:val="center"/>
        <w:rPr>
          <w:rFonts w:ascii="宋体" w:hAnsi="宋体"/>
          <w:b/>
          <w:kern w:val="0"/>
          <w:sz w:val="52"/>
          <w:szCs w:val="52"/>
        </w:rPr>
      </w:pPr>
      <w:r>
        <w:rPr>
          <w:rFonts w:ascii="宋体" w:hAnsi="宋体"/>
          <w:b/>
          <w:kern w:val="0"/>
          <w:sz w:val="52"/>
          <w:szCs w:val="52"/>
        </w:rPr>
        <w:t>阎良区财政惠民补贴“一卡通”服务采购项目</w:t>
      </w:r>
    </w:p>
    <w:p>
      <w:pPr>
        <w:spacing w:line="360" w:lineRule="auto"/>
        <w:jc w:val="center"/>
        <w:rPr>
          <w:rFonts w:ascii="宋体" w:hAnsi="宋体"/>
          <w:sz w:val="28"/>
          <w:szCs w:val="28"/>
        </w:rPr>
      </w:pPr>
    </w:p>
    <w:p>
      <w:pPr>
        <w:spacing w:line="360" w:lineRule="auto"/>
        <w:ind w:firstLine="414" w:firstLineChars="148"/>
        <w:jc w:val="center"/>
        <w:rPr>
          <w:rFonts w:ascii="宋体" w:hAnsi="宋体"/>
          <w:sz w:val="28"/>
          <w:szCs w:val="28"/>
        </w:rPr>
      </w:pPr>
    </w:p>
    <w:p>
      <w:pPr>
        <w:spacing w:line="360" w:lineRule="auto"/>
        <w:ind w:firstLine="414" w:firstLineChars="148"/>
        <w:jc w:val="center"/>
        <w:rPr>
          <w:rFonts w:ascii="宋体" w:hAnsi="宋体"/>
          <w:sz w:val="28"/>
          <w:szCs w:val="28"/>
        </w:rPr>
      </w:pPr>
    </w:p>
    <w:p>
      <w:pPr>
        <w:spacing w:line="360" w:lineRule="auto"/>
        <w:jc w:val="center"/>
        <w:rPr>
          <w:rFonts w:ascii="宋体" w:hAnsi="宋体"/>
          <w:b/>
          <w:sz w:val="28"/>
          <w:szCs w:val="28"/>
        </w:rPr>
      </w:pPr>
      <w:r>
        <w:rPr>
          <w:rFonts w:hint="eastAsia" w:ascii="宋体" w:hAnsi="宋体"/>
          <w:sz w:val="72"/>
          <w:szCs w:val="72"/>
        </w:rPr>
        <w:t>响应文件</w:t>
      </w: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宋体" w:hAnsi="宋体"/>
          <w:b/>
          <w:sz w:val="28"/>
          <w:szCs w:val="28"/>
        </w:rPr>
      </w:pPr>
    </w:p>
    <w:p>
      <w:pPr>
        <w:spacing w:line="360" w:lineRule="auto"/>
        <w:ind w:left="2752" w:leftChars="278" w:hanging="2168" w:hangingChars="450"/>
        <w:rPr>
          <w:rFonts w:ascii="宋体" w:hAnsi="宋体"/>
          <w:b/>
          <w:sz w:val="48"/>
          <w:szCs w:val="48"/>
        </w:rPr>
      </w:pPr>
    </w:p>
    <w:p>
      <w:pPr>
        <w:widowControl/>
        <w:spacing w:line="360" w:lineRule="auto"/>
        <w:ind w:left="199" w:leftChars="95" w:firstLine="360" w:firstLineChars="150"/>
        <w:rPr>
          <w:rFonts w:ascii="宋体" w:hAnsi="宋体"/>
          <w:sz w:val="24"/>
          <w:szCs w:val="24"/>
        </w:rPr>
      </w:pPr>
    </w:p>
    <w:p>
      <w:pPr>
        <w:widowControl/>
        <w:spacing w:line="360" w:lineRule="auto"/>
        <w:ind w:left="199" w:leftChars="95" w:firstLine="360" w:firstLineChars="150"/>
        <w:rPr>
          <w:rFonts w:ascii="宋体" w:hAnsi="宋体"/>
          <w:sz w:val="24"/>
          <w:szCs w:val="24"/>
        </w:rPr>
      </w:pPr>
    </w:p>
    <w:p>
      <w:pPr>
        <w:spacing w:line="360" w:lineRule="auto"/>
        <w:ind w:firstLine="720" w:firstLineChars="300"/>
        <w:rPr>
          <w:rFonts w:ascii="宋体" w:hAnsi="宋体"/>
          <w:sz w:val="24"/>
          <w:szCs w:val="24"/>
        </w:rPr>
      </w:pPr>
      <w:r>
        <w:rPr>
          <w:rFonts w:ascii="宋体" w:hAnsi="宋体"/>
          <w:sz w:val="24"/>
          <w:szCs w:val="24"/>
        </w:rPr>
        <w:t>采购编号：</w:t>
      </w:r>
    </w:p>
    <w:p>
      <w:pPr>
        <w:spacing w:line="360" w:lineRule="auto"/>
        <w:ind w:firstLine="720" w:firstLineChars="300"/>
        <w:rPr>
          <w:rFonts w:ascii="宋体" w:hAnsi="宋体"/>
          <w:sz w:val="24"/>
          <w:szCs w:val="24"/>
          <w:u w:val="single"/>
        </w:rPr>
      </w:pPr>
      <w:r>
        <w:rPr>
          <w:rFonts w:hint="eastAsia" w:ascii="宋体" w:hAnsi="宋体"/>
          <w:sz w:val="24"/>
          <w:szCs w:val="24"/>
        </w:rPr>
        <w:t>供应商</w:t>
      </w:r>
      <w:r>
        <w:rPr>
          <w:rFonts w:ascii="宋体" w:hAnsi="宋体"/>
          <w:sz w:val="24"/>
          <w:szCs w:val="24"/>
        </w:rPr>
        <w:t>名称</w:t>
      </w:r>
      <w:r>
        <w:rPr>
          <w:rFonts w:hint="eastAsia" w:ascii="宋体" w:hAnsi="宋体"/>
          <w:sz w:val="24"/>
          <w:szCs w:val="24"/>
        </w:rPr>
        <w:t>：            （公章）</w:t>
      </w:r>
    </w:p>
    <w:p>
      <w:pPr>
        <w:spacing w:line="360" w:lineRule="auto"/>
        <w:ind w:firstLine="720" w:firstLineChars="300"/>
        <w:rPr>
          <w:rFonts w:ascii="宋体" w:hAnsi="宋体"/>
          <w:sz w:val="24"/>
          <w:szCs w:val="24"/>
        </w:rPr>
      </w:pPr>
      <w:r>
        <w:rPr>
          <w:rFonts w:ascii="宋体" w:hAnsi="宋体"/>
          <w:sz w:val="24"/>
          <w:szCs w:val="24"/>
        </w:rPr>
        <w:t>法定代表人</w:t>
      </w:r>
      <w:r>
        <w:rPr>
          <w:rFonts w:hint="eastAsia" w:ascii="宋体" w:hAnsi="宋体"/>
          <w:sz w:val="24"/>
          <w:szCs w:val="24"/>
        </w:rPr>
        <w:t>或被授权人</w:t>
      </w:r>
      <w:r>
        <w:rPr>
          <w:rFonts w:ascii="宋体" w:hAnsi="宋体"/>
          <w:sz w:val="24"/>
          <w:szCs w:val="24"/>
        </w:rPr>
        <w:t>：</w:t>
      </w:r>
      <w:r>
        <w:rPr>
          <w:rFonts w:hint="eastAsia" w:ascii="宋体" w:hAnsi="宋体"/>
          <w:sz w:val="24"/>
          <w:szCs w:val="24"/>
        </w:rPr>
        <w:t xml:space="preserve">   (签字)</w:t>
      </w:r>
    </w:p>
    <w:p>
      <w:pPr>
        <w:spacing w:line="360" w:lineRule="auto"/>
        <w:ind w:firstLine="720" w:firstLineChars="300"/>
        <w:rPr>
          <w:rFonts w:ascii="宋体" w:hAnsi="宋体"/>
          <w:sz w:val="24"/>
          <w:szCs w:val="24"/>
        </w:rPr>
      </w:pPr>
      <w:r>
        <w:rPr>
          <w:rFonts w:ascii="宋体" w:hAnsi="宋体"/>
          <w:sz w:val="24"/>
          <w:szCs w:val="24"/>
        </w:rPr>
        <w:t>日期 ：</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日</w:t>
      </w:r>
    </w:p>
    <w:p>
      <w:pPr>
        <w:pStyle w:val="39"/>
        <w:spacing w:line="240" w:lineRule="auto"/>
        <w:ind w:firstLine="1684" w:firstLineChars="468"/>
        <w:rPr>
          <w:rFonts w:eastAsia="宋体"/>
          <w:sz w:val="36"/>
        </w:rPr>
      </w:pPr>
    </w:p>
    <w:p>
      <w:pPr>
        <w:pStyle w:val="39"/>
        <w:spacing w:line="240" w:lineRule="auto"/>
        <w:ind w:firstLine="1684" w:firstLineChars="468"/>
        <w:rPr>
          <w:rFonts w:eastAsia="宋体"/>
          <w:sz w:val="36"/>
        </w:rPr>
      </w:pPr>
    </w:p>
    <w:p>
      <w:pPr>
        <w:pStyle w:val="3"/>
        <w:jc w:val="center"/>
      </w:pPr>
      <w:bookmarkStart w:id="248" w:name="_Toc57822486"/>
      <w:r>
        <w:rPr>
          <w:rFonts w:hint="eastAsia"/>
        </w:rPr>
        <w:t>一、磋商响应函</w:t>
      </w:r>
      <w:bookmarkEnd w:id="248"/>
    </w:p>
    <w:p>
      <w:pPr>
        <w:spacing w:line="360" w:lineRule="auto"/>
        <w:rPr>
          <w:rFonts w:ascii="宋体" w:hAnsi="宋体"/>
          <w:sz w:val="24"/>
          <w:szCs w:val="24"/>
        </w:rPr>
      </w:pPr>
      <w:r>
        <w:rPr>
          <w:rFonts w:hint="eastAsia" w:ascii="宋体" w:hAnsi="宋体"/>
          <w:sz w:val="24"/>
          <w:szCs w:val="24"/>
        </w:rPr>
        <w:t>致</w:t>
      </w:r>
      <w:r>
        <w:rPr>
          <w:rFonts w:hint="eastAsia" w:ascii="宋体" w:hAnsi="宋体"/>
          <w:sz w:val="24"/>
          <w:szCs w:val="24"/>
          <w:u w:val="single"/>
        </w:rPr>
        <w:t>采购代理机构名称</w:t>
      </w:r>
      <w:r>
        <w:rPr>
          <w:rFonts w:hint="eastAsia" w:ascii="宋体" w:hAnsi="宋体"/>
          <w:sz w:val="24"/>
          <w:szCs w:val="24"/>
        </w:rPr>
        <w:t>：</w:t>
      </w:r>
    </w:p>
    <w:p>
      <w:pPr>
        <w:spacing w:line="360" w:lineRule="auto"/>
        <w:ind w:firstLine="540" w:firstLineChars="225"/>
        <w:rPr>
          <w:rFonts w:ascii="宋体" w:hAnsi="宋体"/>
          <w:sz w:val="24"/>
          <w:szCs w:val="24"/>
        </w:rPr>
      </w:pPr>
      <w:r>
        <w:rPr>
          <w:rFonts w:hint="eastAsia" w:ascii="宋体" w:hAnsi="宋体"/>
          <w:sz w:val="24"/>
          <w:szCs w:val="24"/>
        </w:rPr>
        <w:t>我单位收到贵公司</w:t>
      </w:r>
      <w:r>
        <w:rPr>
          <w:rFonts w:hint="eastAsia" w:ascii="宋体" w:hAnsi="宋体"/>
          <w:sz w:val="24"/>
          <w:szCs w:val="24"/>
          <w:u w:val="single"/>
        </w:rPr>
        <w:t xml:space="preserve">  （项目名称） （项目编号）</w:t>
      </w:r>
      <w:r>
        <w:rPr>
          <w:rFonts w:hint="eastAsia" w:ascii="宋体" w:hAnsi="宋体"/>
          <w:sz w:val="24"/>
          <w:szCs w:val="24"/>
        </w:rPr>
        <w:t>磋商文件要求，我们决定参加该项目磋商活动，并参与磋商会议。为此，我方郑重声明以下诸点，并负法律责任。</w:t>
      </w:r>
    </w:p>
    <w:p>
      <w:pPr>
        <w:spacing w:line="360" w:lineRule="auto"/>
        <w:rPr>
          <w:rFonts w:ascii="宋体" w:hAnsi="宋体"/>
          <w:sz w:val="24"/>
          <w:szCs w:val="24"/>
        </w:rPr>
      </w:pPr>
      <w:r>
        <w:rPr>
          <w:rFonts w:hint="eastAsia" w:ascii="宋体" w:hAnsi="宋体"/>
          <w:sz w:val="24"/>
          <w:szCs w:val="24"/>
        </w:rPr>
        <w:t>1、我方提交的磋商响应文件，正本</w:t>
      </w:r>
      <w:r>
        <w:rPr>
          <w:rFonts w:hint="eastAsia" w:ascii="宋体" w:hAnsi="宋体"/>
          <w:sz w:val="24"/>
          <w:szCs w:val="24"/>
          <w:u w:val="single"/>
        </w:rPr>
        <w:t xml:space="preserve">  </w:t>
      </w:r>
      <w:r>
        <w:rPr>
          <w:rFonts w:hint="eastAsia" w:ascii="宋体" w:hAnsi="宋体"/>
          <w:sz w:val="24"/>
          <w:szCs w:val="24"/>
        </w:rPr>
        <w:t>份，副本</w:t>
      </w:r>
      <w:r>
        <w:rPr>
          <w:rFonts w:hint="eastAsia" w:ascii="宋体" w:hAnsi="宋体"/>
          <w:sz w:val="24"/>
          <w:szCs w:val="24"/>
          <w:u w:val="single"/>
        </w:rPr>
        <w:t xml:space="preserve">  </w:t>
      </w:r>
      <w:r>
        <w:rPr>
          <w:rFonts w:hint="eastAsia" w:ascii="宋体" w:hAnsi="宋体"/>
          <w:sz w:val="24"/>
          <w:szCs w:val="24"/>
        </w:rPr>
        <w:t>份、电子文档</w:t>
      </w:r>
      <w:r>
        <w:rPr>
          <w:rFonts w:hint="eastAsia" w:ascii="宋体" w:hAnsi="宋体"/>
          <w:sz w:val="24"/>
          <w:szCs w:val="24"/>
          <w:u w:val="single"/>
        </w:rPr>
        <w:t xml:space="preserve">   </w:t>
      </w:r>
      <w:r>
        <w:rPr>
          <w:rFonts w:hint="eastAsia" w:ascii="宋体" w:hAnsi="宋体"/>
          <w:sz w:val="24"/>
          <w:szCs w:val="24"/>
        </w:rPr>
        <w:t>份。</w:t>
      </w:r>
    </w:p>
    <w:p>
      <w:pPr>
        <w:spacing w:line="360" w:lineRule="auto"/>
        <w:rPr>
          <w:rFonts w:ascii="宋体" w:hAnsi="宋体"/>
          <w:sz w:val="24"/>
          <w:szCs w:val="24"/>
        </w:rPr>
      </w:pPr>
      <w:r>
        <w:rPr>
          <w:rFonts w:hint="eastAsia" w:ascii="宋体" w:hAnsi="宋体"/>
          <w:sz w:val="24"/>
          <w:szCs w:val="24"/>
        </w:rPr>
        <w:t>2、如果我们磋商响应文件被接受，我们将履行磋商文件中规定的每一项要求，按期、按质、按量完成任务。</w:t>
      </w:r>
    </w:p>
    <w:p>
      <w:pPr>
        <w:spacing w:line="360" w:lineRule="auto"/>
        <w:rPr>
          <w:rFonts w:ascii="宋体" w:hAnsi="宋体"/>
          <w:sz w:val="24"/>
          <w:szCs w:val="24"/>
        </w:rPr>
      </w:pPr>
      <w:r>
        <w:rPr>
          <w:rFonts w:hint="eastAsia" w:ascii="宋体" w:hAnsi="宋体"/>
          <w:sz w:val="24"/>
          <w:szCs w:val="24"/>
        </w:rPr>
        <w:t>3、我们理解，你们有选择投标供应商的权力。</w:t>
      </w:r>
    </w:p>
    <w:p>
      <w:pPr>
        <w:spacing w:line="360" w:lineRule="auto"/>
        <w:rPr>
          <w:rFonts w:ascii="宋体" w:hAnsi="宋体"/>
          <w:sz w:val="24"/>
          <w:szCs w:val="24"/>
        </w:rPr>
      </w:pPr>
      <w:r>
        <w:rPr>
          <w:rFonts w:hint="eastAsia" w:ascii="宋体" w:hAnsi="宋体"/>
          <w:sz w:val="24"/>
          <w:szCs w:val="24"/>
        </w:rPr>
        <w:t>4、我们愿按《中华人民共和国合同法》履行自己的全部责任。</w:t>
      </w:r>
    </w:p>
    <w:p>
      <w:pPr>
        <w:spacing w:line="360" w:lineRule="auto"/>
        <w:rPr>
          <w:rFonts w:ascii="宋体" w:hAnsi="宋体"/>
          <w:sz w:val="24"/>
          <w:szCs w:val="24"/>
        </w:rPr>
      </w:pPr>
      <w:r>
        <w:rPr>
          <w:rFonts w:hint="eastAsia" w:ascii="宋体" w:hAnsi="宋体"/>
          <w:sz w:val="24"/>
          <w:szCs w:val="24"/>
        </w:rPr>
        <w:t>5、我们同意按磋商文件规定，遵守贵公司有关规定和收费标准。</w:t>
      </w:r>
    </w:p>
    <w:p>
      <w:pPr>
        <w:spacing w:line="360" w:lineRule="auto"/>
        <w:rPr>
          <w:rFonts w:ascii="宋体" w:hAnsi="宋体"/>
          <w:sz w:val="24"/>
          <w:szCs w:val="24"/>
        </w:rPr>
      </w:pPr>
      <w:r>
        <w:rPr>
          <w:rFonts w:hint="eastAsia" w:ascii="宋体" w:hAnsi="宋体"/>
          <w:sz w:val="24"/>
          <w:szCs w:val="24"/>
        </w:rPr>
        <w:t>6、我方的磋商响应文件有效期自签字之日起</w:t>
      </w:r>
      <w:r>
        <w:rPr>
          <w:rFonts w:hint="eastAsia" w:ascii="宋体" w:hAnsi="宋体"/>
          <w:sz w:val="24"/>
          <w:szCs w:val="24"/>
          <w:u w:val="single"/>
        </w:rPr>
        <w:t xml:space="preserve">  </w:t>
      </w:r>
      <w:r>
        <w:rPr>
          <w:rFonts w:hint="eastAsia" w:ascii="宋体" w:hAnsi="宋体"/>
          <w:sz w:val="24"/>
          <w:szCs w:val="24"/>
        </w:rPr>
        <w:t>日历天。</w:t>
      </w:r>
    </w:p>
    <w:p>
      <w:pPr>
        <w:spacing w:line="360" w:lineRule="auto"/>
        <w:rPr>
          <w:rFonts w:ascii="宋体" w:hAnsi="宋体"/>
          <w:sz w:val="24"/>
          <w:szCs w:val="24"/>
        </w:rPr>
      </w:pPr>
      <w:r>
        <w:rPr>
          <w:rFonts w:hint="eastAsia" w:ascii="宋体" w:hAnsi="宋体"/>
          <w:sz w:val="24"/>
          <w:szCs w:val="24"/>
        </w:rPr>
        <w:t>7、所有关于本响应文件的函电，请按下列地址联系。</w:t>
      </w:r>
    </w:p>
    <w:p>
      <w:pPr>
        <w:spacing w:line="360" w:lineRule="auto"/>
        <w:ind w:firstLine="211"/>
        <w:rPr>
          <w:rFonts w:ascii="宋体" w:hAnsi="宋体"/>
          <w:sz w:val="24"/>
          <w:szCs w:val="24"/>
        </w:rPr>
      </w:pPr>
      <w:r>
        <w:rPr>
          <w:rFonts w:hint="eastAsia" w:ascii="宋体" w:hAnsi="宋体"/>
          <w:sz w:val="24"/>
          <w:szCs w:val="24"/>
        </w:rPr>
        <w:t>供应商名称：（公章）</w:t>
      </w:r>
    </w:p>
    <w:p>
      <w:pPr>
        <w:spacing w:line="360" w:lineRule="auto"/>
        <w:ind w:firstLine="211"/>
        <w:rPr>
          <w:rFonts w:ascii="宋体" w:hAnsi="宋体"/>
          <w:sz w:val="24"/>
          <w:szCs w:val="24"/>
        </w:rPr>
      </w:pPr>
      <w:r>
        <w:rPr>
          <w:rFonts w:hint="eastAsia" w:ascii="宋体" w:hAnsi="宋体"/>
          <w:sz w:val="24"/>
          <w:szCs w:val="24"/>
        </w:rPr>
        <w:t>法定代表人或被授权人：                       （签字或盖章）</w:t>
      </w:r>
    </w:p>
    <w:p>
      <w:pPr>
        <w:spacing w:line="360" w:lineRule="auto"/>
        <w:ind w:firstLine="211"/>
        <w:rPr>
          <w:rFonts w:ascii="宋体" w:hAnsi="宋体"/>
          <w:sz w:val="24"/>
          <w:szCs w:val="24"/>
        </w:rPr>
      </w:pPr>
      <w:r>
        <w:rPr>
          <w:rFonts w:hint="eastAsia" w:ascii="宋体" w:hAnsi="宋体"/>
          <w:sz w:val="24"/>
          <w:szCs w:val="24"/>
        </w:rPr>
        <w:t xml:space="preserve">地    址：                         </w:t>
      </w:r>
    </w:p>
    <w:p>
      <w:pPr>
        <w:spacing w:line="360" w:lineRule="auto"/>
        <w:ind w:firstLine="211"/>
        <w:rPr>
          <w:rFonts w:ascii="宋体" w:hAnsi="宋体"/>
          <w:sz w:val="24"/>
          <w:szCs w:val="24"/>
        </w:rPr>
      </w:pPr>
      <w:r>
        <w:rPr>
          <w:rFonts w:hint="eastAsia" w:ascii="宋体" w:hAnsi="宋体"/>
          <w:sz w:val="24"/>
          <w:szCs w:val="24"/>
        </w:rPr>
        <w:t>开 户 行：</w:t>
      </w:r>
    </w:p>
    <w:p>
      <w:pPr>
        <w:spacing w:line="360" w:lineRule="auto"/>
        <w:ind w:firstLine="211"/>
        <w:rPr>
          <w:rFonts w:ascii="宋体" w:hAnsi="宋体"/>
          <w:sz w:val="24"/>
          <w:szCs w:val="24"/>
        </w:rPr>
      </w:pPr>
      <w:r>
        <w:rPr>
          <w:rFonts w:hint="eastAsia" w:ascii="宋体" w:hAnsi="宋体"/>
          <w:sz w:val="24"/>
          <w:szCs w:val="24"/>
        </w:rPr>
        <w:t xml:space="preserve">帐    号：                         </w:t>
      </w:r>
    </w:p>
    <w:p>
      <w:pPr>
        <w:spacing w:line="360" w:lineRule="auto"/>
        <w:ind w:firstLine="211"/>
        <w:rPr>
          <w:rFonts w:ascii="宋体" w:hAnsi="宋体"/>
          <w:sz w:val="24"/>
          <w:szCs w:val="24"/>
        </w:rPr>
      </w:pPr>
      <w:r>
        <w:rPr>
          <w:rFonts w:hint="eastAsia" w:ascii="宋体" w:hAnsi="宋体"/>
          <w:sz w:val="24"/>
          <w:szCs w:val="24"/>
        </w:rPr>
        <w:t>电    话：</w:t>
      </w:r>
    </w:p>
    <w:p>
      <w:pPr>
        <w:spacing w:line="360" w:lineRule="auto"/>
        <w:ind w:firstLine="211"/>
        <w:rPr>
          <w:rFonts w:ascii="宋体" w:hAnsi="宋体"/>
          <w:sz w:val="24"/>
          <w:szCs w:val="24"/>
        </w:rPr>
      </w:pPr>
      <w:r>
        <w:rPr>
          <w:rFonts w:hint="eastAsia" w:ascii="宋体" w:hAnsi="宋体"/>
          <w:sz w:val="24"/>
          <w:szCs w:val="24"/>
        </w:rPr>
        <w:t xml:space="preserve">传    真：                        </w:t>
      </w:r>
    </w:p>
    <w:p>
      <w:pPr>
        <w:spacing w:line="360" w:lineRule="auto"/>
        <w:ind w:firstLine="211"/>
        <w:rPr>
          <w:rFonts w:ascii="宋体" w:hAnsi="宋体"/>
          <w:sz w:val="24"/>
          <w:szCs w:val="24"/>
        </w:rPr>
      </w:pPr>
      <w:r>
        <w:rPr>
          <w:rFonts w:hint="eastAsia" w:ascii="宋体" w:hAnsi="宋体"/>
          <w:sz w:val="24"/>
          <w:szCs w:val="24"/>
        </w:rPr>
        <w:t>邮    编：</w:t>
      </w:r>
    </w:p>
    <w:p>
      <w:pPr>
        <w:spacing w:line="360" w:lineRule="auto"/>
        <w:ind w:firstLine="211"/>
        <w:rPr>
          <w:rFonts w:ascii="宋体" w:hAnsi="宋体"/>
          <w:sz w:val="24"/>
          <w:szCs w:val="24"/>
        </w:rPr>
      </w:pPr>
      <w:r>
        <w:rPr>
          <w:rFonts w:hint="eastAsia" w:ascii="宋体" w:hAnsi="宋体"/>
          <w:sz w:val="24"/>
          <w:szCs w:val="24"/>
        </w:rPr>
        <w:t>日    期：    年     月     日</w:t>
      </w:r>
    </w:p>
    <w:p>
      <w:pPr>
        <w:spacing w:line="360" w:lineRule="auto"/>
        <w:ind w:firstLine="211"/>
        <w:rPr>
          <w:rFonts w:ascii="宋体" w:hAnsi="宋体"/>
          <w:sz w:val="24"/>
          <w:szCs w:val="24"/>
        </w:rPr>
      </w:pPr>
    </w:p>
    <w:p>
      <w:pPr>
        <w:spacing w:line="360" w:lineRule="auto"/>
        <w:ind w:firstLine="211"/>
        <w:rPr>
          <w:rFonts w:ascii="宋体" w:hAnsi="宋体"/>
          <w:sz w:val="24"/>
          <w:szCs w:val="24"/>
        </w:rPr>
      </w:pPr>
    </w:p>
    <w:p>
      <w:pPr>
        <w:spacing w:line="360" w:lineRule="auto"/>
        <w:ind w:firstLine="211"/>
        <w:rPr>
          <w:rFonts w:ascii="宋体" w:hAnsi="宋体"/>
          <w:sz w:val="24"/>
          <w:szCs w:val="24"/>
        </w:rPr>
      </w:pPr>
    </w:p>
    <w:p>
      <w:pPr>
        <w:spacing w:line="360" w:lineRule="auto"/>
        <w:ind w:firstLine="211"/>
        <w:rPr>
          <w:rFonts w:ascii="宋体" w:hAnsi="宋体"/>
          <w:sz w:val="24"/>
          <w:szCs w:val="24"/>
        </w:rPr>
      </w:pPr>
    </w:p>
    <w:p>
      <w:pPr>
        <w:spacing w:line="360" w:lineRule="auto"/>
        <w:ind w:firstLine="211"/>
        <w:rPr>
          <w:rFonts w:ascii="宋体" w:hAnsi="宋体"/>
          <w:sz w:val="24"/>
          <w:szCs w:val="24"/>
        </w:rPr>
      </w:pPr>
    </w:p>
    <w:p>
      <w:pPr>
        <w:spacing w:line="360" w:lineRule="auto"/>
        <w:ind w:firstLine="211"/>
        <w:rPr>
          <w:rFonts w:ascii="宋体" w:hAnsi="宋体"/>
          <w:sz w:val="24"/>
          <w:szCs w:val="24"/>
        </w:rPr>
      </w:pPr>
    </w:p>
    <w:p>
      <w:pPr>
        <w:jc w:val="center"/>
        <w:rPr>
          <w:rFonts w:ascii="宋体" w:hAnsi="宋体"/>
          <w:b/>
          <w:sz w:val="28"/>
          <w:szCs w:val="28"/>
        </w:rPr>
      </w:pPr>
    </w:p>
    <w:p>
      <w:pPr>
        <w:pStyle w:val="3"/>
        <w:spacing w:line="360" w:lineRule="auto"/>
        <w:jc w:val="center"/>
        <w:rPr>
          <w:rFonts w:asciiTheme="minorEastAsia" w:hAnsiTheme="minorEastAsia" w:eastAsiaTheme="minorEastAsia"/>
        </w:rPr>
      </w:pPr>
      <w:bookmarkStart w:id="249" w:name="_Toc484890090"/>
      <w:bookmarkStart w:id="250" w:name="_Toc57822487"/>
      <w:r>
        <w:rPr>
          <w:rFonts w:hint="eastAsia" w:asciiTheme="minorEastAsia" w:hAnsiTheme="minorEastAsia" w:eastAsiaTheme="minorEastAsia"/>
        </w:rPr>
        <w:t>二、</w:t>
      </w:r>
      <w:r>
        <w:rPr>
          <w:rFonts w:asciiTheme="minorEastAsia" w:hAnsiTheme="minorEastAsia" w:eastAsiaTheme="minorEastAsia"/>
        </w:rPr>
        <w:t>磋商</w:t>
      </w:r>
      <w:r>
        <w:rPr>
          <w:rFonts w:hint="eastAsia" w:asciiTheme="minorEastAsia" w:hAnsiTheme="minorEastAsia" w:eastAsiaTheme="minorEastAsia"/>
        </w:rPr>
        <w:t>商务偏离表</w:t>
      </w:r>
      <w:bookmarkEnd w:id="249"/>
      <w:bookmarkEnd w:id="250"/>
    </w:p>
    <w:p/>
    <w:tbl>
      <w:tblPr>
        <w:tblStyle w:val="20"/>
        <w:tblW w:w="7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2996"/>
        <w:gridCol w:w="2552"/>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31" w:type="dxa"/>
            <w:vAlign w:val="center"/>
          </w:tcPr>
          <w:p>
            <w:pPr>
              <w:spacing w:line="360" w:lineRule="auto"/>
              <w:jc w:val="center"/>
              <w:rPr>
                <w:rFonts w:asciiTheme="minorEastAsia" w:hAnsiTheme="minorEastAsia"/>
                <w:sz w:val="24"/>
                <w:szCs w:val="24"/>
              </w:rPr>
            </w:pPr>
            <w:r>
              <w:rPr>
                <w:rFonts w:asciiTheme="minorEastAsia" w:hAnsiTheme="minorEastAsia"/>
                <w:sz w:val="24"/>
                <w:szCs w:val="24"/>
              </w:rPr>
              <w:t>序号</w:t>
            </w:r>
          </w:p>
        </w:tc>
        <w:tc>
          <w:tcPr>
            <w:tcW w:w="2996" w:type="dxa"/>
            <w:vAlign w:val="center"/>
          </w:tcPr>
          <w:p>
            <w:pPr>
              <w:spacing w:line="360" w:lineRule="auto"/>
              <w:jc w:val="center"/>
              <w:rPr>
                <w:rFonts w:asciiTheme="minorEastAsia" w:hAnsiTheme="minorEastAsia"/>
                <w:sz w:val="24"/>
                <w:szCs w:val="24"/>
              </w:rPr>
            </w:pPr>
            <w:r>
              <w:rPr>
                <w:rFonts w:asciiTheme="minorEastAsia" w:hAnsiTheme="minorEastAsia"/>
                <w:sz w:val="24"/>
                <w:szCs w:val="24"/>
              </w:rPr>
              <w:t>磋商通知书</w:t>
            </w:r>
            <w:r>
              <w:rPr>
                <w:rFonts w:hint="eastAsia" w:asciiTheme="minorEastAsia" w:hAnsiTheme="minorEastAsia"/>
                <w:sz w:val="24"/>
                <w:szCs w:val="24"/>
              </w:rPr>
              <w:t>商务要求</w:t>
            </w:r>
          </w:p>
        </w:tc>
        <w:tc>
          <w:tcPr>
            <w:tcW w:w="2552" w:type="dxa"/>
            <w:vAlign w:val="center"/>
          </w:tcPr>
          <w:p>
            <w:pPr>
              <w:spacing w:line="360" w:lineRule="auto"/>
              <w:jc w:val="center"/>
              <w:rPr>
                <w:rFonts w:asciiTheme="minorEastAsia" w:hAnsiTheme="minorEastAsia"/>
                <w:sz w:val="24"/>
                <w:szCs w:val="24"/>
              </w:rPr>
            </w:pPr>
            <w:r>
              <w:rPr>
                <w:rFonts w:asciiTheme="minorEastAsia" w:hAnsiTheme="minorEastAsia"/>
                <w:sz w:val="24"/>
                <w:szCs w:val="24"/>
              </w:rPr>
              <w:t>响应文件商务条款</w:t>
            </w:r>
          </w:p>
        </w:tc>
        <w:tc>
          <w:tcPr>
            <w:tcW w:w="1516" w:type="dxa"/>
            <w:vAlign w:val="center"/>
          </w:tcPr>
          <w:p>
            <w:pPr>
              <w:spacing w:line="360" w:lineRule="auto"/>
              <w:jc w:val="center"/>
              <w:rPr>
                <w:rFonts w:asciiTheme="minorEastAsia" w:hAnsiTheme="minorEastAsia"/>
                <w:sz w:val="24"/>
                <w:szCs w:val="24"/>
              </w:rPr>
            </w:pPr>
            <w:r>
              <w:rPr>
                <w:rFonts w:hint="eastAsia" w:ascii="宋体" w:hAnsi="宋体" w:cs="仿宋"/>
                <w:sz w:val="24"/>
                <w:szCs w:val="24"/>
              </w:rPr>
              <w:t>响应程度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1" w:type="dxa"/>
            <w:vAlign w:val="center"/>
          </w:tcPr>
          <w:p>
            <w:pPr>
              <w:spacing w:line="360" w:lineRule="auto"/>
              <w:rPr>
                <w:rFonts w:asciiTheme="minorEastAsia" w:hAnsiTheme="minorEastAsia"/>
                <w:sz w:val="24"/>
                <w:szCs w:val="24"/>
              </w:rPr>
            </w:pPr>
          </w:p>
        </w:tc>
        <w:tc>
          <w:tcPr>
            <w:tcW w:w="2996" w:type="dxa"/>
            <w:vAlign w:val="center"/>
          </w:tcPr>
          <w:p>
            <w:pPr>
              <w:spacing w:line="360" w:lineRule="auto"/>
              <w:rPr>
                <w:rFonts w:asciiTheme="minorEastAsia" w:hAnsiTheme="minorEastAsia"/>
                <w:sz w:val="24"/>
                <w:szCs w:val="24"/>
              </w:rPr>
            </w:pPr>
          </w:p>
        </w:tc>
        <w:tc>
          <w:tcPr>
            <w:tcW w:w="2552" w:type="dxa"/>
            <w:vAlign w:val="center"/>
          </w:tcPr>
          <w:p>
            <w:pPr>
              <w:spacing w:line="360" w:lineRule="auto"/>
              <w:rPr>
                <w:rFonts w:asciiTheme="minorEastAsia" w:hAnsiTheme="minorEastAsia"/>
                <w:sz w:val="24"/>
                <w:szCs w:val="24"/>
              </w:rPr>
            </w:pPr>
          </w:p>
        </w:tc>
        <w:tc>
          <w:tcPr>
            <w:tcW w:w="1516" w:type="dxa"/>
            <w:vAlign w:val="center"/>
          </w:tcPr>
          <w:p>
            <w:pPr>
              <w:spacing w:line="360" w:lineRule="auto"/>
              <w:rPr>
                <w:rFonts w:asciiTheme="minorEastAsia" w:hAnsiTheme="minorEastAsia"/>
                <w:sz w:val="24"/>
                <w:szCs w:val="24"/>
              </w:rPr>
            </w:pPr>
          </w:p>
        </w:tc>
      </w:tr>
    </w:tbl>
    <w:p>
      <w:pPr>
        <w:spacing w:line="360" w:lineRule="auto"/>
        <w:rPr>
          <w:rFonts w:ascii="宋体" w:hAnsi="宋体"/>
          <w:sz w:val="24"/>
          <w:szCs w:val="24"/>
        </w:rPr>
      </w:pPr>
      <w:r>
        <w:rPr>
          <w:rFonts w:hint="eastAsia" w:ascii="宋体" w:hAnsi="宋体"/>
          <w:sz w:val="24"/>
          <w:szCs w:val="24"/>
        </w:rPr>
        <w:t>注：1、对磋商文件中合同主要条款逐条响应并详细说明，未逐条响应，视为</w:t>
      </w:r>
      <w:r>
        <w:rPr>
          <w:rFonts w:hint="eastAsia" w:ascii="宋体" w:hAnsi="宋体" w:cs="仿宋"/>
          <w:sz w:val="24"/>
          <w:szCs w:val="24"/>
        </w:rPr>
        <w:t>没有实质性响应磋商文件</w:t>
      </w:r>
      <w:r>
        <w:rPr>
          <w:rFonts w:hint="eastAsia" w:ascii="宋体" w:hAnsi="宋体"/>
          <w:sz w:val="24"/>
          <w:szCs w:val="24"/>
        </w:rPr>
        <w:t>。</w:t>
      </w:r>
    </w:p>
    <w:p>
      <w:pPr>
        <w:spacing w:line="360" w:lineRule="auto"/>
        <w:ind w:left="424" w:leftChars="202"/>
        <w:rPr>
          <w:rFonts w:ascii="宋体" w:hAnsi="宋体" w:cs="仿宋"/>
          <w:sz w:val="24"/>
          <w:szCs w:val="24"/>
        </w:rPr>
      </w:pPr>
      <w:r>
        <w:rPr>
          <w:rFonts w:hint="eastAsia" w:ascii="宋体" w:hAnsi="宋体" w:cs="仿宋"/>
          <w:sz w:val="24"/>
          <w:szCs w:val="24"/>
        </w:rPr>
        <w:t>2.响应程度填写：正偏离、负偏离、相同。</w:t>
      </w:r>
    </w:p>
    <w:p>
      <w:pPr>
        <w:spacing w:line="360" w:lineRule="auto"/>
        <w:ind w:left="424" w:leftChars="202"/>
        <w:rPr>
          <w:rFonts w:ascii="宋体" w:hAnsi="宋体" w:cs="仿宋"/>
          <w:sz w:val="24"/>
          <w:szCs w:val="24"/>
        </w:rPr>
      </w:pPr>
      <w:r>
        <w:rPr>
          <w:rFonts w:hint="eastAsia" w:ascii="宋体" w:hAnsi="宋体" w:cs="仿宋"/>
          <w:sz w:val="24"/>
          <w:szCs w:val="24"/>
        </w:rPr>
        <w:t>3.供应商必须据实填写，不得虚假响应，否则将取消其磋商或成交资格，并按有关规定进行处罚。</w:t>
      </w:r>
    </w:p>
    <w:p>
      <w:pPr>
        <w:rPr>
          <w:rFonts w:ascii="宋体" w:hAnsi="宋体"/>
          <w:sz w:val="24"/>
          <w:szCs w:val="24"/>
        </w:rPr>
      </w:pPr>
    </w:p>
    <w:p>
      <w:pPr>
        <w:rPr>
          <w:rFonts w:ascii="宋体" w:hAnsi="宋体"/>
          <w:sz w:val="24"/>
          <w:szCs w:val="24"/>
        </w:rPr>
      </w:pPr>
    </w:p>
    <w:p>
      <w:pPr>
        <w:rPr>
          <w:rFonts w:ascii="宋体" w:hAnsi="宋体"/>
          <w:sz w:val="24"/>
          <w:szCs w:val="24"/>
        </w:rPr>
      </w:pPr>
      <w:bookmarkStart w:id="251" w:name="_Toc484198843"/>
      <w:bookmarkStart w:id="252" w:name="_Toc497938079"/>
      <w:r>
        <w:rPr>
          <w:rFonts w:hint="eastAsia" w:ascii="宋体" w:hAnsi="宋体"/>
          <w:sz w:val="24"/>
          <w:szCs w:val="24"/>
        </w:rPr>
        <w:t>法定代表人或被授权人：(签字或盖章)</w:t>
      </w:r>
    </w:p>
    <w:p>
      <w:pPr>
        <w:tabs>
          <w:tab w:val="left" w:pos="3045"/>
        </w:tabs>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供应商名称（公章）：</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日    期：    年     月    日  </w:t>
      </w:r>
    </w:p>
    <w:p>
      <w:pPr>
        <w:pStyle w:val="3"/>
        <w:spacing w:line="360" w:lineRule="auto"/>
        <w:jc w:val="center"/>
        <w:rPr>
          <w:rFonts w:ascii="宋体" w:hAnsi="宋体"/>
        </w:rPr>
      </w:pPr>
      <w:bookmarkStart w:id="253" w:name="_Toc57822488"/>
      <w:r>
        <w:rPr>
          <w:rFonts w:hint="eastAsia" w:ascii="宋体" w:hAnsi="宋体"/>
        </w:rPr>
        <w:t>三、法人授权委托书</w:t>
      </w:r>
      <w:bookmarkEnd w:id="251"/>
      <w:bookmarkEnd w:id="252"/>
      <w:bookmarkEnd w:id="253"/>
    </w:p>
    <w:p>
      <w:pPr>
        <w:spacing w:line="360" w:lineRule="auto"/>
        <w:rPr>
          <w:rFonts w:ascii="宋体" w:hAnsi="宋体"/>
          <w:sz w:val="24"/>
          <w:szCs w:val="24"/>
        </w:rPr>
      </w:pPr>
      <w:r>
        <w:rPr>
          <w:rFonts w:hint="eastAsia" w:ascii="宋体" w:hAnsi="宋体"/>
          <w:sz w:val="24"/>
          <w:szCs w:val="24"/>
        </w:rPr>
        <w:t>致：</w:t>
      </w:r>
      <w:r>
        <w:rPr>
          <w:rFonts w:hint="eastAsia" w:ascii="宋体" w:hAnsi="宋体"/>
          <w:sz w:val="24"/>
          <w:szCs w:val="24"/>
          <w:u w:val="single"/>
        </w:rPr>
        <w:t>采购代理机构名称</w:t>
      </w:r>
    </w:p>
    <w:p>
      <w:pPr>
        <w:spacing w:line="360" w:lineRule="auto"/>
        <w:ind w:left="109" w:leftChars="52" w:firstLine="480" w:firstLineChars="200"/>
        <w:rPr>
          <w:rFonts w:ascii="宋体" w:hAnsi="宋体"/>
          <w:sz w:val="24"/>
          <w:szCs w:val="24"/>
        </w:rPr>
      </w:pPr>
      <w:r>
        <w:rPr>
          <w:rFonts w:hint="eastAsia" w:ascii="宋体" w:hAnsi="宋体"/>
          <w:sz w:val="24"/>
          <w:szCs w:val="24"/>
        </w:rPr>
        <w:t>本授权委托书声明：我</w:t>
      </w:r>
      <w:r>
        <w:rPr>
          <w:rFonts w:hint="eastAsia" w:ascii="宋体" w:hAnsi="宋体"/>
          <w:sz w:val="24"/>
          <w:szCs w:val="24"/>
          <w:u w:val="single"/>
        </w:rPr>
        <w:t>（法定代表人姓名）</w:t>
      </w:r>
      <w:r>
        <w:rPr>
          <w:rFonts w:hint="eastAsia" w:ascii="宋体" w:hAnsi="宋体"/>
          <w:sz w:val="24"/>
          <w:szCs w:val="24"/>
        </w:rPr>
        <w:t>系</w:t>
      </w:r>
      <w:r>
        <w:rPr>
          <w:rFonts w:hint="eastAsia" w:ascii="宋体" w:hAnsi="宋体"/>
          <w:sz w:val="24"/>
          <w:szCs w:val="24"/>
          <w:u w:val="single"/>
        </w:rPr>
        <w:t>（投标供应商名称）</w:t>
      </w:r>
      <w:r>
        <w:rPr>
          <w:rFonts w:hint="eastAsia" w:ascii="宋体" w:hAnsi="宋体"/>
          <w:sz w:val="24"/>
          <w:szCs w:val="24"/>
        </w:rPr>
        <w:t>的法定代表人，现代表公司授权委托</w:t>
      </w:r>
      <w:r>
        <w:rPr>
          <w:rFonts w:hint="eastAsia" w:ascii="宋体" w:hAnsi="宋体"/>
          <w:sz w:val="24"/>
          <w:szCs w:val="24"/>
          <w:u w:val="single"/>
        </w:rPr>
        <w:t>（被授权人的姓名、职务）</w:t>
      </w:r>
      <w:r>
        <w:rPr>
          <w:rFonts w:hint="eastAsia" w:ascii="宋体" w:hAnsi="宋体"/>
          <w:sz w:val="24"/>
          <w:szCs w:val="24"/>
        </w:rPr>
        <w:t>为我公司合法代理人，代表本公司参加签署</w:t>
      </w:r>
      <w:r>
        <w:rPr>
          <w:rFonts w:hint="eastAsia" w:ascii="宋体" w:hAnsi="宋体"/>
          <w:sz w:val="24"/>
          <w:szCs w:val="24"/>
          <w:u w:val="single"/>
        </w:rPr>
        <w:t>（项目名称）（采购编号）</w:t>
      </w:r>
      <w:r>
        <w:rPr>
          <w:rFonts w:hint="eastAsia" w:ascii="宋体" w:hAnsi="宋体"/>
          <w:sz w:val="24"/>
          <w:szCs w:val="24"/>
        </w:rPr>
        <w:t>的磋商。代理人在本次磋商中所签署的一切文件和处理的一切有关事务，我公司均予承认。</w:t>
      </w:r>
    </w:p>
    <w:p>
      <w:pPr>
        <w:spacing w:line="360" w:lineRule="auto"/>
        <w:ind w:left="109" w:leftChars="52" w:firstLine="480" w:firstLineChars="200"/>
        <w:rPr>
          <w:rFonts w:ascii="宋体" w:hAnsi="宋体"/>
          <w:sz w:val="24"/>
          <w:szCs w:val="24"/>
        </w:rPr>
      </w:pPr>
      <w:r>
        <w:rPr>
          <w:rFonts w:hint="eastAsia" w:ascii="宋体" w:hAnsi="宋体"/>
          <w:sz w:val="24"/>
          <w:szCs w:val="24"/>
        </w:rPr>
        <w:t>我公司对被授权人签名负全部责任。</w:t>
      </w:r>
    </w:p>
    <w:p>
      <w:pPr>
        <w:spacing w:line="360" w:lineRule="auto"/>
        <w:ind w:firstLine="600" w:firstLineChars="250"/>
        <w:rPr>
          <w:rFonts w:ascii="宋体" w:hAnsi="宋体"/>
          <w:sz w:val="24"/>
          <w:szCs w:val="24"/>
        </w:rPr>
      </w:pPr>
      <w:r>
        <w:rPr>
          <w:rFonts w:hint="eastAsia" w:ascii="宋体" w:hAnsi="宋体"/>
          <w:sz w:val="24"/>
          <w:szCs w:val="24"/>
        </w:rPr>
        <w:t>本授权有效期</w:t>
      </w:r>
      <w:r>
        <w:rPr>
          <w:rFonts w:hint="eastAsia" w:ascii="宋体" w:hAnsi="宋体"/>
          <w:sz w:val="24"/>
          <w:szCs w:val="24"/>
          <w:u w:val="single"/>
        </w:rPr>
        <w:t xml:space="preserve">   </w:t>
      </w:r>
      <w:r>
        <w:rPr>
          <w:rFonts w:hint="eastAsia" w:ascii="宋体" w:hAnsi="宋体"/>
          <w:sz w:val="24"/>
          <w:szCs w:val="24"/>
        </w:rPr>
        <w:t>日历天，特此证明。</w:t>
      </w:r>
    </w:p>
    <w:p>
      <w:pPr>
        <w:spacing w:line="360" w:lineRule="auto"/>
        <w:rPr>
          <w:rFonts w:ascii="宋体" w:hAnsi="宋体"/>
          <w:sz w:val="24"/>
          <w:szCs w:val="24"/>
        </w:rPr>
      </w:pPr>
      <w:r>
        <w:rPr>
          <w:rFonts w:hint="eastAsia" w:ascii="宋体" w:hAnsi="宋体"/>
          <w:sz w:val="24"/>
          <w:szCs w:val="24"/>
        </w:rPr>
        <w:t>被授权人签字或盖章：             法人代表签字或盖章：</w:t>
      </w:r>
    </w:p>
    <w:p>
      <w:pPr>
        <w:spacing w:line="360" w:lineRule="auto"/>
        <w:rPr>
          <w:rFonts w:ascii="宋体" w:hAnsi="宋体"/>
          <w:sz w:val="24"/>
          <w:szCs w:val="24"/>
        </w:rPr>
      </w:pPr>
      <w:r>
        <w:rPr>
          <w:rFonts w:hint="eastAsia" w:ascii="宋体" w:hAnsi="宋体"/>
          <w:sz w:val="24"/>
          <w:szCs w:val="24"/>
        </w:rPr>
        <w:t>职        务：                   职        务：</w:t>
      </w:r>
    </w:p>
    <w:p>
      <w:pPr>
        <w:spacing w:line="360" w:lineRule="auto"/>
        <w:rPr>
          <w:rFonts w:ascii="宋体" w:hAnsi="宋体"/>
          <w:sz w:val="24"/>
          <w:szCs w:val="24"/>
        </w:rPr>
      </w:pPr>
      <w:r>
        <w:rPr>
          <w:rFonts w:hint="eastAsia" w:ascii="宋体" w:hAnsi="宋体"/>
          <w:sz w:val="24"/>
          <w:szCs w:val="24"/>
        </w:rPr>
        <w:t xml:space="preserve">身 份 证 号 ：              </w:t>
      </w:r>
      <w:r>
        <w:rPr>
          <w:rFonts w:ascii="宋体" w:hAnsi="宋体"/>
          <w:sz w:val="24"/>
          <w:szCs w:val="24"/>
        </w:rPr>
        <w:t xml:space="preserve">    </w:t>
      </w:r>
      <w:r>
        <w:rPr>
          <w:rFonts w:hint="eastAsia" w:ascii="宋体" w:hAnsi="宋体"/>
          <w:sz w:val="24"/>
          <w:szCs w:val="24"/>
        </w:rPr>
        <w:t xml:space="preserve"> 身 份 证 号 ：</w:t>
      </w:r>
    </w:p>
    <w:tbl>
      <w:tblPr>
        <w:tblStyle w:val="20"/>
        <w:tblW w:w="94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4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7" w:hRule="atLeast"/>
        </w:trPr>
        <w:tc>
          <w:tcPr>
            <w:tcW w:w="4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outlineLvl w:val="0"/>
              <w:rPr>
                <w:rFonts w:ascii="宋体" w:hAnsi="宋体"/>
                <w:sz w:val="24"/>
                <w:szCs w:val="24"/>
              </w:rPr>
            </w:pPr>
            <w:bookmarkStart w:id="254" w:name="_Toc56609487"/>
            <w:bookmarkStart w:id="255" w:name="_Toc52367753"/>
            <w:bookmarkStart w:id="256" w:name="_Toc57822489"/>
            <w:bookmarkStart w:id="257" w:name="_Toc52367670"/>
            <w:r>
              <w:rPr>
                <w:rFonts w:hint="eastAsia" w:ascii="宋体" w:hAnsi="宋体"/>
                <w:sz w:val="24"/>
                <w:szCs w:val="24"/>
              </w:rPr>
              <w:t>法定代表人身份证复印件</w:t>
            </w:r>
            <w:bookmarkEnd w:id="254"/>
            <w:bookmarkEnd w:id="255"/>
            <w:bookmarkEnd w:id="256"/>
            <w:bookmarkEnd w:id="257"/>
          </w:p>
          <w:p>
            <w:pPr>
              <w:spacing w:line="360" w:lineRule="auto"/>
              <w:jc w:val="center"/>
              <w:outlineLvl w:val="0"/>
              <w:rPr>
                <w:rFonts w:ascii="宋体" w:hAnsi="宋体"/>
                <w:sz w:val="24"/>
                <w:szCs w:val="24"/>
              </w:rPr>
            </w:pPr>
            <w:bookmarkStart w:id="258" w:name="_Toc52367754"/>
            <w:bookmarkStart w:id="259" w:name="_Toc52367671"/>
            <w:bookmarkStart w:id="260" w:name="_Toc57822490"/>
            <w:bookmarkStart w:id="261" w:name="_Toc56609488"/>
            <w:r>
              <w:rPr>
                <w:rFonts w:hint="eastAsia" w:ascii="宋体" w:hAnsi="宋体"/>
                <w:sz w:val="24"/>
                <w:szCs w:val="24"/>
              </w:rPr>
              <w:t>（人像面）</w:t>
            </w:r>
            <w:bookmarkEnd w:id="258"/>
            <w:bookmarkEnd w:id="259"/>
            <w:bookmarkEnd w:id="260"/>
            <w:bookmarkEnd w:id="261"/>
          </w:p>
        </w:tc>
        <w:tc>
          <w:tcPr>
            <w:tcW w:w="4823" w:type="dxa"/>
            <w:tcBorders>
              <w:left w:val="single" w:color="auto" w:sz="4" w:space="0"/>
            </w:tcBorders>
            <w:vAlign w:val="center"/>
          </w:tcPr>
          <w:p>
            <w:pPr>
              <w:spacing w:line="360" w:lineRule="auto"/>
              <w:jc w:val="center"/>
              <w:outlineLvl w:val="0"/>
              <w:rPr>
                <w:rFonts w:ascii="宋体" w:hAnsi="宋体"/>
                <w:sz w:val="24"/>
                <w:szCs w:val="24"/>
              </w:rPr>
            </w:pPr>
            <w:bookmarkStart w:id="262" w:name="_Toc52367672"/>
            <w:bookmarkStart w:id="263" w:name="_Toc57822491"/>
            <w:bookmarkStart w:id="264" w:name="_Toc56609489"/>
            <w:bookmarkStart w:id="265" w:name="_Toc52367755"/>
            <w:r>
              <w:rPr>
                <w:rFonts w:hint="eastAsia" w:ascii="宋体" w:hAnsi="宋体"/>
                <w:sz w:val="24"/>
                <w:szCs w:val="24"/>
              </w:rPr>
              <w:t>被授权人身份证复印件</w:t>
            </w:r>
            <w:bookmarkEnd w:id="262"/>
            <w:bookmarkEnd w:id="263"/>
            <w:bookmarkEnd w:id="264"/>
            <w:bookmarkEnd w:id="265"/>
          </w:p>
          <w:p>
            <w:pPr>
              <w:spacing w:line="360" w:lineRule="auto"/>
              <w:jc w:val="center"/>
              <w:outlineLvl w:val="0"/>
              <w:rPr>
                <w:rFonts w:ascii="宋体" w:hAnsi="宋体"/>
                <w:sz w:val="24"/>
                <w:szCs w:val="24"/>
              </w:rPr>
            </w:pPr>
            <w:bookmarkStart w:id="266" w:name="_Toc56609490"/>
            <w:bookmarkStart w:id="267" w:name="_Toc57822492"/>
            <w:bookmarkStart w:id="268" w:name="_Toc52367673"/>
            <w:bookmarkStart w:id="269" w:name="_Toc52367756"/>
            <w:r>
              <w:rPr>
                <w:rFonts w:hint="eastAsia" w:ascii="宋体" w:hAnsi="宋体"/>
                <w:sz w:val="24"/>
                <w:szCs w:val="24"/>
              </w:rPr>
              <w:t>（人像面）</w:t>
            </w:r>
            <w:bookmarkEnd w:id="266"/>
            <w:bookmarkEnd w:id="267"/>
            <w:bookmarkEnd w:id="268"/>
            <w:bookmarkEnd w:id="2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7" w:hRule="atLeast"/>
        </w:trPr>
        <w:tc>
          <w:tcPr>
            <w:tcW w:w="46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outlineLvl w:val="0"/>
              <w:rPr>
                <w:rFonts w:ascii="宋体" w:hAnsi="宋体"/>
                <w:sz w:val="24"/>
                <w:szCs w:val="24"/>
              </w:rPr>
            </w:pPr>
            <w:bookmarkStart w:id="270" w:name="_Toc57822493"/>
            <w:bookmarkStart w:id="271" w:name="_Toc56609491"/>
            <w:bookmarkStart w:id="272" w:name="_Toc52367674"/>
            <w:bookmarkStart w:id="273" w:name="_Toc52367757"/>
            <w:r>
              <w:rPr>
                <w:rFonts w:hint="eastAsia" w:ascii="宋体" w:hAnsi="宋体"/>
                <w:sz w:val="24"/>
              </w:rPr>
              <w:t>法定代表人</w:t>
            </w:r>
            <w:r>
              <w:rPr>
                <w:rFonts w:hint="eastAsia" w:ascii="宋体" w:hAnsi="宋体"/>
                <w:sz w:val="24"/>
                <w:szCs w:val="24"/>
              </w:rPr>
              <w:t>身份证复印件</w:t>
            </w:r>
            <w:bookmarkEnd w:id="270"/>
            <w:bookmarkEnd w:id="271"/>
            <w:bookmarkEnd w:id="272"/>
            <w:bookmarkEnd w:id="273"/>
          </w:p>
          <w:p>
            <w:pPr>
              <w:spacing w:line="360" w:lineRule="auto"/>
              <w:jc w:val="center"/>
              <w:outlineLvl w:val="0"/>
              <w:rPr>
                <w:rFonts w:ascii="宋体" w:hAnsi="宋体"/>
                <w:sz w:val="24"/>
                <w:szCs w:val="24"/>
              </w:rPr>
            </w:pPr>
            <w:bookmarkStart w:id="274" w:name="_Toc57822494"/>
            <w:bookmarkStart w:id="275" w:name="_Toc56609492"/>
            <w:bookmarkStart w:id="276" w:name="_Toc52367758"/>
            <w:bookmarkStart w:id="277" w:name="_Toc52367675"/>
            <w:r>
              <w:rPr>
                <w:rFonts w:hint="eastAsia" w:ascii="宋体" w:hAnsi="宋体"/>
                <w:sz w:val="24"/>
                <w:szCs w:val="24"/>
              </w:rPr>
              <w:t>（国徽面）</w:t>
            </w:r>
            <w:bookmarkEnd w:id="274"/>
            <w:bookmarkEnd w:id="275"/>
            <w:bookmarkEnd w:id="276"/>
            <w:bookmarkEnd w:id="277"/>
          </w:p>
        </w:tc>
        <w:tc>
          <w:tcPr>
            <w:tcW w:w="4823" w:type="dxa"/>
            <w:tcBorders>
              <w:left w:val="single" w:color="auto" w:sz="4" w:space="0"/>
            </w:tcBorders>
            <w:vAlign w:val="center"/>
          </w:tcPr>
          <w:p>
            <w:pPr>
              <w:spacing w:line="360" w:lineRule="auto"/>
              <w:jc w:val="center"/>
              <w:outlineLvl w:val="0"/>
              <w:rPr>
                <w:rFonts w:ascii="宋体" w:hAnsi="宋体"/>
                <w:sz w:val="24"/>
                <w:szCs w:val="24"/>
              </w:rPr>
            </w:pPr>
            <w:bookmarkStart w:id="278" w:name="_Toc52367676"/>
            <w:bookmarkStart w:id="279" w:name="_Toc57822495"/>
            <w:bookmarkStart w:id="280" w:name="_Toc52367759"/>
            <w:bookmarkStart w:id="281" w:name="_Toc56609493"/>
            <w:r>
              <w:rPr>
                <w:rFonts w:hint="eastAsia" w:ascii="宋体" w:hAnsi="宋体"/>
                <w:sz w:val="24"/>
                <w:szCs w:val="24"/>
              </w:rPr>
              <w:t>被授权人身份证复印件</w:t>
            </w:r>
            <w:bookmarkEnd w:id="278"/>
            <w:bookmarkEnd w:id="279"/>
            <w:bookmarkEnd w:id="280"/>
            <w:bookmarkEnd w:id="281"/>
          </w:p>
          <w:p>
            <w:pPr>
              <w:spacing w:line="360" w:lineRule="auto"/>
              <w:jc w:val="center"/>
              <w:outlineLvl w:val="0"/>
              <w:rPr>
                <w:rFonts w:ascii="宋体" w:hAnsi="宋体"/>
                <w:sz w:val="24"/>
                <w:szCs w:val="24"/>
              </w:rPr>
            </w:pPr>
            <w:bookmarkStart w:id="282" w:name="_Toc52367677"/>
            <w:bookmarkStart w:id="283" w:name="_Toc52367760"/>
            <w:bookmarkStart w:id="284" w:name="_Toc57822496"/>
            <w:bookmarkStart w:id="285" w:name="_Toc56609494"/>
            <w:r>
              <w:rPr>
                <w:rFonts w:hint="eastAsia" w:ascii="宋体" w:hAnsi="宋体"/>
                <w:sz w:val="24"/>
                <w:szCs w:val="24"/>
              </w:rPr>
              <w:t>（国徽面）</w:t>
            </w:r>
            <w:bookmarkEnd w:id="282"/>
            <w:bookmarkEnd w:id="283"/>
            <w:bookmarkEnd w:id="284"/>
            <w:bookmarkEnd w:id="285"/>
          </w:p>
        </w:tc>
      </w:tr>
    </w:tbl>
    <w:p>
      <w:pPr>
        <w:adjustRightInd w:val="0"/>
        <w:snapToGrid w:val="0"/>
        <w:spacing w:line="360" w:lineRule="auto"/>
        <w:rPr>
          <w:rFonts w:ascii="宋体" w:hAnsi="宋体"/>
          <w:sz w:val="24"/>
          <w:szCs w:val="24"/>
        </w:rPr>
      </w:pPr>
      <w:r>
        <w:rPr>
          <w:rFonts w:hint="eastAsia" w:ascii="宋体" w:hAnsi="宋体"/>
          <w:sz w:val="24"/>
          <w:szCs w:val="24"/>
        </w:rPr>
        <w:t>注：</w:t>
      </w:r>
      <w:r>
        <w:rPr>
          <w:rFonts w:hint="eastAsia" w:ascii="宋体" w:hAnsi="宋体" w:cs="仿宋"/>
          <w:sz w:val="24"/>
          <w:szCs w:val="24"/>
        </w:rPr>
        <w:t>仅限委托代理人参加投标时提供。</w:t>
      </w:r>
    </w:p>
    <w:p>
      <w:pPr>
        <w:adjustRightInd w:val="0"/>
        <w:snapToGrid w:val="0"/>
        <w:spacing w:line="360" w:lineRule="auto"/>
        <w:rPr>
          <w:rFonts w:ascii="宋体" w:hAnsi="宋体"/>
          <w:sz w:val="24"/>
          <w:szCs w:val="24"/>
        </w:rPr>
      </w:pPr>
      <w:r>
        <w:rPr>
          <w:rFonts w:hint="eastAsia" w:ascii="宋体" w:hAnsi="宋体"/>
          <w:sz w:val="24"/>
          <w:szCs w:val="24"/>
        </w:rPr>
        <w:t>（法定代表人及被授权人身份证正反面均需加盖供应商公章）</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p>
    <w:p>
      <w:pPr>
        <w:spacing w:line="360" w:lineRule="auto"/>
        <w:jc w:val="left"/>
        <w:rPr>
          <w:rFonts w:ascii="宋体" w:hAnsi="宋体"/>
          <w:sz w:val="24"/>
          <w:szCs w:val="24"/>
        </w:rPr>
      </w:pPr>
      <w:r>
        <w:rPr>
          <w:rFonts w:hint="eastAsia" w:ascii="宋体" w:hAnsi="宋体"/>
          <w:sz w:val="24"/>
          <w:szCs w:val="24"/>
        </w:rPr>
        <w:t>供应商名称（公章）：</w:t>
      </w:r>
    </w:p>
    <w:p>
      <w:pPr>
        <w:spacing w:line="360" w:lineRule="auto"/>
        <w:jc w:val="left"/>
        <w:rPr>
          <w:rFonts w:ascii="宋体" w:hAnsi="宋体"/>
          <w:sz w:val="24"/>
          <w:szCs w:val="24"/>
        </w:rPr>
      </w:pPr>
      <w:r>
        <w:rPr>
          <w:rFonts w:hint="eastAsia" w:ascii="宋体" w:hAnsi="宋体"/>
          <w:sz w:val="24"/>
          <w:szCs w:val="24"/>
        </w:rPr>
        <w:t>日   期：  年   月   日</w:t>
      </w:r>
    </w:p>
    <w:p>
      <w:pPr>
        <w:jc w:val="center"/>
        <w:rPr>
          <w:b/>
          <w:sz w:val="30"/>
          <w:szCs w:val="30"/>
        </w:rPr>
      </w:pPr>
      <w:r>
        <w:rPr>
          <w:rFonts w:hint="eastAsia"/>
          <w:b/>
          <w:sz w:val="30"/>
          <w:szCs w:val="30"/>
        </w:rPr>
        <w:t>法定代表人身份证明</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投标人名称：</w:t>
      </w:r>
      <w:r>
        <w:rPr>
          <w:rFonts w:hint="eastAsia" w:ascii="宋体" w:hAnsi="宋体"/>
          <w:sz w:val="24"/>
          <w:szCs w:val="24"/>
          <w:u w:val="single"/>
        </w:rPr>
        <w:t xml:space="preserve">                                        </w:t>
      </w:r>
    </w:p>
    <w:p>
      <w:pPr>
        <w:autoSpaceDE w:val="0"/>
        <w:autoSpaceDN w:val="0"/>
        <w:adjustRightInd w:val="0"/>
        <w:snapToGrid w:val="0"/>
        <w:spacing w:beforeLines="50" w:line="360" w:lineRule="auto"/>
        <w:ind w:firstLine="480" w:firstLineChars="200"/>
        <w:jc w:val="left"/>
        <w:rPr>
          <w:rFonts w:ascii="宋体" w:hAnsi="宋体"/>
          <w:sz w:val="24"/>
          <w:szCs w:val="24"/>
          <w:u w:val="single"/>
        </w:rPr>
      </w:pPr>
      <w:r>
        <w:rPr>
          <w:rFonts w:hint="eastAsia" w:ascii="宋体" w:hAnsi="宋体"/>
          <w:sz w:val="24"/>
          <w:szCs w:val="24"/>
        </w:rPr>
        <w:t>统一社会信用代码：</w:t>
      </w:r>
      <w:r>
        <w:rPr>
          <w:rFonts w:hint="eastAsia" w:ascii="宋体" w:hAnsi="宋体"/>
          <w:sz w:val="24"/>
          <w:szCs w:val="24"/>
          <w:u w:val="single"/>
        </w:rPr>
        <w:t xml:space="preserve">                                  </w:t>
      </w:r>
    </w:p>
    <w:p>
      <w:pPr>
        <w:autoSpaceDE w:val="0"/>
        <w:autoSpaceDN w:val="0"/>
        <w:adjustRightInd w:val="0"/>
        <w:snapToGrid w:val="0"/>
        <w:spacing w:beforeLines="50" w:line="360" w:lineRule="auto"/>
        <w:ind w:firstLine="480" w:firstLineChars="200"/>
        <w:jc w:val="left"/>
        <w:rPr>
          <w:rFonts w:ascii="宋体" w:hAnsi="宋体"/>
          <w:sz w:val="24"/>
          <w:szCs w:val="24"/>
          <w:u w:val="single"/>
        </w:rPr>
      </w:pPr>
      <w:r>
        <w:rPr>
          <w:rFonts w:hint="eastAsia" w:ascii="宋体" w:hAnsi="宋体"/>
          <w:sz w:val="24"/>
          <w:szCs w:val="24"/>
        </w:rPr>
        <w:t>注册地址：</w:t>
      </w:r>
      <w:r>
        <w:rPr>
          <w:rFonts w:hint="eastAsia" w:ascii="宋体" w:hAnsi="宋体"/>
          <w:sz w:val="24"/>
          <w:szCs w:val="24"/>
          <w:u w:val="single"/>
        </w:rPr>
        <w:t xml:space="preserve">                                          </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成立时间：</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日；经营期限：</w:t>
      </w:r>
      <w:r>
        <w:rPr>
          <w:rFonts w:hint="eastAsia" w:ascii="宋体" w:hAnsi="宋体"/>
          <w:sz w:val="24"/>
          <w:szCs w:val="24"/>
          <w:u w:val="single"/>
        </w:rPr>
        <w:t xml:space="preserve">              </w:t>
      </w:r>
      <w:r>
        <w:rPr>
          <w:rFonts w:hint="eastAsia" w:ascii="宋体" w:hAnsi="宋体"/>
          <w:sz w:val="24"/>
          <w:szCs w:val="24"/>
        </w:rPr>
        <w:t xml:space="preserve">    </w:t>
      </w:r>
    </w:p>
    <w:p>
      <w:pPr>
        <w:autoSpaceDE w:val="0"/>
        <w:autoSpaceDN w:val="0"/>
        <w:adjustRightInd w:val="0"/>
        <w:snapToGrid w:val="0"/>
        <w:spacing w:beforeLines="50" w:line="360" w:lineRule="auto"/>
        <w:ind w:firstLine="480" w:firstLineChars="200"/>
        <w:jc w:val="left"/>
        <w:rPr>
          <w:rFonts w:ascii="宋体" w:hAnsi="宋体"/>
          <w:sz w:val="24"/>
          <w:szCs w:val="24"/>
          <w:u w:val="single"/>
        </w:rPr>
      </w:pPr>
      <w:r>
        <w:rPr>
          <w:rFonts w:hint="eastAsia" w:ascii="宋体" w:hAnsi="宋体"/>
          <w:sz w:val="24"/>
          <w:szCs w:val="24"/>
        </w:rPr>
        <w:t>经营范围：主营：</w:t>
      </w:r>
      <w:r>
        <w:rPr>
          <w:rFonts w:hint="eastAsia" w:ascii="宋体" w:hAnsi="宋体"/>
          <w:sz w:val="24"/>
          <w:szCs w:val="24"/>
          <w:u w:val="single"/>
        </w:rPr>
        <w:t xml:space="preserve">               </w:t>
      </w:r>
      <w:r>
        <w:rPr>
          <w:rFonts w:hint="eastAsia" w:ascii="宋体" w:hAnsi="宋体"/>
          <w:sz w:val="24"/>
          <w:szCs w:val="24"/>
        </w:rPr>
        <w:t>；兼营：</w:t>
      </w:r>
      <w:r>
        <w:rPr>
          <w:rFonts w:hint="eastAsia" w:ascii="宋体" w:hAnsi="宋体"/>
          <w:sz w:val="24"/>
          <w:szCs w:val="24"/>
          <w:u w:val="single"/>
        </w:rPr>
        <w:t xml:space="preserve">             </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姓名：</w:t>
      </w:r>
      <w:r>
        <w:rPr>
          <w:rFonts w:hint="eastAsia" w:ascii="宋体" w:hAnsi="宋体"/>
          <w:sz w:val="24"/>
          <w:szCs w:val="24"/>
          <w:u w:val="single"/>
        </w:rPr>
        <w:t xml:space="preserve">     </w:t>
      </w:r>
      <w:r>
        <w:rPr>
          <w:rFonts w:hint="eastAsia" w:ascii="宋体" w:hAnsi="宋体"/>
          <w:sz w:val="24"/>
          <w:szCs w:val="24"/>
        </w:rPr>
        <w:t>性别：</w:t>
      </w:r>
      <w:r>
        <w:rPr>
          <w:rFonts w:hint="eastAsia" w:ascii="宋体" w:hAnsi="宋体"/>
          <w:sz w:val="24"/>
          <w:szCs w:val="24"/>
          <w:u w:val="single"/>
        </w:rPr>
        <w:t xml:space="preserve">     </w:t>
      </w:r>
      <w:r>
        <w:rPr>
          <w:rFonts w:hint="eastAsia" w:ascii="宋体" w:hAnsi="宋体"/>
          <w:sz w:val="24"/>
          <w:szCs w:val="24"/>
        </w:rPr>
        <w:t>年龄：</w:t>
      </w:r>
      <w:r>
        <w:rPr>
          <w:rFonts w:hint="eastAsia" w:ascii="宋体" w:hAnsi="宋体"/>
          <w:sz w:val="24"/>
          <w:szCs w:val="24"/>
          <w:u w:val="single"/>
        </w:rPr>
        <w:t xml:space="preserve">     </w:t>
      </w:r>
      <w:r>
        <w:rPr>
          <w:rFonts w:hint="eastAsia" w:ascii="宋体" w:hAnsi="宋体"/>
          <w:sz w:val="24"/>
          <w:szCs w:val="24"/>
        </w:rPr>
        <w:t>系</w:t>
      </w:r>
      <w:r>
        <w:rPr>
          <w:rFonts w:hint="eastAsia" w:ascii="宋体" w:hAnsi="宋体"/>
          <w:sz w:val="24"/>
          <w:szCs w:val="24"/>
          <w:u w:val="single"/>
        </w:rPr>
        <w:t xml:space="preserve">            </w:t>
      </w:r>
      <w:r>
        <w:rPr>
          <w:rFonts w:hint="eastAsia" w:ascii="宋体" w:hAnsi="宋体"/>
          <w:sz w:val="24"/>
          <w:szCs w:val="24"/>
        </w:rPr>
        <w:t>（投标人名称）的法定代表人。</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特此证明。</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附：法定代表人身份证复印件</w:t>
      </w:r>
    </w:p>
    <w:tbl>
      <w:tblPr>
        <w:tblStyle w:val="20"/>
        <w:tblW w:w="8782" w:type="dxa"/>
        <w:tblInd w:w="540" w:type="dxa"/>
        <w:tblLayout w:type="fixed"/>
        <w:tblCellMar>
          <w:top w:w="0" w:type="dxa"/>
          <w:left w:w="108" w:type="dxa"/>
          <w:bottom w:w="0" w:type="dxa"/>
          <w:right w:w="108" w:type="dxa"/>
        </w:tblCellMar>
      </w:tblPr>
      <w:tblGrid>
        <w:gridCol w:w="4388"/>
        <w:gridCol w:w="4394"/>
      </w:tblGrid>
      <w:tr>
        <w:tblPrEx>
          <w:tblCellMar>
            <w:top w:w="0" w:type="dxa"/>
            <w:left w:w="108" w:type="dxa"/>
            <w:bottom w:w="0" w:type="dxa"/>
            <w:right w:w="108" w:type="dxa"/>
          </w:tblCellMar>
        </w:tblPrEx>
        <w:trPr>
          <w:trHeight w:val="2818" w:hRule="atLeast"/>
        </w:trPr>
        <w:tc>
          <w:tcPr>
            <w:tcW w:w="438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outlineLvl w:val="0"/>
              <w:rPr>
                <w:rFonts w:ascii="宋体" w:hAnsi="宋体"/>
                <w:sz w:val="24"/>
                <w:szCs w:val="24"/>
              </w:rPr>
            </w:pPr>
            <w:bookmarkStart w:id="286" w:name="_Toc57822497"/>
            <w:bookmarkStart w:id="287" w:name="_Toc56609495"/>
            <w:bookmarkStart w:id="288" w:name="_Toc52367761"/>
            <w:bookmarkStart w:id="289" w:name="_Toc52367678"/>
            <w:r>
              <w:rPr>
                <w:rFonts w:hint="eastAsia" w:ascii="宋体" w:hAnsi="宋体"/>
                <w:sz w:val="24"/>
              </w:rPr>
              <w:t>法定代表人</w:t>
            </w:r>
            <w:r>
              <w:rPr>
                <w:rFonts w:hint="eastAsia" w:ascii="宋体" w:hAnsi="宋体"/>
                <w:sz w:val="24"/>
                <w:szCs w:val="24"/>
              </w:rPr>
              <w:t>身份证复印件</w:t>
            </w:r>
            <w:bookmarkEnd w:id="286"/>
            <w:bookmarkEnd w:id="287"/>
            <w:bookmarkEnd w:id="288"/>
            <w:bookmarkEnd w:id="289"/>
          </w:p>
          <w:p>
            <w:pPr>
              <w:spacing w:line="360" w:lineRule="auto"/>
              <w:jc w:val="center"/>
              <w:rPr>
                <w:rFonts w:ascii="宋体" w:hAnsi="宋体"/>
                <w:sz w:val="24"/>
                <w:szCs w:val="24"/>
              </w:rPr>
            </w:pPr>
            <w:r>
              <w:rPr>
                <w:rFonts w:hint="eastAsia" w:ascii="宋体" w:hAnsi="宋体"/>
                <w:sz w:val="24"/>
                <w:szCs w:val="24"/>
              </w:rPr>
              <w:t>（人像面）</w:t>
            </w:r>
          </w:p>
        </w:tc>
        <w:tc>
          <w:tcPr>
            <w:tcW w:w="439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outlineLvl w:val="0"/>
              <w:rPr>
                <w:rFonts w:ascii="宋体" w:hAnsi="宋体"/>
                <w:sz w:val="24"/>
                <w:szCs w:val="24"/>
              </w:rPr>
            </w:pPr>
            <w:bookmarkStart w:id="290" w:name="_Toc52367762"/>
            <w:bookmarkStart w:id="291" w:name="_Toc52367679"/>
            <w:bookmarkStart w:id="292" w:name="_Toc56609496"/>
            <w:bookmarkStart w:id="293" w:name="_Toc57822498"/>
            <w:r>
              <w:rPr>
                <w:rFonts w:hint="eastAsia" w:ascii="宋体" w:hAnsi="宋体"/>
                <w:sz w:val="24"/>
              </w:rPr>
              <w:t>法定代表人</w:t>
            </w:r>
            <w:r>
              <w:rPr>
                <w:rFonts w:hint="eastAsia" w:ascii="宋体" w:hAnsi="宋体"/>
                <w:sz w:val="24"/>
                <w:szCs w:val="24"/>
              </w:rPr>
              <w:t>身份证复印件</w:t>
            </w:r>
            <w:bookmarkEnd w:id="290"/>
            <w:bookmarkEnd w:id="291"/>
            <w:bookmarkEnd w:id="292"/>
            <w:bookmarkEnd w:id="293"/>
          </w:p>
          <w:p>
            <w:pPr>
              <w:spacing w:line="360" w:lineRule="auto"/>
              <w:jc w:val="center"/>
              <w:rPr>
                <w:rFonts w:ascii="宋体" w:hAnsi="宋体"/>
                <w:sz w:val="24"/>
                <w:szCs w:val="24"/>
              </w:rPr>
            </w:pPr>
            <w:r>
              <w:rPr>
                <w:rFonts w:hint="eastAsia" w:ascii="宋体" w:hAnsi="宋体"/>
                <w:sz w:val="24"/>
                <w:szCs w:val="24"/>
              </w:rPr>
              <w:t>（国徽面）</w:t>
            </w:r>
          </w:p>
        </w:tc>
      </w:tr>
    </w:tbl>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注：</w:t>
      </w:r>
      <w:r>
        <w:rPr>
          <w:rFonts w:hint="eastAsia" w:ascii="宋体" w:hAnsi="宋体" w:cs="仿宋"/>
          <w:sz w:val="24"/>
          <w:szCs w:val="24"/>
        </w:rPr>
        <w:t>仅限法定代表人（单位负责人）参加投标时提供。</w:t>
      </w:r>
    </w:p>
    <w:p>
      <w:pPr>
        <w:autoSpaceDE w:val="0"/>
        <w:autoSpaceDN w:val="0"/>
        <w:adjustRightInd w:val="0"/>
        <w:snapToGrid w:val="0"/>
        <w:spacing w:beforeLines="50" w:line="360" w:lineRule="auto"/>
        <w:ind w:firstLine="480" w:firstLineChars="200"/>
        <w:jc w:val="left"/>
        <w:rPr>
          <w:rFonts w:ascii="宋体" w:hAnsi="宋体"/>
          <w:sz w:val="24"/>
          <w:szCs w:val="24"/>
        </w:rPr>
      </w:pPr>
      <w:r>
        <w:rPr>
          <w:rFonts w:hint="eastAsia" w:ascii="宋体" w:hAnsi="宋体"/>
          <w:sz w:val="24"/>
          <w:szCs w:val="24"/>
        </w:rPr>
        <w:t xml:space="preserve">    身份证正反面均需加盖供应商公章。</w:t>
      </w:r>
    </w:p>
    <w:p>
      <w:pPr>
        <w:autoSpaceDE w:val="0"/>
        <w:autoSpaceDN w:val="0"/>
        <w:adjustRightInd w:val="0"/>
        <w:snapToGrid w:val="0"/>
        <w:spacing w:beforeLines="50" w:line="360" w:lineRule="auto"/>
        <w:ind w:firstLine="480" w:firstLineChars="200"/>
        <w:jc w:val="left"/>
        <w:rPr>
          <w:rFonts w:ascii="宋体" w:hAnsi="宋体"/>
          <w:sz w:val="24"/>
          <w:szCs w:val="24"/>
        </w:rPr>
      </w:pPr>
    </w:p>
    <w:p>
      <w:pPr>
        <w:spacing w:line="360" w:lineRule="auto"/>
        <w:ind w:firstLine="1920" w:firstLineChars="800"/>
        <w:rPr>
          <w:rFonts w:ascii="宋体" w:hAnsi="宋体"/>
          <w:sz w:val="24"/>
          <w:szCs w:val="24"/>
        </w:rPr>
      </w:pPr>
    </w:p>
    <w:p>
      <w:pPr>
        <w:spacing w:line="360" w:lineRule="auto"/>
        <w:jc w:val="left"/>
        <w:rPr>
          <w:rFonts w:ascii="宋体" w:hAnsi="宋体"/>
          <w:sz w:val="24"/>
          <w:szCs w:val="24"/>
        </w:rPr>
      </w:pPr>
      <w:r>
        <w:rPr>
          <w:rFonts w:hint="eastAsia" w:ascii="宋体" w:hAnsi="宋体"/>
          <w:sz w:val="24"/>
          <w:szCs w:val="24"/>
        </w:rPr>
        <w:t>供应商名称（公章）：</w:t>
      </w:r>
    </w:p>
    <w:p>
      <w:pPr>
        <w:spacing w:line="360" w:lineRule="auto"/>
        <w:jc w:val="left"/>
        <w:rPr>
          <w:rFonts w:ascii="宋体" w:hAnsi="宋体"/>
          <w:sz w:val="24"/>
          <w:szCs w:val="24"/>
        </w:rPr>
      </w:pPr>
      <w:r>
        <w:rPr>
          <w:rFonts w:hint="eastAsia" w:ascii="宋体" w:hAnsi="宋体"/>
          <w:sz w:val="24"/>
          <w:szCs w:val="24"/>
        </w:rPr>
        <w:t>日   期：  年   月   日</w:t>
      </w:r>
    </w:p>
    <w:p>
      <w:pPr>
        <w:widowControl/>
        <w:jc w:val="left"/>
        <w:rPr>
          <w:rFonts w:ascii="宋体" w:hAnsi="宋体"/>
          <w:sz w:val="24"/>
          <w:szCs w:val="24"/>
        </w:rPr>
      </w:pPr>
    </w:p>
    <w:p>
      <w:pPr>
        <w:pStyle w:val="3"/>
        <w:jc w:val="center"/>
      </w:pPr>
      <w:bookmarkStart w:id="294" w:name="_Toc57822499"/>
      <w:r>
        <w:rPr>
          <w:rFonts w:hint="eastAsia"/>
        </w:rPr>
        <w:t>四、资格证明文件</w:t>
      </w:r>
      <w:bookmarkEnd w:id="294"/>
    </w:p>
    <w:p>
      <w:pPr>
        <w:pStyle w:val="46"/>
        <w:spacing w:before="240" w:line="360" w:lineRule="auto"/>
        <w:ind w:firstLine="0" w:firstLineChars="0"/>
        <w:rPr>
          <w:rFonts w:ascii="宋体" w:hAnsi="宋体"/>
          <w:kern w:val="0"/>
          <w:sz w:val="24"/>
          <w:szCs w:val="24"/>
        </w:rPr>
      </w:pPr>
      <w:r>
        <w:rPr>
          <w:rFonts w:hint="eastAsia" w:ascii="宋体" w:hAnsi="宋体"/>
          <w:kern w:val="0"/>
          <w:sz w:val="24"/>
          <w:szCs w:val="24"/>
        </w:rPr>
        <w:t>按照磋商须知前附表第十一款要求提供：</w:t>
      </w:r>
    </w:p>
    <w:p>
      <w:pPr>
        <w:widowControl/>
        <w:spacing w:line="360" w:lineRule="auto"/>
        <w:ind w:firstLine="480" w:firstLineChars="200"/>
        <w:rPr>
          <w:rFonts w:ascii="宋体" w:hAnsi="宋体"/>
          <w:kern w:val="0"/>
          <w:sz w:val="24"/>
          <w:szCs w:val="24"/>
        </w:rPr>
      </w:pPr>
      <w:r>
        <w:rPr>
          <w:rFonts w:hint="eastAsia" w:ascii="宋体" w:hAnsi="宋体"/>
          <w:kern w:val="0"/>
          <w:sz w:val="24"/>
          <w:szCs w:val="24"/>
        </w:rPr>
        <w:t>（注：1、以上资格证明文件投标供应商必须完全提供，且胶装于磋商响应文件中，一项不合格即按照无效响应处理；2、除注明原件外，均为复印件并加盖投标供应商公章；3、磋商小组可随时要求查验原件，投标供应商不得拒绝，否则其投标将按照无效磋商投标处理。）</w:t>
      </w:r>
    </w:p>
    <w:p>
      <w:pPr>
        <w:spacing w:line="480" w:lineRule="auto"/>
        <w:jc w:val="center"/>
        <w:rPr>
          <w:b/>
          <w:sz w:val="24"/>
          <w:szCs w:val="24"/>
        </w:rPr>
      </w:pPr>
    </w:p>
    <w:p>
      <w:pPr>
        <w:jc w:val="center"/>
        <w:rPr>
          <w:b/>
          <w:sz w:val="24"/>
          <w:szCs w:val="2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rPr>
          <w:b/>
          <w:sz w:val="28"/>
          <w:szCs w:val="28"/>
        </w:rPr>
      </w:pPr>
    </w:p>
    <w:p>
      <w:pPr>
        <w:pStyle w:val="3"/>
        <w:jc w:val="center"/>
        <w:rPr>
          <w:sz w:val="24"/>
          <w:szCs w:val="24"/>
        </w:rPr>
      </w:pPr>
      <w:bookmarkStart w:id="295" w:name="_Toc57822500"/>
      <w:r>
        <w:rPr>
          <w:rFonts w:hint="eastAsia"/>
        </w:rPr>
        <w:t>五、供应商概况</w:t>
      </w:r>
      <w:bookmarkEnd w:id="295"/>
    </w:p>
    <w:tbl>
      <w:tblPr>
        <w:tblStyle w:val="20"/>
        <w:tblW w:w="9346"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0" w:type="dxa"/>
          <w:bottom w:w="0" w:type="dxa"/>
          <w:right w:w="0" w:type="dxa"/>
        </w:tblCellMar>
      </w:tblPr>
      <w:tblGrid>
        <w:gridCol w:w="1769"/>
        <w:gridCol w:w="1022"/>
        <w:gridCol w:w="1083"/>
        <w:gridCol w:w="1433"/>
        <w:gridCol w:w="353"/>
        <w:gridCol w:w="1228"/>
        <w:gridCol w:w="252"/>
        <w:gridCol w:w="735"/>
        <w:gridCol w:w="1471"/>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供应商名称</w:t>
            </w:r>
          </w:p>
        </w:tc>
        <w:tc>
          <w:tcPr>
            <w:tcW w:w="7577"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注册地址</w:t>
            </w:r>
          </w:p>
        </w:tc>
        <w:tc>
          <w:tcPr>
            <w:tcW w:w="3891"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2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邮政编码</w:t>
            </w:r>
          </w:p>
        </w:tc>
        <w:tc>
          <w:tcPr>
            <w:tcW w:w="245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联系方式</w:t>
            </w:r>
          </w:p>
        </w:tc>
        <w:tc>
          <w:tcPr>
            <w:tcW w:w="102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联系人</w:t>
            </w:r>
          </w:p>
        </w:tc>
        <w:tc>
          <w:tcPr>
            <w:tcW w:w="286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2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电话</w:t>
            </w:r>
          </w:p>
        </w:tc>
        <w:tc>
          <w:tcPr>
            <w:tcW w:w="245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022" w:type="dxa"/>
            <w:tcBorders>
              <w:top w:val="single" w:color="auto" w:sz="4" w:space="0"/>
              <w:left w:val="single" w:color="auto" w:sz="4" w:space="0"/>
              <w:bottom w:val="single" w:color="auto" w:sz="4" w:space="0"/>
              <w:right w:val="single" w:color="auto" w:sz="4" w:space="0"/>
            </w:tcBorders>
            <w:vAlign w:val="center"/>
          </w:tcPr>
          <w:p>
            <w:pPr>
              <w:tabs>
                <w:tab w:val="left" w:pos="540"/>
              </w:tabs>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传真</w:t>
            </w:r>
          </w:p>
        </w:tc>
        <w:tc>
          <w:tcPr>
            <w:tcW w:w="2869"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22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电子邮件</w:t>
            </w:r>
          </w:p>
        </w:tc>
        <w:tc>
          <w:tcPr>
            <w:tcW w:w="2458"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法定代表人</w:t>
            </w:r>
          </w:p>
        </w:tc>
        <w:tc>
          <w:tcPr>
            <w:tcW w:w="102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姓名</w:t>
            </w:r>
          </w:p>
        </w:tc>
        <w:tc>
          <w:tcPr>
            <w:tcW w:w="108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职称</w:t>
            </w: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7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电话</w:t>
            </w:r>
          </w:p>
        </w:tc>
        <w:tc>
          <w:tcPr>
            <w:tcW w:w="147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项目负责人</w:t>
            </w:r>
          </w:p>
        </w:tc>
        <w:tc>
          <w:tcPr>
            <w:tcW w:w="102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姓名</w:t>
            </w:r>
          </w:p>
        </w:tc>
        <w:tc>
          <w:tcPr>
            <w:tcW w:w="108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职称</w:t>
            </w: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7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电话</w:t>
            </w:r>
          </w:p>
        </w:tc>
        <w:tc>
          <w:tcPr>
            <w:tcW w:w="147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成立时间</w:t>
            </w:r>
          </w:p>
        </w:tc>
        <w:tc>
          <w:tcPr>
            <w:tcW w:w="7577"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105" w:leftChars="50"/>
              <w:jc w:val="center"/>
              <w:rPr>
                <w:rFonts w:asciiTheme="minorEastAsia" w:hAnsiTheme="minorEastAsia" w:eastAsiaTheme="minorEastAsia"/>
                <w:kern w:val="0"/>
                <w:sz w:val="24"/>
                <w:szCs w:val="24"/>
                <w:u w:val="singl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企业性质</w:t>
            </w:r>
          </w:p>
        </w:tc>
        <w:tc>
          <w:tcPr>
            <w:tcW w:w="21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vMerge w:val="restar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其中</w:t>
            </w: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员工总人数</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营业执照号</w:t>
            </w:r>
          </w:p>
        </w:tc>
        <w:tc>
          <w:tcPr>
            <w:tcW w:w="21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kern w:val="0"/>
                <w:sz w:val="24"/>
                <w:szCs w:val="24"/>
              </w:rPr>
            </w:pPr>
            <w:r>
              <w:rPr>
                <w:rFonts w:hint="eastAsia" w:ascii="宋体" w:hAnsi="宋体"/>
                <w:kern w:val="0"/>
                <w:sz w:val="24"/>
                <w:szCs w:val="24"/>
              </w:rPr>
              <w:t>项目负责人员</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注册资金</w:t>
            </w:r>
          </w:p>
        </w:tc>
        <w:tc>
          <w:tcPr>
            <w:tcW w:w="21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kern w:val="0"/>
                <w:sz w:val="24"/>
                <w:szCs w:val="24"/>
              </w:rPr>
            </w:pPr>
            <w:r>
              <w:rPr>
                <w:rFonts w:hint="eastAsia" w:ascii="宋体" w:hAnsi="宋体"/>
                <w:kern w:val="0"/>
                <w:sz w:val="24"/>
                <w:szCs w:val="24"/>
              </w:rPr>
              <w:t>技术人员</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基本账户开户银行</w:t>
            </w:r>
          </w:p>
        </w:tc>
        <w:tc>
          <w:tcPr>
            <w:tcW w:w="21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kern w:val="0"/>
                <w:sz w:val="24"/>
                <w:szCs w:val="24"/>
              </w:rPr>
            </w:pPr>
            <w:r>
              <w:rPr>
                <w:rFonts w:hint="eastAsia" w:ascii="宋体" w:hAnsi="宋体"/>
                <w:kern w:val="0"/>
                <w:sz w:val="24"/>
                <w:szCs w:val="24"/>
              </w:rPr>
              <w:t>其他</w:t>
            </w:r>
          </w:p>
        </w:tc>
        <w:tc>
          <w:tcPr>
            <w:tcW w:w="220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703"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基本账户账号</w:t>
            </w:r>
          </w:p>
        </w:tc>
        <w:tc>
          <w:tcPr>
            <w:tcW w:w="210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433" w:type="dxa"/>
            <w:vMerge w:val="continue"/>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c>
          <w:tcPr>
            <w:tcW w:w="183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kern w:val="0"/>
                <w:sz w:val="24"/>
                <w:szCs w:val="24"/>
              </w:rPr>
            </w:pPr>
          </w:p>
        </w:tc>
        <w:tc>
          <w:tcPr>
            <w:tcW w:w="220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035"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经营范围</w:t>
            </w:r>
          </w:p>
        </w:tc>
        <w:tc>
          <w:tcPr>
            <w:tcW w:w="7577"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0" w:type="dxa"/>
            <w:bottom w:w="0" w:type="dxa"/>
            <w:right w:w="0" w:type="dxa"/>
          </w:tblCellMar>
        </w:tblPrEx>
        <w:trPr>
          <w:trHeight w:val="1161" w:hRule="exact"/>
          <w:jc w:val="center"/>
        </w:trPr>
        <w:tc>
          <w:tcPr>
            <w:tcW w:w="17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r>
              <w:rPr>
                <w:rFonts w:hint="eastAsia" w:cs="MingLiU" w:asciiTheme="minorEastAsia" w:hAnsiTheme="minorEastAsia" w:eastAsiaTheme="minorEastAsia"/>
                <w:kern w:val="0"/>
                <w:sz w:val="24"/>
                <w:szCs w:val="24"/>
              </w:rPr>
              <w:t>备    注</w:t>
            </w:r>
          </w:p>
        </w:tc>
        <w:tc>
          <w:tcPr>
            <w:tcW w:w="7577"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Theme="minorEastAsia" w:hAnsiTheme="minorEastAsia" w:eastAsiaTheme="minorEastAsia"/>
                <w:kern w:val="0"/>
                <w:sz w:val="24"/>
                <w:szCs w:val="24"/>
              </w:rPr>
            </w:pPr>
          </w:p>
        </w:tc>
      </w:tr>
    </w:tbl>
    <w:p>
      <w:pPr>
        <w:rPr>
          <w:rFonts w:ascii="宋体" w:hAnsi="宋体"/>
          <w:sz w:val="24"/>
          <w:szCs w:val="24"/>
        </w:rPr>
      </w:pPr>
      <w:bookmarkStart w:id="296" w:name="_Hlt491765944"/>
      <w:bookmarkEnd w:id="296"/>
      <w:bookmarkStart w:id="297" w:name="_Hlt491573425"/>
      <w:bookmarkEnd w:id="297"/>
      <w:bookmarkStart w:id="298" w:name="_Hlt491766019"/>
      <w:bookmarkEnd w:id="298"/>
      <w:bookmarkStart w:id="299" w:name="_Hlt491765868"/>
      <w:bookmarkEnd w:id="299"/>
      <w:bookmarkStart w:id="300" w:name="_Hlt491572882"/>
      <w:bookmarkEnd w:id="300"/>
      <w:r>
        <w:rPr>
          <w:rFonts w:hint="eastAsia" w:ascii="宋体" w:hAnsi="宋体"/>
          <w:sz w:val="24"/>
          <w:szCs w:val="24"/>
        </w:rPr>
        <w:t>法定代表人或被授权人：(签字或盖章)</w:t>
      </w:r>
    </w:p>
    <w:p>
      <w:pPr>
        <w:rPr>
          <w:rFonts w:ascii="宋体" w:hAnsi="宋体"/>
          <w:sz w:val="24"/>
          <w:szCs w:val="24"/>
        </w:rPr>
      </w:pPr>
    </w:p>
    <w:p>
      <w:pPr>
        <w:rPr>
          <w:rFonts w:ascii="宋体" w:hAnsi="宋体"/>
          <w:sz w:val="24"/>
          <w:szCs w:val="24"/>
        </w:rPr>
      </w:pPr>
      <w:r>
        <w:rPr>
          <w:rFonts w:hint="eastAsia" w:ascii="宋体" w:hAnsi="宋体"/>
          <w:sz w:val="24"/>
          <w:szCs w:val="24"/>
        </w:rPr>
        <w:t>供应商名称（公章）：</w:t>
      </w:r>
    </w:p>
    <w:p>
      <w:pPr>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日    期：    年     月    日  </w:t>
      </w:r>
    </w:p>
    <w:p>
      <w:pPr>
        <w:spacing w:line="360" w:lineRule="auto"/>
        <w:rPr>
          <w:rFonts w:asciiTheme="minorEastAsia" w:hAnsiTheme="minorEastAsia" w:eastAsiaTheme="minorEastAsia"/>
          <w:sz w:val="24"/>
          <w:szCs w:val="24"/>
          <w:u w:val="single"/>
        </w:rPr>
      </w:pPr>
    </w:p>
    <w:p>
      <w:pPr>
        <w:pStyle w:val="40"/>
        <w:ind w:firstLine="560"/>
        <w:rPr>
          <w:rFonts w:ascii="Calibri Light" w:hAnsi="Calibri Light"/>
        </w:rPr>
      </w:pPr>
      <w:bookmarkStart w:id="301" w:name="_Toc484198846"/>
      <w:bookmarkStart w:id="302" w:name="_Toc519848137"/>
      <w:bookmarkStart w:id="303" w:name="_Toc57822501"/>
      <w:bookmarkStart w:id="304" w:name="_Toc42713499"/>
      <w:r>
        <w:rPr>
          <w:rFonts w:hint="eastAsia" w:ascii="Calibri Light" w:hAnsi="Calibri Light"/>
        </w:rPr>
        <w:t>六、同类项目业绩</w:t>
      </w:r>
      <w:bookmarkEnd w:id="301"/>
      <w:bookmarkEnd w:id="302"/>
      <w:bookmarkEnd w:id="303"/>
      <w:bookmarkEnd w:id="304"/>
    </w:p>
    <w:tbl>
      <w:tblPr>
        <w:tblStyle w:val="20"/>
        <w:tblW w:w="8848"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09"/>
        <w:gridCol w:w="1414"/>
        <w:gridCol w:w="3150"/>
        <w:gridCol w:w="36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sz w:val="24"/>
                <w:szCs w:val="24"/>
              </w:rPr>
            </w:pPr>
            <w:r>
              <w:rPr>
                <w:rFonts w:hint="eastAsia" w:ascii="宋体" w:hAnsi="宋体"/>
                <w:sz w:val="24"/>
                <w:szCs w:val="24"/>
              </w:rPr>
              <w:t>序号</w:t>
            </w:r>
          </w:p>
        </w:tc>
        <w:tc>
          <w:tcPr>
            <w:tcW w:w="1414" w:type="dxa"/>
            <w:vAlign w:val="center"/>
          </w:tcPr>
          <w:p>
            <w:pPr>
              <w:jc w:val="center"/>
              <w:rPr>
                <w:rFonts w:ascii="宋体" w:hAnsi="宋体"/>
                <w:sz w:val="24"/>
                <w:szCs w:val="24"/>
              </w:rPr>
            </w:pPr>
            <w:r>
              <w:rPr>
                <w:rFonts w:hint="eastAsia" w:ascii="宋体" w:hAnsi="宋体"/>
                <w:sz w:val="24"/>
                <w:szCs w:val="24"/>
              </w:rPr>
              <w:t>项目名称</w:t>
            </w:r>
          </w:p>
        </w:tc>
        <w:tc>
          <w:tcPr>
            <w:tcW w:w="3150" w:type="dxa"/>
            <w:vAlign w:val="center"/>
          </w:tcPr>
          <w:p>
            <w:pPr>
              <w:jc w:val="center"/>
              <w:rPr>
                <w:rFonts w:ascii="宋体" w:hAnsi="宋体"/>
                <w:sz w:val="24"/>
                <w:szCs w:val="24"/>
              </w:rPr>
            </w:pPr>
            <w:r>
              <w:rPr>
                <w:rFonts w:hint="eastAsia" w:ascii="宋体" w:hAnsi="宋体"/>
                <w:sz w:val="24"/>
                <w:szCs w:val="24"/>
              </w:rPr>
              <w:t>项目内容</w:t>
            </w:r>
          </w:p>
        </w:tc>
        <w:tc>
          <w:tcPr>
            <w:tcW w:w="3675" w:type="dxa"/>
            <w:vAlign w:val="center"/>
          </w:tcPr>
          <w:p>
            <w:pPr>
              <w:jc w:val="center"/>
              <w:rPr>
                <w:rFonts w:ascii="宋体" w:hAnsi="宋体"/>
                <w:sz w:val="24"/>
                <w:szCs w:val="24"/>
              </w:rPr>
            </w:pPr>
            <w:r>
              <w:rPr>
                <w:rFonts w:hint="eastAsia" w:ascii="宋体" w:hAnsi="宋体"/>
                <w:sz w:val="24"/>
                <w:szCs w:val="24"/>
              </w:rPr>
              <w:t>采购人名称、联系人及电话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r>
              <w:rPr>
                <w:rFonts w:hint="eastAsia" w:ascii="宋体" w:hAnsi="宋体"/>
                <w:sz w:val="24"/>
                <w:szCs w:val="24"/>
              </w:rPr>
              <w:t>1</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r>
              <w:rPr>
                <w:rFonts w:hint="eastAsia" w:ascii="宋体" w:hAnsi="宋体"/>
                <w:sz w:val="24"/>
                <w:szCs w:val="24"/>
              </w:rPr>
              <w:t>2</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r>
              <w:rPr>
                <w:rFonts w:hint="eastAsia" w:ascii="宋体" w:hAnsi="宋体"/>
                <w:sz w:val="24"/>
                <w:szCs w:val="24"/>
              </w:rPr>
              <w:t>3</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r>
              <w:rPr>
                <w:rFonts w:hint="eastAsia" w:ascii="宋体" w:hAnsi="宋体"/>
                <w:sz w:val="24"/>
                <w:szCs w:val="24"/>
              </w:rPr>
              <w:t>4</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r>
              <w:rPr>
                <w:rFonts w:hint="eastAsia" w:ascii="宋体" w:hAnsi="宋体"/>
                <w:sz w:val="24"/>
                <w:szCs w:val="24"/>
              </w:rPr>
              <w:t>5</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sz w:val="24"/>
                <w:szCs w:val="24"/>
              </w:rPr>
            </w:pPr>
            <w:r>
              <w:rPr>
                <w:rFonts w:hint="eastAsia" w:ascii="宋体" w:hAnsi="宋体"/>
                <w:sz w:val="24"/>
                <w:szCs w:val="24"/>
              </w:rPr>
              <w:t>…</w:t>
            </w: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sz w:val="24"/>
                <w:szCs w:val="24"/>
              </w:rPr>
            </w:pP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sz w:val="24"/>
                <w:szCs w:val="24"/>
              </w:rPr>
            </w:pP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jc w:val="center"/>
              <w:rPr>
                <w:rFonts w:ascii="宋体" w:hAnsi="宋体"/>
                <w:sz w:val="24"/>
                <w:szCs w:val="24"/>
              </w:rPr>
            </w:pP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cantSplit/>
          <w:trHeight w:val="740" w:hRule="atLeast"/>
        </w:trPr>
        <w:tc>
          <w:tcPr>
            <w:tcW w:w="609" w:type="dxa"/>
            <w:vAlign w:val="center"/>
          </w:tcPr>
          <w:p>
            <w:pPr>
              <w:ind w:left="120"/>
              <w:jc w:val="center"/>
              <w:rPr>
                <w:rFonts w:ascii="宋体" w:hAnsi="宋体"/>
                <w:sz w:val="24"/>
                <w:szCs w:val="24"/>
              </w:rPr>
            </w:pPr>
          </w:p>
        </w:tc>
        <w:tc>
          <w:tcPr>
            <w:tcW w:w="1414" w:type="dxa"/>
            <w:vAlign w:val="center"/>
          </w:tcPr>
          <w:p>
            <w:pPr>
              <w:jc w:val="center"/>
              <w:rPr>
                <w:rFonts w:ascii="宋体" w:hAnsi="宋体"/>
                <w:sz w:val="24"/>
                <w:szCs w:val="24"/>
              </w:rPr>
            </w:pPr>
          </w:p>
        </w:tc>
        <w:tc>
          <w:tcPr>
            <w:tcW w:w="3150" w:type="dxa"/>
            <w:vAlign w:val="center"/>
          </w:tcPr>
          <w:p>
            <w:pPr>
              <w:jc w:val="center"/>
              <w:rPr>
                <w:rFonts w:ascii="宋体" w:hAnsi="宋体"/>
                <w:sz w:val="24"/>
                <w:szCs w:val="24"/>
              </w:rPr>
            </w:pPr>
          </w:p>
        </w:tc>
        <w:tc>
          <w:tcPr>
            <w:tcW w:w="3675" w:type="dxa"/>
          </w:tcPr>
          <w:p>
            <w:pPr>
              <w:jc w:val="center"/>
              <w:rPr>
                <w:rFonts w:ascii="宋体" w:hAnsi="宋体"/>
                <w:sz w:val="24"/>
                <w:szCs w:val="24"/>
              </w:rPr>
            </w:pPr>
          </w:p>
        </w:tc>
      </w:tr>
    </w:tbl>
    <w:p>
      <w:pPr>
        <w:tabs>
          <w:tab w:val="left" w:pos="8782"/>
        </w:tabs>
        <w:snapToGrid w:val="0"/>
        <w:spacing w:line="360" w:lineRule="auto"/>
        <w:rPr>
          <w:rFonts w:ascii="宋体" w:hAnsi="宋体"/>
          <w:sz w:val="24"/>
          <w:szCs w:val="24"/>
        </w:rPr>
      </w:pPr>
      <w:r>
        <w:rPr>
          <w:rFonts w:hint="eastAsia" w:ascii="宋体" w:hAnsi="宋体"/>
          <w:sz w:val="24"/>
          <w:szCs w:val="24"/>
        </w:rPr>
        <w:t>注：1. 供应商应如实列出以上情况，如有隐瞒，一经查实将导致其报价申请被拒绝。</w:t>
      </w:r>
    </w:p>
    <w:p>
      <w:pPr>
        <w:tabs>
          <w:tab w:val="left" w:pos="8782"/>
        </w:tabs>
        <w:snapToGrid w:val="0"/>
        <w:spacing w:line="360" w:lineRule="auto"/>
        <w:ind w:firstLine="283" w:firstLineChars="118"/>
        <w:rPr>
          <w:rFonts w:ascii="宋体" w:hAnsi="宋体"/>
          <w:sz w:val="24"/>
          <w:szCs w:val="24"/>
        </w:rPr>
      </w:pPr>
      <w:r>
        <w:rPr>
          <w:rFonts w:hint="eastAsia" w:ascii="宋体" w:hAnsi="宋体"/>
          <w:sz w:val="24"/>
          <w:szCs w:val="24"/>
        </w:rPr>
        <w:t xml:space="preserve">  2. 供应商应提供双方签订的合同（合同复印件加盖公章装订在响应文件中）。 </w:t>
      </w:r>
    </w:p>
    <w:p>
      <w:pPr>
        <w:tabs>
          <w:tab w:val="left" w:pos="8782"/>
        </w:tabs>
        <w:snapToGrid w:val="0"/>
        <w:spacing w:line="360" w:lineRule="auto"/>
        <w:ind w:firstLine="283" w:firstLineChars="118"/>
        <w:rPr>
          <w:rFonts w:ascii="宋体" w:hAnsi="宋体"/>
          <w:sz w:val="24"/>
          <w:szCs w:val="24"/>
        </w:rPr>
      </w:pPr>
      <w:r>
        <w:rPr>
          <w:rFonts w:hint="eastAsia" w:ascii="宋体" w:hAnsi="宋体"/>
          <w:sz w:val="24"/>
          <w:szCs w:val="24"/>
        </w:rPr>
        <w:t xml:space="preserve">  3.携带业绩合同原件以备查验（查验时未提供原件者评审时不得分）。</w:t>
      </w:r>
    </w:p>
    <w:p>
      <w:pPr>
        <w:spacing w:line="360" w:lineRule="auto"/>
        <w:ind w:firstLine="424" w:firstLineChars="177"/>
        <w:jc w:val="left"/>
        <w:rPr>
          <w:rFonts w:ascii="宋体" w:hAnsi="宋体"/>
          <w:sz w:val="24"/>
          <w:szCs w:val="24"/>
        </w:rPr>
      </w:pPr>
    </w:p>
    <w:p>
      <w:pPr>
        <w:rPr>
          <w:rFonts w:ascii="宋体" w:hAnsi="宋体"/>
          <w:sz w:val="24"/>
          <w:szCs w:val="24"/>
        </w:rPr>
      </w:pPr>
      <w:r>
        <w:rPr>
          <w:rFonts w:hint="eastAsia" w:ascii="宋体" w:hAnsi="宋体"/>
          <w:sz w:val="24"/>
          <w:szCs w:val="24"/>
        </w:rPr>
        <w:t>法定代表人或被授权人：(签字或盖章)</w:t>
      </w:r>
    </w:p>
    <w:p>
      <w:pPr>
        <w:rPr>
          <w:rFonts w:ascii="宋体" w:hAnsi="宋体"/>
          <w:sz w:val="24"/>
          <w:szCs w:val="24"/>
        </w:rPr>
      </w:pPr>
    </w:p>
    <w:p>
      <w:pPr>
        <w:rPr>
          <w:rFonts w:ascii="宋体" w:hAnsi="宋体"/>
          <w:sz w:val="24"/>
          <w:szCs w:val="24"/>
        </w:rPr>
      </w:pPr>
      <w:r>
        <w:rPr>
          <w:rFonts w:hint="eastAsia" w:ascii="宋体" w:hAnsi="宋体"/>
          <w:sz w:val="24"/>
          <w:szCs w:val="24"/>
        </w:rPr>
        <w:t>供应商名称（公章）：</w:t>
      </w:r>
    </w:p>
    <w:p>
      <w:pPr>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日    期：    年     月    日  </w:t>
      </w:r>
    </w:p>
    <w:p>
      <w:pPr>
        <w:widowControl/>
        <w:jc w:val="left"/>
        <w:rPr>
          <w:rFonts w:ascii="Calibri Light" w:hAnsi="Calibri Light"/>
          <w:b/>
          <w:bCs/>
          <w:sz w:val="32"/>
          <w:szCs w:val="32"/>
        </w:rPr>
      </w:pPr>
      <w:r>
        <w:rPr>
          <w:rFonts w:ascii="Calibri Light" w:hAnsi="Calibri Light"/>
        </w:rPr>
        <w:br w:type="page"/>
      </w:r>
    </w:p>
    <w:p>
      <w:pPr>
        <w:pStyle w:val="40"/>
        <w:ind w:firstLine="560"/>
        <w:rPr>
          <w:rFonts w:ascii="Calibri Light" w:hAnsi="Calibri Light"/>
        </w:rPr>
      </w:pPr>
      <w:bookmarkStart w:id="305" w:name="_Toc57822502"/>
      <w:r>
        <w:rPr>
          <w:rFonts w:hint="eastAsia" w:ascii="Calibri Light" w:hAnsi="Calibri Light"/>
        </w:rPr>
        <w:t>七、响应方案</w:t>
      </w:r>
      <w:bookmarkEnd w:id="305"/>
    </w:p>
    <w:p>
      <w:pPr>
        <w:spacing w:line="360" w:lineRule="auto"/>
        <w:ind w:firstLine="480" w:firstLineChars="200"/>
        <w:rPr>
          <w:rFonts w:ascii="宋体" w:hAnsi="宋体"/>
          <w:sz w:val="24"/>
          <w:szCs w:val="24"/>
        </w:rPr>
      </w:pPr>
      <w:r>
        <w:rPr>
          <w:rFonts w:hint="eastAsia" w:ascii="宋体" w:hAnsi="宋体"/>
          <w:sz w:val="24"/>
          <w:szCs w:val="24"/>
        </w:rPr>
        <w:t>按照磋商文件的要求编制的响应方案说明书，内容至少应包括如下：</w:t>
      </w:r>
    </w:p>
    <w:p>
      <w:pPr>
        <w:pStyle w:val="53"/>
        <w:numPr>
          <w:ilvl w:val="0"/>
          <w:numId w:val="2"/>
        </w:numPr>
        <w:kinsoku w:val="0"/>
        <w:spacing w:line="360" w:lineRule="auto"/>
        <w:ind w:firstLineChars="0"/>
        <w:rPr>
          <w:rFonts w:ascii="宋体" w:hAnsi="宋体"/>
          <w:sz w:val="24"/>
          <w:szCs w:val="24"/>
        </w:rPr>
      </w:pPr>
      <w:r>
        <w:rPr>
          <w:rFonts w:hint="eastAsia" w:ascii="宋体" w:hAnsi="宋体"/>
          <w:sz w:val="24"/>
          <w:szCs w:val="24"/>
        </w:rPr>
        <w:t>供应商企业简介。（格式自行编写）</w:t>
      </w:r>
    </w:p>
    <w:p>
      <w:pPr>
        <w:pStyle w:val="53"/>
        <w:numPr>
          <w:ilvl w:val="0"/>
          <w:numId w:val="2"/>
        </w:numPr>
        <w:kinsoku w:val="0"/>
        <w:spacing w:line="360" w:lineRule="auto"/>
        <w:ind w:firstLineChars="0"/>
        <w:rPr>
          <w:rFonts w:ascii="宋体" w:hAnsi="宋体"/>
          <w:sz w:val="24"/>
          <w:szCs w:val="24"/>
        </w:rPr>
      </w:pPr>
      <w:r>
        <w:rPr>
          <w:rFonts w:hint="eastAsia" w:ascii="宋体" w:hAnsi="宋体"/>
          <w:sz w:val="24"/>
          <w:szCs w:val="24"/>
        </w:rPr>
        <w:t>供应商完成项目的组织机构、实施计划。</w:t>
      </w:r>
    </w:p>
    <w:p>
      <w:pPr>
        <w:pStyle w:val="53"/>
        <w:numPr>
          <w:ilvl w:val="0"/>
          <w:numId w:val="2"/>
        </w:numPr>
        <w:kinsoku w:val="0"/>
        <w:spacing w:line="360" w:lineRule="auto"/>
        <w:ind w:firstLineChars="0"/>
        <w:rPr>
          <w:rFonts w:ascii="宋体" w:hAnsi="宋体"/>
          <w:sz w:val="24"/>
          <w:szCs w:val="24"/>
        </w:rPr>
      </w:pPr>
      <w:r>
        <w:rPr>
          <w:rFonts w:hint="eastAsia" w:ascii="宋体" w:hAnsi="宋体"/>
          <w:sz w:val="24"/>
          <w:szCs w:val="24"/>
        </w:rPr>
        <w:t>供应商完成项目保障能力。</w:t>
      </w:r>
    </w:p>
    <w:p>
      <w:pPr>
        <w:pStyle w:val="53"/>
        <w:numPr>
          <w:ilvl w:val="0"/>
          <w:numId w:val="2"/>
        </w:numPr>
        <w:kinsoku w:val="0"/>
        <w:spacing w:line="360" w:lineRule="auto"/>
        <w:ind w:firstLineChars="0"/>
        <w:rPr>
          <w:rFonts w:ascii="宋体" w:hAnsi="宋体"/>
          <w:sz w:val="24"/>
          <w:szCs w:val="24"/>
        </w:rPr>
      </w:pPr>
      <w:r>
        <w:rPr>
          <w:rFonts w:hint="eastAsia" w:ascii="宋体" w:hAnsi="宋体"/>
          <w:sz w:val="24"/>
          <w:szCs w:val="24"/>
        </w:rPr>
        <w:t>响应项目的服务质量标准及服务标准。</w:t>
      </w:r>
    </w:p>
    <w:p>
      <w:pPr>
        <w:pStyle w:val="53"/>
        <w:numPr>
          <w:ilvl w:val="0"/>
          <w:numId w:val="2"/>
        </w:numPr>
        <w:spacing w:line="360" w:lineRule="auto"/>
        <w:ind w:firstLineChars="0"/>
        <w:rPr>
          <w:rFonts w:ascii="宋体" w:hAnsi="宋体"/>
          <w:sz w:val="24"/>
          <w:szCs w:val="24"/>
        </w:rPr>
      </w:pPr>
      <w:r>
        <w:rPr>
          <w:rFonts w:hint="eastAsia" w:ascii="宋体" w:hAnsi="宋体"/>
          <w:sz w:val="24"/>
          <w:szCs w:val="24"/>
        </w:rPr>
        <w:t>人员配备。</w:t>
      </w:r>
    </w:p>
    <w:p>
      <w:pPr>
        <w:pStyle w:val="53"/>
        <w:numPr>
          <w:ilvl w:val="0"/>
          <w:numId w:val="2"/>
        </w:numPr>
        <w:spacing w:line="360" w:lineRule="auto"/>
        <w:ind w:firstLineChars="0"/>
        <w:rPr>
          <w:rFonts w:ascii="宋体" w:hAnsi="宋体"/>
          <w:sz w:val="24"/>
          <w:szCs w:val="24"/>
        </w:rPr>
      </w:pPr>
      <w:r>
        <w:rPr>
          <w:rFonts w:hint="eastAsia" w:ascii="宋体" w:hAnsi="宋体"/>
          <w:sz w:val="24"/>
          <w:szCs w:val="24"/>
        </w:rPr>
        <w:t>进度计划及保证措施。</w:t>
      </w:r>
    </w:p>
    <w:p>
      <w:pPr>
        <w:pStyle w:val="53"/>
        <w:numPr>
          <w:ilvl w:val="0"/>
          <w:numId w:val="2"/>
        </w:numPr>
        <w:spacing w:line="360" w:lineRule="auto"/>
        <w:ind w:firstLineChars="0"/>
        <w:rPr>
          <w:rFonts w:ascii="宋体" w:hAnsi="宋体"/>
          <w:sz w:val="24"/>
          <w:szCs w:val="24"/>
        </w:rPr>
      </w:pPr>
      <w:r>
        <w:rPr>
          <w:rFonts w:hint="eastAsia" w:ascii="宋体" w:hAnsi="宋体"/>
          <w:sz w:val="24"/>
          <w:szCs w:val="24"/>
        </w:rPr>
        <w:t>服务承诺。</w:t>
      </w:r>
    </w:p>
    <w:p>
      <w:pPr>
        <w:spacing w:line="360" w:lineRule="auto"/>
        <w:rPr>
          <w:rFonts w:ascii="宋体" w:hAnsi="宋体"/>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rPr>
          <w:rFonts w:ascii="宋体" w:hAnsi="宋体"/>
          <w:sz w:val="24"/>
          <w:szCs w:val="24"/>
        </w:rPr>
      </w:pPr>
      <w:r>
        <w:rPr>
          <w:rFonts w:hint="eastAsia" w:ascii="宋体" w:hAnsi="宋体"/>
          <w:sz w:val="24"/>
          <w:szCs w:val="24"/>
        </w:rPr>
        <w:t>法定代表人或被授权人：(签字或盖章)</w:t>
      </w:r>
    </w:p>
    <w:p>
      <w:pPr>
        <w:tabs>
          <w:tab w:val="left" w:pos="3045"/>
        </w:tabs>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供应商名称（公章）：</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日    期：    年     月    日  </w:t>
      </w:r>
    </w:p>
    <w:p>
      <w:pPr>
        <w:spacing w:line="360" w:lineRule="auto"/>
        <w:ind w:firstLine="480" w:firstLineChars="200"/>
        <w:rPr>
          <w:sz w:val="24"/>
          <w:szCs w:val="24"/>
        </w:rPr>
      </w:pPr>
    </w:p>
    <w:p>
      <w:pPr>
        <w:spacing w:line="480" w:lineRule="auto"/>
        <w:ind w:firstLine="480" w:firstLineChars="200"/>
        <w:rPr>
          <w:sz w:val="24"/>
          <w:szCs w:val="24"/>
        </w:rPr>
      </w:pPr>
    </w:p>
    <w:p>
      <w:pPr>
        <w:widowControl/>
        <w:jc w:val="left"/>
        <w:rPr>
          <w:rFonts w:ascii="Calibri Light" w:hAnsi="Calibri Light"/>
        </w:rPr>
      </w:pPr>
      <w:r>
        <w:rPr>
          <w:rFonts w:ascii="Calibri Light" w:hAnsi="Calibri Light"/>
        </w:rPr>
        <w:br w:type="page"/>
      </w:r>
    </w:p>
    <w:p>
      <w:pPr>
        <w:spacing w:after="120"/>
        <w:outlineLvl w:val="0"/>
        <w:rPr>
          <w:rFonts w:ascii="宋体" w:hAnsi="宋体" w:cs="楷体"/>
          <w:sz w:val="28"/>
          <w:szCs w:val="28"/>
        </w:rPr>
      </w:pPr>
      <w:bookmarkStart w:id="306" w:name="_Toc29908"/>
      <w:bookmarkStart w:id="307" w:name="_Toc24665"/>
      <w:bookmarkStart w:id="308" w:name="_Toc25318"/>
      <w:bookmarkStart w:id="309" w:name="_Toc1959"/>
      <w:bookmarkStart w:id="310" w:name="_Toc56609501"/>
      <w:bookmarkStart w:id="311" w:name="_Toc52367684"/>
      <w:bookmarkStart w:id="312" w:name="_Toc52367767"/>
      <w:bookmarkStart w:id="313" w:name="_Toc57822503"/>
      <w:r>
        <w:rPr>
          <w:rFonts w:hint="eastAsia" w:ascii="宋体" w:hAnsi="宋体" w:cs="楷体"/>
          <w:b/>
          <w:sz w:val="28"/>
          <w:szCs w:val="28"/>
        </w:rPr>
        <w:t>附表</w:t>
      </w:r>
      <w:bookmarkEnd w:id="306"/>
      <w:bookmarkEnd w:id="307"/>
      <w:bookmarkEnd w:id="308"/>
      <w:bookmarkEnd w:id="309"/>
      <w:r>
        <w:rPr>
          <w:rFonts w:hint="eastAsia" w:ascii="宋体" w:hAnsi="宋体" w:cs="楷体"/>
          <w:b/>
          <w:sz w:val="28"/>
          <w:szCs w:val="28"/>
        </w:rPr>
        <w:t>：</w:t>
      </w:r>
      <w:bookmarkEnd w:id="310"/>
      <w:bookmarkEnd w:id="311"/>
      <w:bookmarkEnd w:id="312"/>
      <w:bookmarkEnd w:id="313"/>
    </w:p>
    <w:p>
      <w:pPr>
        <w:pStyle w:val="68"/>
        <w:spacing w:line="400" w:lineRule="exact"/>
        <w:ind w:firstLine="0" w:firstLineChars="0"/>
        <w:jc w:val="center"/>
        <w:outlineLvl w:val="9"/>
        <w:rPr>
          <w:rFonts w:hAnsi="宋体" w:cs="楷体"/>
          <w:color w:val="auto"/>
          <w:sz w:val="28"/>
          <w:szCs w:val="28"/>
        </w:rPr>
      </w:pPr>
      <w:bookmarkStart w:id="314" w:name="_Toc225410182"/>
      <w:bookmarkStart w:id="315" w:name="_Toc341541376"/>
      <w:bookmarkStart w:id="316" w:name="_Toc14010"/>
      <w:bookmarkStart w:id="317" w:name="_Toc16685"/>
      <w:bookmarkStart w:id="318" w:name="_Toc225567482"/>
      <w:bookmarkStart w:id="319" w:name="_Toc225566883"/>
      <w:bookmarkStart w:id="320" w:name="_Toc396304715"/>
      <w:bookmarkStart w:id="321" w:name="_Toc403077653"/>
      <w:bookmarkStart w:id="322" w:name="_Toc225410808"/>
      <w:bookmarkStart w:id="323" w:name="_Toc26060"/>
      <w:bookmarkStart w:id="324" w:name="_Toc225415660"/>
      <w:bookmarkStart w:id="325" w:name="_Toc225412172"/>
      <w:bookmarkStart w:id="326" w:name="_Toc225415861"/>
      <w:bookmarkStart w:id="327" w:name="_Toc225409966"/>
      <w:bookmarkStart w:id="328" w:name="_Toc56609502"/>
      <w:bookmarkStart w:id="329" w:name="_Toc8175"/>
      <w:bookmarkStart w:id="330" w:name="_Toc4548"/>
      <w:bookmarkStart w:id="331" w:name="_Toc52367768"/>
      <w:bookmarkStart w:id="332" w:name="_Toc52367685"/>
      <w:bookmarkStart w:id="333" w:name="_Toc57822504"/>
      <w:bookmarkStart w:id="334" w:name="_Toc15882"/>
      <w:bookmarkStart w:id="335" w:name="_Toc23662"/>
      <w:bookmarkStart w:id="336" w:name="_Toc225566702"/>
      <w:bookmarkStart w:id="337" w:name="_Toc225416062"/>
      <w:bookmarkStart w:id="338" w:name="_Toc225412374"/>
      <w:bookmarkStart w:id="339" w:name="_Toc426457711"/>
      <w:bookmarkStart w:id="340" w:name="_Toc25551"/>
      <w:bookmarkStart w:id="341" w:name="_Toc4115"/>
      <w:bookmarkStart w:id="342" w:name="_Toc17592"/>
      <w:bookmarkStart w:id="343" w:name="_Toc403077652"/>
      <w:bookmarkStart w:id="344" w:name="_Toc2768"/>
      <w:bookmarkStart w:id="345" w:name="_Toc396304714"/>
      <w:bookmarkStart w:id="346" w:name="_Toc14631"/>
      <w:bookmarkStart w:id="347" w:name="_Toc426457710"/>
      <w:bookmarkStart w:id="348" w:name="_Toc214"/>
      <w:r>
        <w:rPr>
          <w:rFonts w:hint="eastAsia" w:hAnsi="宋体" w:cs="楷体"/>
          <w:color w:val="auto"/>
          <w:sz w:val="28"/>
          <w:szCs w:val="28"/>
        </w:rPr>
        <w:t>1.本项目拟派主要人员简历表</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pPr>
        <w:pStyle w:val="68"/>
        <w:spacing w:line="400" w:lineRule="exact"/>
        <w:ind w:firstLine="0" w:firstLineChars="0"/>
        <w:jc w:val="left"/>
        <w:outlineLvl w:val="9"/>
        <w:rPr>
          <w:rFonts w:hAnsi="宋体" w:cs="楷体"/>
          <w:b w:val="0"/>
          <w:color w:val="auto"/>
          <w:szCs w:val="24"/>
        </w:rPr>
      </w:pPr>
      <w:bookmarkStart w:id="349" w:name="_Toc52367686"/>
      <w:bookmarkStart w:id="350" w:name="_Toc52367769"/>
      <w:bookmarkStart w:id="351" w:name="_Toc56609503"/>
      <w:bookmarkStart w:id="352" w:name="_Toc57822505"/>
      <w:r>
        <w:rPr>
          <w:rFonts w:hint="eastAsia" w:hAnsi="宋体" w:cs="楷体"/>
          <w:b w:val="0"/>
          <w:color w:val="auto"/>
          <w:szCs w:val="24"/>
        </w:rPr>
        <w:t>项目名称：                                         采购编号：</w:t>
      </w:r>
      <w:bookmarkEnd w:id="349"/>
      <w:bookmarkEnd w:id="350"/>
      <w:bookmarkEnd w:id="351"/>
      <w:bookmarkEnd w:id="352"/>
    </w:p>
    <w:tbl>
      <w:tblPr>
        <w:tblStyle w:val="2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9"/>
        <w:gridCol w:w="282"/>
        <w:gridCol w:w="1617"/>
        <w:gridCol w:w="1038"/>
        <w:gridCol w:w="525"/>
        <w:gridCol w:w="783"/>
        <w:gridCol w:w="581"/>
        <w:gridCol w:w="1309"/>
        <w:gridCol w:w="442"/>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81" w:type="pct"/>
            <w:gridSpan w:val="2"/>
            <w:vAlign w:val="center"/>
          </w:tcPr>
          <w:p>
            <w:pPr>
              <w:pStyle w:val="69"/>
              <w:spacing w:line="400" w:lineRule="exact"/>
              <w:ind w:left="0" w:leftChars="0"/>
              <w:rPr>
                <w:rFonts w:hAnsi="宋体" w:cs="楷体"/>
              </w:rPr>
            </w:pPr>
            <w:r>
              <w:rPr>
                <w:rFonts w:hint="eastAsia" w:hAnsi="宋体" w:cs="楷体"/>
              </w:rPr>
              <w:t>姓  名</w:t>
            </w:r>
          </w:p>
        </w:tc>
        <w:tc>
          <w:tcPr>
            <w:tcW w:w="871" w:type="pct"/>
            <w:vAlign w:val="center"/>
          </w:tcPr>
          <w:p>
            <w:pPr>
              <w:pStyle w:val="69"/>
              <w:spacing w:line="400" w:lineRule="exact"/>
              <w:ind w:left="0" w:leftChars="0"/>
              <w:rPr>
                <w:rFonts w:hAnsi="宋体" w:cs="楷体"/>
              </w:rPr>
            </w:pPr>
          </w:p>
        </w:tc>
        <w:tc>
          <w:tcPr>
            <w:tcW w:w="842" w:type="pct"/>
            <w:gridSpan w:val="2"/>
            <w:vAlign w:val="center"/>
          </w:tcPr>
          <w:p>
            <w:pPr>
              <w:pStyle w:val="69"/>
              <w:spacing w:line="400" w:lineRule="exact"/>
              <w:ind w:left="0" w:leftChars="0"/>
              <w:rPr>
                <w:rFonts w:hAnsi="宋体" w:cs="楷体"/>
              </w:rPr>
            </w:pPr>
            <w:r>
              <w:rPr>
                <w:rFonts w:hint="eastAsia" w:hAnsi="宋体" w:cs="楷体"/>
              </w:rPr>
              <w:t>性 别</w:t>
            </w:r>
          </w:p>
        </w:tc>
        <w:tc>
          <w:tcPr>
            <w:tcW w:w="735" w:type="pct"/>
            <w:gridSpan w:val="2"/>
            <w:vAlign w:val="center"/>
          </w:tcPr>
          <w:p>
            <w:pPr>
              <w:pStyle w:val="69"/>
              <w:spacing w:line="400" w:lineRule="exact"/>
              <w:ind w:left="0" w:leftChars="0"/>
              <w:rPr>
                <w:rFonts w:hAnsi="宋体" w:cs="楷体"/>
              </w:rPr>
            </w:pPr>
          </w:p>
        </w:tc>
        <w:tc>
          <w:tcPr>
            <w:tcW w:w="943" w:type="pct"/>
            <w:gridSpan w:val="2"/>
            <w:vAlign w:val="center"/>
          </w:tcPr>
          <w:p>
            <w:pPr>
              <w:pStyle w:val="69"/>
              <w:spacing w:line="400" w:lineRule="exact"/>
              <w:ind w:left="0" w:leftChars="0"/>
              <w:rPr>
                <w:rFonts w:hAnsi="宋体" w:cs="楷体"/>
              </w:rPr>
            </w:pPr>
            <w:r>
              <w:rPr>
                <w:rFonts w:hint="eastAsia" w:hAnsi="宋体" w:cs="楷体"/>
              </w:rPr>
              <w:t>年 龄</w:t>
            </w:r>
          </w:p>
        </w:tc>
        <w:tc>
          <w:tcPr>
            <w:tcW w:w="629" w:type="pct"/>
            <w:vAlign w:val="center"/>
          </w:tcPr>
          <w:p>
            <w:pPr>
              <w:pStyle w:val="69"/>
              <w:spacing w:line="400" w:lineRule="exact"/>
              <w:ind w:left="0" w:leftChars="0" w:firstLine="480" w:firstLineChars="20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981" w:type="pct"/>
            <w:gridSpan w:val="2"/>
            <w:vAlign w:val="center"/>
          </w:tcPr>
          <w:p>
            <w:pPr>
              <w:pStyle w:val="69"/>
              <w:spacing w:line="400" w:lineRule="exact"/>
              <w:ind w:left="0" w:leftChars="0"/>
              <w:rPr>
                <w:rFonts w:hAnsi="宋体" w:cs="楷体"/>
              </w:rPr>
            </w:pPr>
            <w:r>
              <w:rPr>
                <w:rFonts w:hint="eastAsia" w:hAnsi="宋体" w:cs="楷体"/>
              </w:rPr>
              <w:t>职  称</w:t>
            </w:r>
          </w:p>
        </w:tc>
        <w:tc>
          <w:tcPr>
            <w:tcW w:w="871" w:type="pct"/>
            <w:vAlign w:val="center"/>
          </w:tcPr>
          <w:p>
            <w:pPr>
              <w:pStyle w:val="69"/>
              <w:spacing w:line="400" w:lineRule="exact"/>
              <w:ind w:left="0" w:leftChars="0"/>
              <w:rPr>
                <w:rFonts w:hAnsi="宋体" w:cs="楷体"/>
              </w:rPr>
            </w:pPr>
          </w:p>
        </w:tc>
        <w:tc>
          <w:tcPr>
            <w:tcW w:w="842" w:type="pct"/>
            <w:gridSpan w:val="2"/>
            <w:vAlign w:val="center"/>
          </w:tcPr>
          <w:p>
            <w:pPr>
              <w:pStyle w:val="69"/>
              <w:spacing w:line="400" w:lineRule="exact"/>
              <w:ind w:left="0" w:leftChars="0"/>
              <w:rPr>
                <w:rFonts w:hAnsi="宋体" w:cs="楷体"/>
              </w:rPr>
            </w:pPr>
            <w:r>
              <w:rPr>
                <w:rFonts w:hint="eastAsia" w:hAnsi="宋体" w:cs="楷体"/>
              </w:rPr>
              <w:t>身份证号</w:t>
            </w:r>
          </w:p>
        </w:tc>
        <w:tc>
          <w:tcPr>
            <w:tcW w:w="735" w:type="pct"/>
            <w:gridSpan w:val="2"/>
            <w:vAlign w:val="center"/>
          </w:tcPr>
          <w:p>
            <w:pPr>
              <w:pStyle w:val="69"/>
              <w:spacing w:line="400" w:lineRule="exact"/>
              <w:ind w:left="0" w:leftChars="0"/>
              <w:rPr>
                <w:rFonts w:hAnsi="宋体" w:cs="楷体"/>
              </w:rPr>
            </w:pPr>
          </w:p>
        </w:tc>
        <w:tc>
          <w:tcPr>
            <w:tcW w:w="943" w:type="pct"/>
            <w:gridSpan w:val="2"/>
            <w:vAlign w:val="center"/>
          </w:tcPr>
          <w:p>
            <w:pPr>
              <w:pStyle w:val="69"/>
              <w:spacing w:line="400" w:lineRule="exact"/>
              <w:ind w:left="0" w:leftChars="0"/>
              <w:rPr>
                <w:rFonts w:hAnsi="宋体" w:cs="楷体"/>
              </w:rPr>
            </w:pPr>
            <w:r>
              <w:rPr>
                <w:rFonts w:hint="eastAsia" w:hAnsi="宋体" w:cs="楷体"/>
              </w:rPr>
              <w:t>专业/年限</w:t>
            </w:r>
          </w:p>
        </w:tc>
        <w:tc>
          <w:tcPr>
            <w:tcW w:w="629" w:type="pct"/>
            <w:vAlign w:val="center"/>
          </w:tcPr>
          <w:p>
            <w:pPr>
              <w:pStyle w:val="69"/>
              <w:spacing w:line="400" w:lineRule="exact"/>
              <w:ind w:left="0" w:leftChars="0" w:firstLine="480" w:firstLineChars="20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81" w:type="pct"/>
            <w:gridSpan w:val="2"/>
            <w:vAlign w:val="center"/>
          </w:tcPr>
          <w:p>
            <w:pPr>
              <w:pStyle w:val="69"/>
              <w:spacing w:line="400" w:lineRule="exact"/>
              <w:ind w:left="0" w:leftChars="0"/>
              <w:rPr>
                <w:rFonts w:hAnsi="宋体" w:cs="楷体"/>
              </w:rPr>
            </w:pPr>
            <w:r>
              <w:rPr>
                <w:rFonts w:hint="eastAsia" w:hAnsi="宋体" w:cs="楷体"/>
              </w:rPr>
              <w:t>毕业时间</w:t>
            </w:r>
          </w:p>
        </w:tc>
        <w:tc>
          <w:tcPr>
            <w:tcW w:w="871" w:type="pct"/>
            <w:vAlign w:val="center"/>
          </w:tcPr>
          <w:p>
            <w:pPr>
              <w:pStyle w:val="69"/>
              <w:spacing w:line="400" w:lineRule="exact"/>
              <w:ind w:left="0" w:leftChars="0"/>
              <w:rPr>
                <w:rFonts w:hAnsi="宋体" w:cs="楷体"/>
              </w:rPr>
            </w:pPr>
          </w:p>
        </w:tc>
        <w:tc>
          <w:tcPr>
            <w:tcW w:w="842" w:type="pct"/>
            <w:gridSpan w:val="2"/>
            <w:vAlign w:val="center"/>
          </w:tcPr>
          <w:p>
            <w:pPr>
              <w:pStyle w:val="69"/>
              <w:spacing w:line="400" w:lineRule="exact"/>
              <w:ind w:left="0" w:leftChars="0"/>
              <w:rPr>
                <w:rFonts w:hAnsi="宋体" w:cs="楷体"/>
              </w:rPr>
            </w:pPr>
            <w:r>
              <w:rPr>
                <w:rFonts w:hint="eastAsia" w:hAnsi="宋体" w:cs="楷体"/>
              </w:rPr>
              <w:t>毕业学校</w:t>
            </w:r>
          </w:p>
        </w:tc>
        <w:tc>
          <w:tcPr>
            <w:tcW w:w="735" w:type="pct"/>
            <w:gridSpan w:val="2"/>
            <w:vAlign w:val="center"/>
          </w:tcPr>
          <w:p>
            <w:pPr>
              <w:pStyle w:val="69"/>
              <w:spacing w:line="400" w:lineRule="exact"/>
              <w:ind w:left="0" w:leftChars="0"/>
              <w:rPr>
                <w:rFonts w:hAnsi="宋体" w:cs="楷体"/>
              </w:rPr>
            </w:pPr>
          </w:p>
        </w:tc>
        <w:tc>
          <w:tcPr>
            <w:tcW w:w="943" w:type="pct"/>
            <w:gridSpan w:val="2"/>
            <w:vAlign w:val="center"/>
          </w:tcPr>
          <w:p>
            <w:pPr>
              <w:pStyle w:val="69"/>
              <w:spacing w:line="400" w:lineRule="exact"/>
              <w:ind w:left="0" w:leftChars="0"/>
              <w:rPr>
                <w:rFonts w:hAnsi="宋体" w:cs="楷体"/>
              </w:rPr>
            </w:pPr>
            <w:r>
              <w:rPr>
                <w:rFonts w:hint="eastAsia" w:hAnsi="宋体" w:cs="楷体"/>
              </w:rPr>
              <w:t>学历/专业</w:t>
            </w:r>
          </w:p>
        </w:tc>
        <w:tc>
          <w:tcPr>
            <w:tcW w:w="629" w:type="pct"/>
            <w:vAlign w:val="center"/>
          </w:tcPr>
          <w:p>
            <w:pPr>
              <w:pStyle w:val="69"/>
              <w:spacing w:line="400" w:lineRule="exact"/>
              <w:ind w:left="0" w:leftChars="0" w:firstLine="480" w:firstLineChars="20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81" w:type="pct"/>
            <w:gridSpan w:val="2"/>
            <w:vAlign w:val="center"/>
          </w:tcPr>
          <w:p>
            <w:pPr>
              <w:pStyle w:val="69"/>
              <w:spacing w:line="400" w:lineRule="exact"/>
              <w:ind w:left="0" w:leftChars="0"/>
              <w:rPr>
                <w:rFonts w:hAnsi="宋体" w:cs="楷体"/>
              </w:rPr>
            </w:pPr>
            <w:r>
              <w:rPr>
                <w:rFonts w:hint="eastAsia" w:hAnsi="宋体" w:cs="楷体"/>
              </w:rPr>
              <w:t>资格证书</w:t>
            </w:r>
          </w:p>
        </w:tc>
        <w:tc>
          <w:tcPr>
            <w:tcW w:w="871" w:type="pct"/>
            <w:vAlign w:val="center"/>
          </w:tcPr>
          <w:p>
            <w:pPr>
              <w:pStyle w:val="69"/>
              <w:spacing w:line="400" w:lineRule="exact"/>
              <w:ind w:left="0" w:leftChars="0"/>
              <w:rPr>
                <w:rFonts w:hAnsi="宋体" w:cs="楷体"/>
              </w:rPr>
            </w:pPr>
          </w:p>
        </w:tc>
        <w:tc>
          <w:tcPr>
            <w:tcW w:w="842" w:type="pct"/>
            <w:gridSpan w:val="2"/>
            <w:vAlign w:val="center"/>
          </w:tcPr>
          <w:p>
            <w:pPr>
              <w:pStyle w:val="69"/>
              <w:spacing w:line="400" w:lineRule="exact"/>
              <w:ind w:left="0" w:leftChars="0"/>
              <w:rPr>
                <w:rFonts w:hAnsi="宋体" w:cs="楷体"/>
              </w:rPr>
            </w:pPr>
            <w:r>
              <w:rPr>
                <w:rFonts w:hint="eastAsia" w:hAnsi="宋体" w:cs="楷体"/>
              </w:rPr>
              <w:t>注册时间</w:t>
            </w:r>
          </w:p>
        </w:tc>
        <w:tc>
          <w:tcPr>
            <w:tcW w:w="735" w:type="pct"/>
            <w:gridSpan w:val="2"/>
            <w:vAlign w:val="center"/>
          </w:tcPr>
          <w:p>
            <w:pPr>
              <w:pStyle w:val="69"/>
              <w:spacing w:line="400" w:lineRule="exact"/>
              <w:ind w:left="0" w:leftChars="0"/>
              <w:rPr>
                <w:rFonts w:hAnsi="宋体" w:cs="楷体"/>
              </w:rPr>
            </w:pPr>
          </w:p>
        </w:tc>
        <w:tc>
          <w:tcPr>
            <w:tcW w:w="943" w:type="pct"/>
            <w:gridSpan w:val="2"/>
            <w:vAlign w:val="center"/>
          </w:tcPr>
          <w:p>
            <w:pPr>
              <w:pStyle w:val="69"/>
              <w:spacing w:line="400" w:lineRule="exact"/>
              <w:ind w:left="0" w:leftChars="0"/>
              <w:rPr>
                <w:rFonts w:hAnsi="宋体" w:cs="楷体"/>
              </w:rPr>
            </w:pPr>
            <w:r>
              <w:rPr>
                <w:rFonts w:hint="eastAsia" w:hAnsi="宋体" w:cs="楷体"/>
              </w:rPr>
              <w:t>从业时间</w:t>
            </w:r>
          </w:p>
        </w:tc>
        <w:tc>
          <w:tcPr>
            <w:tcW w:w="629" w:type="pct"/>
            <w:vAlign w:val="center"/>
          </w:tcPr>
          <w:p>
            <w:pPr>
              <w:pStyle w:val="69"/>
              <w:spacing w:line="400" w:lineRule="exact"/>
              <w:ind w:left="0" w:leftChars="0" w:firstLine="480" w:firstLineChars="20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852" w:type="pct"/>
            <w:gridSpan w:val="3"/>
            <w:vAlign w:val="center"/>
          </w:tcPr>
          <w:p>
            <w:pPr>
              <w:pStyle w:val="69"/>
              <w:spacing w:line="400" w:lineRule="exact"/>
              <w:ind w:left="0" w:leftChars="0"/>
              <w:rPr>
                <w:rFonts w:hAnsi="宋体" w:cs="楷体"/>
              </w:rPr>
            </w:pPr>
            <w:r>
              <w:rPr>
                <w:rFonts w:hint="eastAsia" w:hAnsi="宋体" w:cs="楷体"/>
              </w:rPr>
              <w:t>是否属供应商固定雇员</w:t>
            </w:r>
          </w:p>
        </w:tc>
        <w:tc>
          <w:tcPr>
            <w:tcW w:w="842" w:type="pct"/>
            <w:gridSpan w:val="2"/>
            <w:vAlign w:val="center"/>
          </w:tcPr>
          <w:p>
            <w:pPr>
              <w:pStyle w:val="69"/>
              <w:spacing w:line="400" w:lineRule="exact"/>
              <w:ind w:left="0" w:leftChars="0"/>
              <w:rPr>
                <w:rFonts w:hAnsi="宋体" w:cs="楷体"/>
              </w:rPr>
            </w:pPr>
          </w:p>
        </w:tc>
        <w:tc>
          <w:tcPr>
            <w:tcW w:w="1678" w:type="pct"/>
            <w:gridSpan w:val="4"/>
            <w:vAlign w:val="center"/>
          </w:tcPr>
          <w:p>
            <w:pPr>
              <w:pStyle w:val="69"/>
              <w:spacing w:line="400" w:lineRule="exact"/>
              <w:ind w:left="0" w:leftChars="0"/>
              <w:rPr>
                <w:rFonts w:hAnsi="宋体" w:cs="楷体"/>
              </w:rPr>
            </w:pPr>
            <w:r>
              <w:rPr>
                <w:rFonts w:hint="eastAsia" w:hAnsi="宋体" w:cs="楷体"/>
              </w:rPr>
              <w:t>为供应商服务时间</w:t>
            </w:r>
          </w:p>
        </w:tc>
        <w:tc>
          <w:tcPr>
            <w:tcW w:w="629" w:type="pct"/>
            <w:vAlign w:val="center"/>
          </w:tcPr>
          <w:p>
            <w:pPr>
              <w:pStyle w:val="69"/>
              <w:spacing w:line="400" w:lineRule="exact"/>
              <w:ind w:left="0" w:leftChars="0" w:firstLine="480" w:firstLineChars="20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852" w:type="pct"/>
            <w:gridSpan w:val="3"/>
            <w:vAlign w:val="center"/>
          </w:tcPr>
          <w:p>
            <w:pPr>
              <w:pStyle w:val="69"/>
              <w:spacing w:line="400" w:lineRule="exact"/>
              <w:ind w:left="0" w:leftChars="0"/>
              <w:rPr>
                <w:rFonts w:hAnsi="宋体" w:cs="楷体"/>
              </w:rPr>
            </w:pPr>
            <w:r>
              <w:rPr>
                <w:rFonts w:hint="eastAsia" w:hAnsi="宋体" w:cs="楷体"/>
              </w:rPr>
              <w:t>拟在本项目担任职务</w:t>
            </w:r>
          </w:p>
        </w:tc>
        <w:tc>
          <w:tcPr>
            <w:tcW w:w="3148" w:type="pct"/>
            <w:gridSpan w:val="7"/>
            <w:vAlign w:val="center"/>
          </w:tcPr>
          <w:p>
            <w:pPr>
              <w:pStyle w:val="69"/>
              <w:spacing w:line="400" w:lineRule="exact"/>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5000" w:type="pct"/>
            <w:gridSpan w:val="10"/>
            <w:vAlign w:val="center"/>
          </w:tcPr>
          <w:p>
            <w:pPr>
              <w:pStyle w:val="69"/>
              <w:spacing w:line="400" w:lineRule="exact"/>
              <w:ind w:left="0" w:leftChars="0"/>
              <w:rPr>
                <w:rFonts w:hAnsi="宋体" w:cs="楷体"/>
              </w:rPr>
            </w:pPr>
            <w:r>
              <w:rPr>
                <w:rFonts w:hint="eastAsia" w:hAnsi="宋体" w:cs="楷体"/>
              </w:rPr>
              <w:t>教育和培训背景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5000" w:type="pct"/>
            <w:gridSpan w:val="10"/>
          </w:tcPr>
          <w:p>
            <w:pPr>
              <w:pStyle w:val="69"/>
              <w:spacing w:line="400" w:lineRule="exact"/>
              <w:ind w:left="0" w:leftChars="0"/>
              <w:jc w:val="both"/>
              <w:rPr>
                <w:rFonts w:hAnsi="宋体" w:cs="楷体"/>
              </w:rPr>
            </w:pPr>
            <w:r>
              <w:rPr>
                <w:rFonts w:hint="eastAsia" w:hAnsi="宋体" w:cs="楷体"/>
              </w:rPr>
              <w:t>（教育背景从大学开始，包括毕业院校名称、专业、起始时间。培训填写与专业技术、业务有关的内容）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5000" w:type="pct"/>
            <w:gridSpan w:val="10"/>
            <w:vAlign w:val="center"/>
          </w:tcPr>
          <w:p>
            <w:pPr>
              <w:pStyle w:val="69"/>
              <w:spacing w:line="400" w:lineRule="exact"/>
              <w:ind w:left="0" w:leftChars="0"/>
              <w:rPr>
                <w:rFonts w:hAnsi="宋体" w:cs="楷体"/>
              </w:rPr>
            </w:pPr>
            <w:r>
              <w:rPr>
                <w:rFonts w:hint="eastAsia" w:hAnsi="宋体" w:cs="楷体"/>
              </w:rPr>
              <w:t>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29" w:type="pct"/>
            <w:vAlign w:val="center"/>
          </w:tcPr>
          <w:p>
            <w:pPr>
              <w:pStyle w:val="69"/>
              <w:spacing w:line="400" w:lineRule="exact"/>
              <w:ind w:left="0" w:leftChars="0"/>
              <w:rPr>
                <w:rFonts w:hAnsi="宋体" w:cs="楷体"/>
              </w:rPr>
            </w:pPr>
            <w:r>
              <w:rPr>
                <w:rFonts w:hint="eastAsia" w:hAnsi="宋体" w:cs="楷体"/>
              </w:rPr>
              <w:t>时  间</w:t>
            </w:r>
          </w:p>
        </w:tc>
        <w:tc>
          <w:tcPr>
            <w:tcW w:w="1582" w:type="pct"/>
            <w:gridSpan w:val="3"/>
            <w:vAlign w:val="center"/>
          </w:tcPr>
          <w:p>
            <w:pPr>
              <w:pStyle w:val="69"/>
              <w:spacing w:line="400" w:lineRule="exact"/>
              <w:ind w:left="0" w:leftChars="0"/>
              <w:rPr>
                <w:rFonts w:hAnsi="宋体" w:cs="楷体"/>
              </w:rPr>
            </w:pPr>
            <w:r>
              <w:rPr>
                <w:rFonts w:hint="eastAsia" w:hAnsi="宋体" w:cs="楷体"/>
              </w:rPr>
              <w:t>参加过的类似项目名称</w:t>
            </w:r>
          </w:p>
        </w:tc>
        <w:tc>
          <w:tcPr>
            <w:tcW w:w="705" w:type="pct"/>
            <w:gridSpan w:val="2"/>
            <w:vAlign w:val="center"/>
          </w:tcPr>
          <w:p>
            <w:pPr>
              <w:pStyle w:val="69"/>
              <w:spacing w:line="400" w:lineRule="exact"/>
              <w:ind w:left="0" w:leftChars="0"/>
              <w:rPr>
                <w:rFonts w:hAnsi="宋体" w:cs="楷体"/>
              </w:rPr>
            </w:pPr>
            <w:r>
              <w:rPr>
                <w:rFonts w:hint="eastAsia" w:hAnsi="宋体" w:cs="楷体"/>
              </w:rPr>
              <w:t>职务</w:t>
            </w:r>
          </w:p>
        </w:tc>
        <w:tc>
          <w:tcPr>
            <w:tcW w:w="1018" w:type="pct"/>
            <w:gridSpan w:val="2"/>
            <w:vAlign w:val="center"/>
          </w:tcPr>
          <w:p>
            <w:pPr>
              <w:pStyle w:val="69"/>
              <w:spacing w:line="400" w:lineRule="exact"/>
              <w:ind w:left="0" w:leftChars="0"/>
              <w:rPr>
                <w:rFonts w:hAnsi="宋体" w:cs="楷体"/>
              </w:rPr>
            </w:pPr>
            <w:r>
              <w:rPr>
                <w:rFonts w:hint="eastAsia" w:hAnsi="宋体" w:cs="楷体"/>
              </w:rPr>
              <w:t>主要工作内容</w:t>
            </w:r>
          </w:p>
        </w:tc>
        <w:tc>
          <w:tcPr>
            <w:tcW w:w="865" w:type="pct"/>
            <w:gridSpan w:val="2"/>
            <w:vAlign w:val="center"/>
          </w:tcPr>
          <w:p>
            <w:pPr>
              <w:pStyle w:val="69"/>
              <w:spacing w:line="400" w:lineRule="exact"/>
              <w:ind w:left="0" w:leftChars="0"/>
              <w:rPr>
                <w:rFonts w:hAnsi="宋体"/>
                <w:szCs w:val="21"/>
              </w:rPr>
            </w:pPr>
            <w:r>
              <w:rPr>
                <w:rFonts w:hint="eastAsia" w:hAnsi="宋体"/>
                <w:szCs w:val="21"/>
              </w:rPr>
              <w:t>发包人及</w:t>
            </w:r>
          </w:p>
          <w:p>
            <w:pPr>
              <w:pStyle w:val="69"/>
              <w:spacing w:line="400" w:lineRule="exact"/>
              <w:ind w:left="0" w:leftChars="0"/>
              <w:rPr>
                <w:rFonts w:hAnsi="宋体" w:cs="楷体"/>
              </w:rPr>
            </w:pPr>
            <w:r>
              <w:rPr>
                <w:rFonts w:hint="eastAsia" w:hAnsi="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29" w:type="pct"/>
            <w:vAlign w:val="center"/>
          </w:tcPr>
          <w:p>
            <w:pPr>
              <w:pStyle w:val="69"/>
              <w:spacing w:line="400" w:lineRule="exact"/>
              <w:ind w:left="0" w:leftChars="0"/>
              <w:jc w:val="both"/>
              <w:rPr>
                <w:rFonts w:hAnsi="宋体" w:cs="楷体"/>
              </w:rPr>
            </w:pPr>
          </w:p>
        </w:tc>
        <w:tc>
          <w:tcPr>
            <w:tcW w:w="1582" w:type="pct"/>
            <w:gridSpan w:val="3"/>
            <w:vAlign w:val="center"/>
          </w:tcPr>
          <w:p>
            <w:pPr>
              <w:pStyle w:val="69"/>
              <w:spacing w:line="400" w:lineRule="exact"/>
              <w:ind w:left="0" w:leftChars="0"/>
              <w:jc w:val="both"/>
              <w:rPr>
                <w:rFonts w:hAnsi="宋体" w:cs="楷体"/>
              </w:rPr>
            </w:pPr>
          </w:p>
        </w:tc>
        <w:tc>
          <w:tcPr>
            <w:tcW w:w="705" w:type="pct"/>
            <w:gridSpan w:val="2"/>
            <w:vAlign w:val="center"/>
          </w:tcPr>
          <w:p>
            <w:pPr>
              <w:pStyle w:val="69"/>
              <w:spacing w:line="400" w:lineRule="exact"/>
              <w:ind w:left="0" w:leftChars="0"/>
              <w:jc w:val="both"/>
              <w:rPr>
                <w:rFonts w:hAnsi="宋体" w:cs="楷体"/>
              </w:rPr>
            </w:pPr>
          </w:p>
        </w:tc>
        <w:tc>
          <w:tcPr>
            <w:tcW w:w="1018" w:type="pct"/>
            <w:gridSpan w:val="2"/>
            <w:vAlign w:val="center"/>
          </w:tcPr>
          <w:p>
            <w:pPr>
              <w:pStyle w:val="69"/>
              <w:spacing w:line="400" w:lineRule="exact"/>
              <w:ind w:left="0" w:leftChars="0"/>
              <w:jc w:val="both"/>
              <w:rPr>
                <w:rFonts w:hAnsi="宋体" w:cs="楷体"/>
              </w:rPr>
            </w:pPr>
          </w:p>
        </w:tc>
        <w:tc>
          <w:tcPr>
            <w:tcW w:w="865" w:type="pct"/>
            <w:gridSpan w:val="2"/>
            <w:vAlign w:val="center"/>
          </w:tcPr>
          <w:p>
            <w:pPr>
              <w:pStyle w:val="69"/>
              <w:spacing w:line="400" w:lineRule="exact"/>
              <w:ind w:left="0" w:leftChars="0"/>
              <w:jc w:val="both"/>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29" w:type="pct"/>
            <w:vAlign w:val="center"/>
          </w:tcPr>
          <w:p>
            <w:pPr>
              <w:pStyle w:val="69"/>
              <w:spacing w:line="400" w:lineRule="exact"/>
              <w:ind w:left="0" w:leftChars="0"/>
              <w:jc w:val="both"/>
              <w:rPr>
                <w:rFonts w:hAnsi="宋体" w:cs="楷体"/>
              </w:rPr>
            </w:pPr>
          </w:p>
        </w:tc>
        <w:tc>
          <w:tcPr>
            <w:tcW w:w="1582" w:type="pct"/>
            <w:gridSpan w:val="3"/>
            <w:vAlign w:val="center"/>
          </w:tcPr>
          <w:p>
            <w:pPr>
              <w:pStyle w:val="69"/>
              <w:spacing w:line="400" w:lineRule="exact"/>
              <w:ind w:left="0" w:leftChars="0"/>
              <w:jc w:val="both"/>
              <w:rPr>
                <w:rFonts w:hAnsi="宋体" w:cs="楷体"/>
              </w:rPr>
            </w:pPr>
          </w:p>
        </w:tc>
        <w:tc>
          <w:tcPr>
            <w:tcW w:w="705" w:type="pct"/>
            <w:gridSpan w:val="2"/>
            <w:vAlign w:val="center"/>
          </w:tcPr>
          <w:p>
            <w:pPr>
              <w:pStyle w:val="69"/>
              <w:spacing w:line="400" w:lineRule="exact"/>
              <w:ind w:left="0" w:leftChars="0"/>
              <w:jc w:val="both"/>
              <w:rPr>
                <w:rFonts w:hAnsi="宋体" w:cs="楷体"/>
              </w:rPr>
            </w:pPr>
          </w:p>
        </w:tc>
        <w:tc>
          <w:tcPr>
            <w:tcW w:w="1018" w:type="pct"/>
            <w:gridSpan w:val="2"/>
            <w:vAlign w:val="center"/>
          </w:tcPr>
          <w:p>
            <w:pPr>
              <w:pStyle w:val="69"/>
              <w:spacing w:line="400" w:lineRule="exact"/>
              <w:ind w:left="0" w:leftChars="0"/>
              <w:jc w:val="both"/>
              <w:rPr>
                <w:rFonts w:hAnsi="宋体" w:cs="楷体"/>
              </w:rPr>
            </w:pPr>
          </w:p>
        </w:tc>
        <w:tc>
          <w:tcPr>
            <w:tcW w:w="865" w:type="pct"/>
            <w:gridSpan w:val="2"/>
            <w:vAlign w:val="center"/>
          </w:tcPr>
          <w:p>
            <w:pPr>
              <w:pStyle w:val="69"/>
              <w:spacing w:line="400" w:lineRule="exact"/>
              <w:ind w:left="0" w:leftChars="0"/>
              <w:jc w:val="both"/>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29" w:type="pct"/>
            <w:vAlign w:val="center"/>
          </w:tcPr>
          <w:p>
            <w:pPr>
              <w:pStyle w:val="69"/>
              <w:spacing w:line="400" w:lineRule="exact"/>
              <w:ind w:left="0" w:leftChars="0"/>
              <w:jc w:val="both"/>
              <w:rPr>
                <w:rFonts w:hAnsi="宋体" w:cs="楷体"/>
              </w:rPr>
            </w:pPr>
          </w:p>
        </w:tc>
        <w:tc>
          <w:tcPr>
            <w:tcW w:w="1582" w:type="pct"/>
            <w:gridSpan w:val="3"/>
            <w:vAlign w:val="center"/>
          </w:tcPr>
          <w:p>
            <w:pPr>
              <w:pStyle w:val="69"/>
              <w:spacing w:line="400" w:lineRule="exact"/>
              <w:ind w:left="0" w:leftChars="0"/>
              <w:jc w:val="both"/>
              <w:rPr>
                <w:rFonts w:hAnsi="宋体" w:cs="楷体"/>
              </w:rPr>
            </w:pPr>
          </w:p>
        </w:tc>
        <w:tc>
          <w:tcPr>
            <w:tcW w:w="705" w:type="pct"/>
            <w:gridSpan w:val="2"/>
            <w:vAlign w:val="center"/>
          </w:tcPr>
          <w:p>
            <w:pPr>
              <w:pStyle w:val="69"/>
              <w:spacing w:line="400" w:lineRule="exact"/>
              <w:ind w:left="0" w:leftChars="0"/>
              <w:jc w:val="both"/>
              <w:rPr>
                <w:rFonts w:hAnsi="宋体" w:cs="楷体"/>
              </w:rPr>
            </w:pPr>
          </w:p>
        </w:tc>
        <w:tc>
          <w:tcPr>
            <w:tcW w:w="1018" w:type="pct"/>
            <w:gridSpan w:val="2"/>
            <w:vAlign w:val="center"/>
          </w:tcPr>
          <w:p>
            <w:pPr>
              <w:pStyle w:val="69"/>
              <w:spacing w:line="400" w:lineRule="exact"/>
              <w:ind w:left="0" w:leftChars="0"/>
              <w:jc w:val="both"/>
              <w:rPr>
                <w:rFonts w:hAnsi="宋体" w:cs="楷体"/>
              </w:rPr>
            </w:pPr>
          </w:p>
        </w:tc>
        <w:tc>
          <w:tcPr>
            <w:tcW w:w="865" w:type="pct"/>
            <w:gridSpan w:val="2"/>
            <w:vAlign w:val="center"/>
          </w:tcPr>
          <w:p>
            <w:pPr>
              <w:pStyle w:val="69"/>
              <w:spacing w:line="400" w:lineRule="exact"/>
              <w:ind w:left="0" w:leftChars="0"/>
              <w:jc w:val="both"/>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29" w:type="pct"/>
            <w:vAlign w:val="center"/>
          </w:tcPr>
          <w:p>
            <w:pPr>
              <w:pStyle w:val="69"/>
              <w:spacing w:line="400" w:lineRule="exact"/>
              <w:ind w:left="0" w:leftChars="0"/>
              <w:jc w:val="both"/>
              <w:rPr>
                <w:rFonts w:hAnsi="宋体" w:cs="楷体"/>
              </w:rPr>
            </w:pPr>
          </w:p>
        </w:tc>
        <w:tc>
          <w:tcPr>
            <w:tcW w:w="1582" w:type="pct"/>
            <w:gridSpan w:val="3"/>
            <w:vAlign w:val="center"/>
          </w:tcPr>
          <w:p>
            <w:pPr>
              <w:pStyle w:val="69"/>
              <w:spacing w:line="400" w:lineRule="exact"/>
              <w:ind w:left="0" w:leftChars="0"/>
              <w:jc w:val="both"/>
              <w:rPr>
                <w:rFonts w:hAnsi="宋体" w:cs="楷体"/>
              </w:rPr>
            </w:pPr>
          </w:p>
        </w:tc>
        <w:tc>
          <w:tcPr>
            <w:tcW w:w="705" w:type="pct"/>
            <w:gridSpan w:val="2"/>
            <w:vAlign w:val="center"/>
          </w:tcPr>
          <w:p>
            <w:pPr>
              <w:pStyle w:val="69"/>
              <w:spacing w:line="400" w:lineRule="exact"/>
              <w:ind w:left="0" w:leftChars="0"/>
              <w:jc w:val="both"/>
              <w:rPr>
                <w:rFonts w:hAnsi="宋体" w:cs="楷体"/>
              </w:rPr>
            </w:pPr>
          </w:p>
        </w:tc>
        <w:tc>
          <w:tcPr>
            <w:tcW w:w="1018" w:type="pct"/>
            <w:gridSpan w:val="2"/>
            <w:vAlign w:val="center"/>
          </w:tcPr>
          <w:p>
            <w:pPr>
              <w:pStyle w:val="69"/>
              <w:spacing w:line="400" w:lineRule="exact"/>
              <w:ind w:left="0" w:leftChars="0"/>
              <w:jc w:val="both"/>
              <w:rPr>
                <w:rFonts w:hAnsi="宋体" w:cs="楷体"/>
              </w:rPr>
            </w:pPr>
          </w:p>
        </w:tc>
        <w:tc>
          <w:tcPr>
            <w:tcW w:w="865" w:type="pct"/>
            <w:gridSpan w:val="2"/>
            <w:vAlign w:val="center"/>
          </w:tcPr>
          <w:p>
            <w:pPr>
              <w:pStyle w:val="69"/>
              <w:spacing w:line="400" w:lineRule="exact"/>
              <w:ind w:left="0" w:leftChars="0"/>
              <w:jc w:val="both"/>
              <w:rPr>
                <w:rFonts w:hAnsi="宋体" w:cs="楷体"/>
              </w:rPr>
            </w:pPr>
          </w:p>
        </w:tc>
      </w:tr>
    </w:tbl>
    <w:p>
      <w:pPr>
        <w:pStyle w:val="67"/>
        <w:tabs>
          <w:tab w:val="left" w:pos="2040"/>
        </w:tabs>
        <w:spacing w:beforeLines="0" w:line="400" w:lineRule="exact"/>
        <w:ind w:left="840" w:hanging="840"/>
        <w:rPr>
          <w:rFonts w:hAnsi="宋体" w:eastAsia="宋体" w:cs="楷体"/>
          <w:color w:val="auto"/>
        </w:rPr>
      </w:pPr>
      <w:r>
        <w:rPr>
          <w:rFonts w:hint="eastAsia" w:hAnsi="宋体" w:eastAsia="宋体" w:cs="楷体"/>
          <w:color w:val="auto"/>
          <w:szCs w:val="21"/>
        </w:rPr>
        <w:t>注：</w:t>
      </w:r>
      <w:r>
        <w:rPr>
          <w:rFonts w:hint="eastAsia" w:hAnsi="宋体" w:eastAsia="宋体" w:cs="楷体"/>
          <w:color w:val="auto"/>
        </w:rPr>
        <w:t xml:space="preserve"> 1.</w:t>
      </w:r>
      <w:r>
        <w:rPr>
          <w:rFonts w:hint="eastAsia" w:hAnsi="宋体" w:eastAsia="宋体" w:cs="仿宋_GB2312"/>
        </w:rPr>
        <w:t xml:space="preserve"> 主要人员包括：项目总负责人等专业负责人。</w:t>
      </w:r>
    </w:p>
    <w:p>
      <w:pPr>
        <w:pStyle w:val="67"/>
        <w:tabs>
          <w:tab w:val="left" w:pos="2040"/>
        </w:tabs>
        <w:spacing w:beforeLines="0" w:line="400" w:lineRule="exact"/>
        <w:ind w:left="0" w:firstLine="480" w:firstLineChars="200"/>
        <w:rPr>
          <w:rFonts w:hAnsi="宋体" w:eastAsia="宋体" w:cs="楷体"/>
          <w:color w:val="auto"/>
        </w:rPr>
      </w:pPr>
      <w:r>
        <w:rPr>
          <w:rFonts w:hint="eastAsia" w:hAnsi="宋体" w:eastAsia="宋体" w:cs="楷体"/>
          <w:color w:val="auto"/>
        </w:rPr>
        <w:t>2.表后须附身份证、毕业证、职称证、执业资格证、获奖证书（如有）复印件。</w:t>
      </w:r>
    </w:p>
    <w:p>
      <w:pPr>
        <w:pStyle w:val="67"/>
        <w:tabs>
          <w:tab w:val="left" w:pos="2040"/>
        </w:tabs>
        <w:spacing w:beforeLines="0" w:line="400" w:lineRule="exact"/>
        <w:ind w:left="0" w:firstLine="480" w:firstLineChars="200"/>
        <w:rPr>
          <w:rFonts w:hAnsi="宋体" w:eastAsia="宋体" w:cs="楷体"/>
          <w:color w:val="auto"/>
        </w:rPr>
      </w:pPr>
      <w:r>
        <w:rPr>
          <w:rFonts w:hint="eastAsia" w:hAnsi="宋体" w:eastAsia="宋体" w:cs="楷体"/>
          <w:color w:val="auto"/>
        </w:rPr>
        <w:t>3.获奖情况包括项目、集体或个人获奖情况，（如有）应附复印件或者扫描件。</w:t>
      </w:r>
    </w:p>
    <w:p>
      <w:pPr>
        <w:pStyle w:val="67"/>
        <w:tabs>
          <w:tab w:val="left" w:pos="2040"/>
        </w:tabs>
        <w:spacing w:beforeLines="0" w:line="400" w:lineRule="exact"/>
        <w:ind w:left="0" w:firstLine="480" w:firstLineChars="200"/>
        <w:rPr>
          <w:rFonts w:hAnsi="宋体" w:eastAsia="宋体" w:cs="楷体"/>
          <w:color w:val="auto"/>
        </w:rPr>
      </w:pPr>
    </w:p>
    <w:p>
      <w:pPr>
        <w:pStyle w:val="67"/>
        <w:tabs>
          <w:tab w:val="left" w:pos="2040"/>
        </w:tabs>
        <w:spacing w:beforeLines="0" w:line="400" w:lineRule="exact"/>
        <w:ind w:left="0" w:firstLine="480" w:firstLineChars="200"/>
        <w:rPr>
          <w:rFonts w:hAnsi="宋体" w:eastAsia="宋体" w:cs="楷体"/>
          <w:color w:val="auto"/>
        </w:rPr>
      </w:pP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法定代表人或被授权人：(签字或盖章)</w:t>
      </w: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供应商名称（公章）：</w:t>
      </w: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日    期：    年     月     日</w:t>
      </w:r>
      <w:r>
        <w:rPr>
          <w:rFonts w:ascii="宋体" w:hAnsi="宋体" w:cs="仿宋"/>
          <w:sz w:val="24"/>
          <w:szCs w:val="24"/>
        </w:rPr>
        <w:br w:type="page"/>
      </w:r>
    </w:p>
    <w:p>
      <w:pPr>
        <w:pStyle w:val="68"/>
        <w:spacing w:line="400" w:lineRule="exact"/>
        <w:ind w:firstLine="0" w:firstLineChars="0"/>
        <w:jc w:val="center"/>
        <w:outlineLvl w:val="9"/>
        <w:rPr>
          <w:rFonts w:hAnsi="宋体" w:cs="楷体"/>
          <w:color w:val="auto"/>
          <w:sz w:val="28"/>
          <w:szCs w:val="28"/>
        </w:rPr>
      </w:pPr>
      <w:bookmarkStart w:id="353" w:name="_Toc52367770"/>
      <w:bookmarkStart w:id="354" w:name="_Toc52367687"/>
      <w:bookmarkStart w:id="355" w:name="_Toc56609504"/>
      <w:bookmarkStart w:id="356" w:name="_Toc57822506"/>
      <w:r>
        <w:rPr>
          <w:rFonts w:hint="eastAsia" w:hAnsi="宋体" w:cs="楷体"/>
          <w:color w:val="auto"/>
          <w:sz w:val="28"/>
          <w:szCs w:val="28"/>
        </w:rPr>
        <w:t>2.</w:t>
      </w:r>
      <w:bookmarkEnd w:id="340"/>
      <w:bookmarkEnd w:id="341"/>
      <w:bookmarkEnd w:id="342"/>
      <w:bookmarkEnd w:id="343"/>
      <w:bookmarkEnd w:id="344"/>
      <w:bookmarkEnd w:id="345"/>
      <w:bookmarkEnd w:id="346"/>
      <w:bookmarkEnd w:id="347"/>
      <w:bookmarkEnd w:id="348"/>
      <w:bookmarkEnd w:id="353"/>
      <w:bookmarkEnd w:id="354"/>
      <w:r>
        <w:rPr>
          <w:rFonts w:hint="eastAsia" w:hAnsi="宋体" w:cs="楷体"/>
          <w:color w:val="auto"/>
          <w:sz w:val="28"/>
          <w:szCs w:val="28"/>
        </w:rPr>
        <w:t xml:space="preserve"> 拟投入本项目人员汇总表</w:t>
      </w:r>
      <w:bookmarkEnd w:id="355"/>
      <w:bookmarkEnd w:id="356"/>
    </w:p>
    <w:p>
      <w:pPr>
        <w:pStyle w:val="68"/>
        <w:spacing w:line="400" w:lineRule="exact"/>
        <w:ind w:firstLine="0" w:firstLineChars="0"/>
        <w:jc w:val="left"/>
        <w:outlineLvl w:val="9"/>
        <w:rPr>
          <w:rFonts w:hAnsi="宋体" w:cs="楷体"/>
          <w:b w:val="0"/>
          <w:color w:val="auto"/>
          <w:szCs w:val="24"/>
        </w:rPr>
      </w:pPr>
      <w:bookmarkStart w:id="357" w:name="_Toc52367688"/>
      <w:bookmarkStart w:id="358" w:name="_Toc56609505"/>
      <w:bookmarkStart w:id="359" w:name="_Toc52367771"/>
      <w:bookmarkStart w:id="360" w:name="_Toc57822507"/>
      <w:r>
        <w:rPr>
          <w:rFonts w:hint="eastAsia" w:hAnsi="宋体" w:cs="楷体"/>
          <w:b w:val="0"/>
          <w:color w:val="auto"/>
          <w:szCs w:val="24"/>
        </w:rPr>
        <w:t>项目名称：                                        采购编号：</w:t>
      </w:r>
      <w:bookmarkEnd w:id="357"/>
      <w:bookmarkEnd w:id="358"/>
      <w:bookmarkEnd w:id="359"/>
      <w:bookmarkEnd w:id="360"/>
    </w:p>
    <w:tbl>
      <w:tblPr>
        <w:tblStyle w:val="20"/>
        <w:tblW w:w="9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7"/>
        <w:gridCol w:w="1301"/>
        <w:gridCol w:w="851"/>
        <w:gridCol w:w="850"/>
        <w:gridCol w:w="1276"/>
        <w:gridCol w:w="1417"/>
        <w:gridCol w:w="141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序号</w:t>
            </w:r>
          </w:p>
        </w:tc>
        <w:tc>
          <w:tcPr>
            <w:tcW w:w="1301"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姓名</w:t>
            </w:r>
          </w:p>
        </w:tc>
        <w:tc>
          <w:tcPr>
            <w:tcW w:w="851"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年龄</w:t>
            </w:r>
          </w:p>
        </w:tc>
        <w:tc>
          <w:tcPr>
            <w:tcW w:w="850"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性别</w:t>
            </w:r>
          </w:p>
        </w:tc>
        <w:tc>
          <w:tcPr>
            <w:tcW w:w="1276"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学 历</w:t>
            </w:r>
          </w:p>
        </w:tc>
        <w:tc>
          <w:tcPr>
            <w:tcW w:w="1417"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专业</w:t>
            </w:r>
          </w:p>
        </w:tc>
        <w:tc>
          <w:tcPr>
            <w:tcW w:w="1418" w:type="dxa"/>
            <w:tcMar>
              <w:top w:w="15" w:type="dxa"/>
              <w:left w:w="15" w:type="dxa"/>
              <w:bottom w:w="0" w:type="dxa"/>
              <w:right w:w="15" w:type="dxa"/>
            </w:tcMar>
            <w:vAlign w:val="center"/>
          </w:tcPr>
          <w:p>
            <w:pPr>
              <w:adjustRightInd w:val="0"/>
              <w:jc w:val="center"/>
              <w:rPr>
                <w:rFonts w:ascii="宋体" w:hAnsi="宋体" w:cs="仿宋_GB2312"/>
                <w:sz w:val="24"/>
              </w:rPr>
            </w:pPr>
            <w:r>
              <w:rPr>
                <w:rFonts w:hint="eastAsia" w:ascii="宋体" w:hAnsi="宋体" w:cs="仿宋_GB2312"/>
                <w:sz w:val="24"/>
              </w:rPr>
              <w:t>职称</w:t>
            </w:r>
          </w:p>
        </w:tc>
        <w:tc>
          <w:tcPr>
            <w:tcW w:w="1417" w:type="dxa"/>
            <w:vAlign w:val="center"/>
          </w:tcPr>
          <w:p>
            <w:pPr>
              <w:pStyle w:val="69"/>
              <w:snapToGrid/>
              <w:ind w:left="0" w:leftChars="0"/>
              <w:rPr>
                <w:rFonts w:hAnsi="宋体" w:cs="楷体"/>
              </w:rPr>
            </w:pPr>
            <w:r>
              <w:rPr>
                <w:rFonts w:hint="eastAsia" w:hAnsi="宋体" w:cs="仿宋_GB2312"/>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8"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3" w:hRule="atLeast"/>
        </w:trPr>
        <w:tc>
          <w:tcPr>
            <w:tcW w:w="557" w:type="dxa"/>
            <w:tcMar>
              <w:top w:w="15" w:type="dxa"/>
              <w:left w:w="15" w:type="dxa"/>
              <w:bottom w:w="0" w:type="dxa"/>
              <w:right w:w="15" w:type="dxa"/>
            </w:tcMar>
            <w:vAlign w:val="center"/>
          </w:tcPr>
          <w:p>
            <w:pPr>
              <w:pStyle w:val="69"/>
              <w:snapToGrid/>
              <w:ind w:left="0" w:leftChars="0"/>
              <w:rPr>
                <w:rFonts w:hAnsi="宋体" w:cs="楷体"/>
              </w:rPr>
            </w:pPr>
          </w:p>
        </w:tc>
        <w:tc>
          <w:tcPr>
            <w:tcW w:w="1301" w:type="dxa"/>
            <w:tcMar>
              <w:top w:w="15" w:type="dxa"/>
              <w:left w:w="15" w:type="dxa"/>
              <w:bottom w:w="0" w:type="dxa"/>
              <w:right w:w="15" w:type="dxa"/>
            </w:tcMar>
            <w:vAlign w:val="center"/>
          </w:tcPr>
          <w:p>
            <w:pPr>
              <w:pStyle w:val="69"/>
              <w:snapToGrid/>
              <w:ind w:left="0" w:leftChars="0"/>
              <w:rPr>
                <w:rFonts w:hAnsi="宋体" w:cs="楷体"/>
              </w:rPr>
            </w:pPr>
          </w:p>
        </w:tc>
        <w:tc>
          <w:tcPr>
            <w:tcW w:w="851" w:type="dxa"/>
            <w:tcMar>
              <w:top w:w="15" w:type="dxa"/>
              <w:left w:w="15" w:type="dxa"/>
              <w:bottom w:w="0" w:type="dxa"/>
              <w:right w:w="15" w:type="dxa"/>
            </w:tcMar>
            <w:vAlign w:val="center"/>
          </w:tcPr>
          <w:p>
            <w:pPr>
              <w:pStyle w:val="69"/>
              <w:snapToGrid/>
              <w:ind w:left="0" w:leftChars="0"/>
              <w:rPr>
                <w:rFonts w:hAnsi="宋体" w:cs="楷体"/>
              </w:rPr>
            </w:pPr>
          </w:p>
        </w:tc>
        <w:tc>
          <w:tcPr>
            <w:tcW w:w="850" w:type="dxa"/>
            <w:tcMar>
              <w:top w:w="15" w:type="dxa"/>
              <w:left w:w="15" w:type="dxa"/>
              <w:bottom w:w="0" w:type="dxa"/>
              <w:right w:w="15" w:type="dxa"/>
            </w:tcMar>
            <w:vAlign w:val="center"/>
          </w:tcPr>
          <w:p>
            <w:pPr>
              <w:pStyle w:val="69"/>
              <w:snapToGrid/>
              <w:ind w:left="0" w:leftChars="0"/>
              <w:rPr>
                <w:rFonts w:hAnsi="宋体" w:cs="楷体"/>
              </w:rPr>
            </w:pPr>
          </w:p>
        </w:tc>
        <w:tc>
          <w:tcPr>
            <w:tcW w:w="1276" w:type="dxa"/>
            <w:tcMar>
              <w:top w:w="15" w:type="dxa"/>
              <w:left w:w="15" w:type="dxa"/>
              <w:bottom w:w="0" w:type="dxa"/>
              <w:right w:w="15" w:type="dxa"/>
            </w:tcMar>
            <w:vAlign w:val="center"/>
          </w:tcPr>
          <w:p>
            <w:pPr>
              <w:pStyle w:val="69"/>
              <w:snapToGrid/>
              <w:ind w:left="0" w:leftChars="0"/>
              <w:rPr>
                <w:rFonts w:hAnsi="宋体" w:cs="楷体"/>
              </w:rPr>
            </w:pPr>
          </w:p>
        </w:tc>
        <w:tc>
          <w:tcPr>
            <w:tcW w:w="1417" w:type="dxa"/>
            <w:tcMar>
              <w:top w:w="15" w:type="dxa"/>
              <w:left w:w="15" w:type="dxa"/>
              <w:bottom w:w="0" w:type="dxa"/>
              <w:right w:w="15" w:type="dxa"/>
            </w:tcMar>
            <w:vAlign w:val="center"/>
          </w:tcPr>
          <w:p>
            <w:pPr>
              <w:pStyle w:val="69"/>
              <w:snapToGrid/>
              <w:ind w:left="0" w:leftChars="0"/>
              <w:rPr>
                <w:rFonts w:hAnsi="宋体" w:cs="楷体"/>
              </w:rPr>
            </w:pPr>
          </w:p>
        </w:tc>
        <w:tc>
          <w:tcPr>
            <w:tcW w:w="1418" w:type="dxa"/>
            <w:tcMar>
              <w:top w:w="15" w:type="dxa"/>
              <w:left w:w="15" w:type="dxa"/>
              <w:bottom w:w="0" w:type="dxa"/>
              <w:right w:w="15" w:type="dxa"/>
            </w:tcMar>
            <w:vAlign w:val="center"/>
          </w:tcPr>
          <w:p>
            <w:pPr>
              <w:pStyle w:val="69"/>
              <w:snapToGrid/>
              <w:ind w:left="0" w:leftChars="0"/>
              <w:rPr>
                <w:rFonts w:hAnsi="宋体" w:cs="楷体"/>
              </w:rPr>
            </w:pPr>
          </w:p>
        </w:tc>
        <w:tc>
          <w:tcPr>
            <w:tcW w:w="1417" w:type="dxa"/>
            <w:vAlign w:val="center"/>
          </w:tcPr>
          <w:p>
            <w:pPr>
              <w:pStyle w:val="69"/>
              <w:snapToGrid/>
              <w:ind w:left="0" w:leftChars="0"/>
              <w:rPr>
                <w:rFonts w:hAnsi="宋体" w:cs="楷体"/>
              </w:rPr>
            </w:pPr>
          </w:p>
        </w:tc>
      </w:tr>
    </w:tbl>
    <w:p>
      <w:pPr>
        <w:pStyle w:val="67"/>
        <w:tabs>
          <w:tab w:val="left" w:pos="2040"/>
        </w:tabs>
        <w:spacing w:beforeLines="0" w:line="400" w:lineRule="exact"/>
        <w:ind w:left="840" w:hanging="840"/>
        <w:rPr>
          <w:rFonts w:hAnsi="宋体" w:eastAsia="宋体" w:cs="楷体"/>
          <w:color w:val="auto"/>
          <w:szCs w:val="21"/>
        </w:rPr>
      </w:pPr>
      <w:r>
        <w:rPr>
          <w:rFonts w:hint="eastAsia" w:hAnsi="宋体" w:eastAsia="宋体" w:cs="楷体"/>
          <w:color w:val="auto"/>
          <w:szCs w:val="21"/>
        </w:rPr>
        <w:t>注：1.供应商可适当调整该表格式，但不得减少信息内容。</w:t>
      </w:r>
    </w:p>
    <w:p>
      <w:pPr>
        <w:pStyle w:val="67"/>
        <w:tabs>
          <w:tab w:val="left" w:pos="2040"/>
        </w:tabs>
        <w:spacing w:beforeLines="0" w:line="400" w:lineRule="exact"/>
        <w:ind w:left="780" w:leftChars="200" w:hanging="360" w:hangingChars="150"/>
        <w:rPr>
          <w:rFonts w:hAnsi="宋体" w:eastAsia="宋体" w:cs="楷体"/>
          <w:color w:val="auto"/>
          <w:szCs w:val="21"/>
        </w:rPr>
      </w:pPr>
      <w:r>
        <w:rPr>
          <w:rFonts w:hint="eastAsia" w:hAnsi="宋体" w:eastAsia="宋体" w:cs="楷体"/>
          <w:color w:val="auto"/>
          <w:szCs w:val="21"/>
        </w:rPr>
        <w:t xml:space="preserve"> 2.表后附相关证明文件复印件予以佐证。</w:t>
      </w:r>
    </w:p>
    <w:p>
      <w:pPr>
        <w:pStyle w:val="67"/>
        <w:tabs>
          <w:tab w:val="left" w:pos="2040"/>
        </w:tabs>
        <w:spacing w:beforeLines="0" w:line="400" w:lineRule="exact"/>
        <w:ind w:left="0" w:firstLine="480" w:firstLineChars="200"/>
        <w:rPr>
          <w:rFonts w:hAnsi="宋体" w:eastAsia="宋体" w:cs="楷体"/>
          <w:color w:val="auto"/>
          <w:szCs w:val="21"/>
        </w:rPr>
      </w:pP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法定代表人或被授权人：(签字或盖章)</w:t>
      </w: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供应商名称（公章）：</w:t>
      </w:r>
    </w:p>
    <w:p>
      <w:pPr>
        <w:adjustRightInd w:val="0"/>
        <w:snapToGrid w:val="0"/>
        <w:spacing w:line="360" w:lineRule="auto"/>
        <w:ind w:firstLine="480" w:firstLineChars="200"/>
        <w:rPr>
          <w:rFonts w:ascii="宋体" w:hAnsi="宋体" w:cs="仿宋"/>
          <w:sz w:val="24"/>
          <w:szCs w:val="24"/>
        </w:rPr>
      </w:pPr>
      <w:r>
        <w:rPr>
          <w:rFonts w:hint="eastAsia" w:ascii="宋体" w:hAnsi="宋体" w:cs="仿宋"/>
          <w:sz w:val="24"/>
          <w:szCs w:val="24"/>
        </w:rPr>
        <w:t>日    期：    年     月     日</w:t>
      </w:r>
    </w:p>
    <w:p>
      <w:pPr>
        <w:widowControl/>
        <w:jc w:val="left"/>
        <w:rPr>
          <w:rFonts w:ascii="宋体" w:hAnsi="宋体" w:cs="仿宋"/>
          <w:sz w:val="24"/>
          <w:szCs w:val="24"/>
        </w:rPr>
      </w:pPr>
      <w:r>
        <w:rPr>
          <w:rFonts w:ascii="宋体" w:hAnsi="宋体" w:cs="仿宋"/>
          <w:sz w:val="24"/>
          <w:szCs w:val="24"/>
        </w:rPr>
        <w:br w:type="page"/>
      </w:r>
    </w:p>
    <w:p>
      <w:pPr>
        <w:pStyle w:val="40"/>
        <w:spacing w:beforeLines="50" w:afterLines="50" w:line="440" w:lineRule="exact"/>
        <w:rPr>
          <w:rFonts w:ascii="Calibri Light" w:hAnsi="Calibri Light"/>
        </w:rPr>
      </w:pPr>
      <w:bookmarkStart w:id="361" w:name="_Toc57822508"/>
      <w:r>
        <w:rPr>
          <w:rFonts w:hint="eastAsia" w:ascii="Calibri Light" w:hAnsi="Calibri Light"/>
        </w:rPr>
        <w:t>八、供应商认为有利用本次磋商的其他情况说明</w:t>
      </w:r>
      <w:bookmarkEnd w:id="361"/>
    </w:p>
    <w:p>
      <w:pPr>
        <w:adjustRightInd w:val="0"/>
        <w:snapToGrid w:val="0"/>
        <w:spacing w:line="360" w:lineRule="auto"/>
        <w:rPr>
          <w:b/>
          <w:sz w:val="28"/>
          <w:szCs w:val="28"/>
        </w:rPr>
      </w:pP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投标供应商按照磋商文件的要求，提供认为有必要，有利于磋商的证明文件及材料，格式自拟。</w:t>
      </w:r>
    </w:p>
    <w:p>
      <w:pPr>
        <w:rPr>
          <w:sz w:val="24"/>
          <w:szCs w:val="24"/>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adjustRightInd w:val="0"/>
        <w:snapToGrid w:val="0"/>
        <w:rPr>
          <w:b/>
          <w:sz w:val="28"/>
          <w:szCs w:val="28"/>
        </w:rPr>
      </w:pPr>
    </w:p>
    <w:p>
      <w:pPr>
        <w:pStyle w:val="40"/>
        <w:spacing w:beforeLines="50" w:afterLines="50" w:line="440" w:lineRule="exact"/>
        <w:ind w:firstLine="560"/>
        <w:rPr>
          <w:rFonts w:ascii="Calibri Light" w:hAnsi="Calibri Light"/>
        </w:rPr>
      </w:pPr>
      <w:bookmarkStart w:id="362" w:name="_Toc57822509"/>
      <w:r>
        <w:rPr>
          <w:rFonts w:hint="eastAsia" w:ascii="Calibri Light" w:hAnsi="Calibri Light"/>
        </w:rPr>
        <w:t>九、采购供应商拒绝政府采购领域商业贿赂承诺书</w:t>
      </w:r>
      <w:bookmarkEnd w:id="362"/>
    </w:p>
    <w:p/>
    <w:p>
      <w:pPr>
        <w:snapToGrid w:val="0"/>
        <w:spacing w:line="360" w:lineRule="auto"/>
        <w:ind w:firstLine="480" w:firstLineChars="200"/>
        <w:rPr>
          <w:sz w:val="24"/>
          <w:szCs w:val="24"/>
        </w:rPr>
      </w:pPr>
      <w:r>
        <w:rPr>
          <w:rFonts w:hint="eastAsia"/>
          <w:sz w:val="24"/>
          <w:szCs w:val="24"/>
        </w:rPr>
        <w:t>为响应党中央、国务院关于治理政府采购领域商业贿赂行为的号召，我方承诺：</w:t>
      </w:r>
    </w:p>
    <w:p>
      <w:pPr>
        <w:snapToGrid w:val="0"/>
        <w:spacing w:line="360" w:lineRule="auto"/>
        <w:ind w:firstLine="480" w:firstLineChars="200"/>
        <w:rPr>
          <w:sz w:val="24"/>
          <w:szCs w:val="24"/>
        </w:rPr>
      </w:pPr>
      <w:r>
        <w:rPr>
          <w:rFonts w:hint="eastAsia"/>
          <w:sz w:val="24"/>
          <w:szCs w:val="24"/>
        </w:rPr>
        <w:t>一、在参与政府采购活动中遵纪守法、诚信经营、公平竞标；</w:t>
      </w:r>
    </w:p>
    <w:p>
      <w:pPr>
        <w:snapToGrid w:val="0"/>
        <w:spacing w:line="360" w:lineRule="auto"/>
        <w:ind w:firstLine="480" w:firstLineChars="200"/>
        <w:rPr>
          <w:sz w:val="24"/>
          <w:szCs w:val="24"/>
        </w:rPr>
      </w:pPr>
      <w:r>
        <w:rPr>
          <w:rFonts w:hint="eastAsia"/>
          <w:sz w:val="24"/>
          <w:szCs w:val="24"/>
        </w:rPr>
        <w:t>二、不向政府采购人、采购代理机构和政府采购评审专家进行任何形式的商业贿赂以谋取交易机会；</w:t>
      </w:r>
    </w:p>
    <w:p>
      <w:pPr>
        <w:snapToGrid w:val="0"/>
        <w:spacing w:line="360" w:lineRule="auto"/>
        <w:ind w:firstLine="480" w:firstLineChars="200"/>
        <w:rPr>
          <w:sz w:val="24"/>
          <w:szCs w:val="24"/>
        </w:rPr>
      </w:pPr>
      <w:r>
        <w:rPr>
          <w:rFonts w:hint="eastAsia"/>
          <w:sz w:val="24"/>
          <w:szCs w:val="24"/>
        </w:rPr>
        <w:t>三、不向采购代理机构和采购人提供虚假资格证明文件或采用虚假应标方式参与政府采购市场竞争并谋取成交、成交；</w:t>
      </w:r>
    </w:p>
    <w:p>
      <w:pPr>
        <w:snapToGrid w:val="0"/>
        <w:spacing w:line="360" w:lineRule="auto"/>
        <w:ind w:firstLine="480" w:firstLineChars="200"/>
        <w:rPr>
          <w:sz w:val="24"/>
          <w:szCs w:val="24"/>
        </w:rPr>
      </w:pPr>
      <w:r>
        <w:rPr>
          <w:rFonts w:hint="eastAsia"/>
          <w:sz w:val="24"/>
          <w:szCs w:val="24"/>
        </w:rPr>
        <w:t>四、不采取“围标、串标、陪标”等商业欺诈手段获取政府采购订单；</w:t>
      </w:r>
    </w:p>
    <w:p>
      <w:pPr>
        <w:snapToGrid w:val="0"/>
        <w:spacing w:line="360" w:lineRule="auto"/>
        <w:ind w:firstLine="480" w:firstLineChars="200"/>
        <w:rPr>
          <w:sz w:val="24"/>
          <w:szCs w:val="24"/>
        </w:rPr>
      </w:pPr>
      <w:r>
        <w:rPr>
          <w:rFonts w:hint="eastAsia"/>
          <w:sz w:val="24"/>
          <w:szCs w:val="24"/>
        </w:rPr>
        <w:t>五、不采取不正当手段诋毁、排挤其他供应商；</w:t>
      </w:r>
    </w:p>
    <w:p>
      <w:pPr>
        <w:snapToGrid w:val="0"/>
        <w:spacing w:line="360" w:lineRule="auto"/>
        <w:ind w:firstLine="480" w:firstLineChars="200"/>
        <w:rPr>
          <w:sz w:val="24"/>
          <w:szCs w:val="24"/>
        </w:rPr>
      </w:pPr>
      <w:r>
        <w:rPr>
          <w:rFonts w:hint="eastAsia"/>
          <w:sz w:val="24"/>
          <w:szCs w:val="24"/>
        </w:rPr>
        <w:t>六、不在提供商品和服务时“偷梁换柱、以次充好”损害采购人的合法权益；</w:t>
      </w:r>
    </w:p>
    <w:p>
      <w:pPr>
        <w:snapToGrid w:val="0"/>
        <w:spacing w:line="360" w:lineRule="auto"/>
        <w:ind w:firstLine="480" w:firstLineChars="200"/>
        <w:rPr>
          <w:sz w:val="24"/>
          <w:szCs w:val="24"/>
        </w:rPr>
      </w:pPr>
      <w:r>
        <w:rPr>
          <w:rFonts w:hint="eastAsia"/>
          <w:sz w:val="24"/>
          <w:szCs w:val="24"/>
        </w:rPr>
        <w:t>七、不与采购人、采购代理机构、政府采购评审专家或其他供应商恶意串通，进行质疑和投诉，维护政府采购市场秩序；</w:t>
      </w:r>
    </w:p>
    <w:p>
      <w:pPr>
        <w:snapToGrid w:val="0"/>
        <w:spacing w:line="360" w:lineRule="auto"/>
        <w:ind w:firstLine="480" w:firstLineChars="200"/>
        <w:rPr>
          <w:sz w:val="24"/>
          <w:szCs w:val="24"/>
        </w:rPr>
      </w:pPr>
      <w:r>
        <w:rPr>
          <w:rFonts w:hint="eastAsia"/>
          <w:sz w:val="24"/>
          <w:szCs w:val="24"/>
        </w:rPr>
        <w:t>八、尊重和接受政府采购监督管理部门的监督和采购代理机构的磋商要求，承担因违约行为给采购人造成的损失；</w:t>
      </w:r>
    </w:p>
    <w:p>
      <w:pPr>
        <w:snapToGrid w:val="0"/>
        <w:spacing w:line="360" w:lineRule="auto"/>
        <w:ind w:firstLine="480" w:firstLineChars="200"/>
        <w:rPr>
          <w:sz w:val="24"/>
          <w:szCs w:val="24"/>
        </w:rPr>
      </w:pPr>
      <w:r>
        <w:rPr>
          <w:rFonts w:hint="eastAsia"/>
          <w:sz w:val="24"/>
          <w:szCs w:val="24"/>
        </w:rPr>
        <w:t>九、不发生其他有悖于政府采购公开、公平、公正和诚信原则的行为。</w:t>
      </w:r>
    </w:p>
    <w:p>
      <w:pPr>
        <w:snapToGrid w:val="0"/>
        <w:ind w:firstLine="480" w:firstLineChars="200"/>
        <w:rPr>
          <w:sz w:val="24"/>
          <w:szCs w:val="24"/>
        </w:rPr>
      </w:pPr>
    </w:p>
    <w:p>
      <w:pPr>
        <w:snapToGrid w:val="0"/>
        <w:ind w:firstLine="480" w:firstLineChars="200"/>
        <w:rPr>
          <w:sz w:val="24"/>
          <w:szCs w:val="24"/>
        </w:rPr>
      </w:pPr>
    </w:p>
    <w:p>
      <w:pPr>
        <w:rPr>
          <w:rFonts w:ascii="宋体" w:hAnsi="宋体"/>
          <w:sz w:val="24"/>
          <w:szCs w:val="24"/>
        </w:rPr>
      </w:pPr>
      <w:r>
        <w:rPr>
          <w:rFonts w:hint="eastAsia" w:ascii="宋体" w:hAnsi="宋体"/>
          <w:sz w:val="24"/>
          <w:szCs w:val="24"/>
        </w:rPr>
        <w:t>法定代表人或被授权人：(签字或盖章)</w:t>
      </w:r>
    </w:p>
    <w:p>
      <w:pPr>
        <w:tabs>
          <w:tab w:val="left" w:pos="3045"/>
        </w:tabs>
        <w:rPr>
          <w:rFonts w:ascii="宋体" w:hAnsi="宋体"/>
          <w:sz w:val="24"/>
          <w:szCs w:val="24"/>
        </w:rPr>
      </w:pPr>
    </w:p>
    <w:p>
      <w:pPr>
        <w:rPr>
          <w:rFonts w:ascii="宋体" w:hAnsi="宋体"/>
          <w:sz w:val="24"/>
          <w:szCs w:val="24"/>
        </w:rPr>
      </w:pPr>
    </w:p>
    <w:p>
      <w:pPr>
        <w:rPr>
          <w:rFonts w:ascii="宋体" w:hAnsi="宋体"/>
          <w:sz w:val="24"/>
          <w:szCs w:val="24"/>
        </w:rPr>
      </w:pPr>
      <w:r>
        <w:rPr>
          <w:rFonts w:hint="eastAsia" w:ascii="宋体" w:hAnsi="宋体"/>
          <w:sz w:val="24"/>
          <w:szCs w:val="24"/>
        </w:rPr>
        <w:t>供应商名称（公章）：</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日    期：    年     月    日  </w:t>
      </w: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napToGrid w:val="0"/>
        <w:ind w:firstLine="480" w:firstLineChars="200"/>
        <w:rPr>
          <w:sz w:val="24"/>
          <w:szCs w:val="24"/>
        </w:rPr>
      </w:pPr>
    </w:p>
    <w:p>
      <w:pPr>
        <w:spacing w:line="440" w:lineRule="exact"/>
        <w:rPr>
          <w:rFonts w:ascii="宋体" w:hAnsi="宋体"/>
          <w:b/>
          <w:sz w:val="28"/>
          <w:szCs w:val="28"/>
        </w:rPr>
      </w:pPr>
      <w:r>
        <w:rPr>
          <w:rFonts w:hint="eastAsia" w:ascii="宋体" w:hAnsi="宋体"/>
          <w:b/>
          <w:sz w:val="28"/>
          <w:szCs w:val="28"/>
        </w:rPr>
        <w:t>附件一：</w:t>
      </w:r>
    </w:p>
    <w:p>
      <w:pPr>
        <w:jc w:val="center"/>
        <w:rPr>
          <w:b/>
          <w:sz w:val="36"/>
          <w:szCs w:val="36"/>
        </w:rPr>
      </w:pPr>
      <w:r>
        <w:rPr>
          <w:rFonts w:hint="eastAsia"/>
          <w:b/>
          <w:sz w:val="36"/>
          <w:szCs w:val="36"/>
        </w:rPr>
        <w:t>参加本次政府采购活动前三年内在经营活动中</w:t>
      </w:r>
    </w:p>
    <w:p>
      <w:pPr>
        <w:jc w:val="center"/>
        <w:rPr>
          <w:b/>
          <w:sz w:val="36"/>
          <w:szCs w:val="36"/>
        </w:rPr>
      </w:pPr>
      <w:r>
        <w:rPr>
          <w:rFonts w:hint="eastAsia"/>
          <w:b/>
          <w:sz w:val="36"/>
          <w:szCs w:val="36"/>
        </w:rPr>
        <w:t>没有重大违法记录的书面承诺函（格式）</w:t>
      </w:r>
    </w:p>
    <w:p/>
    <w:p>
      <w:pPr>
        <w:spacing w:line="360" w:lineRule="auto"/>
        <w:rPr>
          <w:rFonts w:ascii="宋体" w:hAnsi="宋体"/>
          <w:sz w:val="24"/>
          <w:szCs w:val="24"/>
          <w:u w:val="single"/>
        </w:rPr>
      </w:pPr>
      <w:r>
        <w:rPr>
          <w:rFonts w:hint="eastAsia" w:ascii="宋体" w:hAnsi="宋体"/>
          <w:sz w:val="24"/>
          <w:szCs w:val="24"/>
        </w:rPr>
        <w:t>致</w:t>
      </w:r>
      <w:r>
        <w:rPr>
          <w:rFonts w:hint="eastAsia" w:ascii="宋体" w:hAnsi="宋体"/>
          <w:sz w:val="24"/>
          <w:szCs w:val="24"/>
          <w:u w:val="single"/>
        </w:rPr>
        <w:t>采购代理机构名称</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我方</w:t>
      </w:r>
      <w:r>
        <w:rPr>
          <w:rFonts w:ascii="宋体" w:hAnsi="宋体"/>
          <w:sz w:val="24"/>
          <w:szCs w:val="24"/>
          <w:u w:val="single"/>
        </w:rPr>
        <w:t>_______________</w:t>
      </w:r>
      <w:r>
        <w:rPr>
          <w:rFonts w:hint="eastAsia" w:ascii="宋体" w:hAnsi="宋体"/>
          <w:sz w:val="24"/>
          <w:szCs w:val="24"/>
        </w:rPr>
        <w:t>（供应商名称）郑重声明</w:t>
      </w:r>
      <w:r>
        <w:rPr>
          <w:rFonts w:hint="eastAsia"/>
          <w:sz w:val="24"/>
          <w:szCs w:val="24"/>
        </w:rPr>
        <w:t>近三年受到有关行政主管部门的行政处理、不良行为记录为</w:t>
      </w:r>
      <w:r>
        <w:rPr>
          <w:sz w:val="24"/>
          <w:szCs w:val="24"/>
          <w:u w:val="single"/>
        </w:rPr>
        <w:t>____</w:t>
      </w:r>
      <w:r>
        <w:rPr>
          <w:rFonts w:hint="eastAsia"/>
          <w:sz w:val="24"/>
          <w:szCs w:val="24"/>
        </w:rPr>
        <w:t>次（没有填</w:t>
      </w:r>
      <w:r>
        <w:rPr>
          <w:sz w:val="24"/>
          <w:szCs w:val="24"/>
        </w:rPr>
        <w:t>0</w:t>
      </w:r>
      <w:r>
        <w:rPr>
          <w:rFonts w:hint="eastAsia"/>
          <w:sz w:val="24"/>
          <w:szCs w:val="24"/>
        </w:rPr>
        <w:t>），</w:t>
      </w:r>
      <w:r>
        <w:rPr>
          <w:rFonts w:hint="eastAsia" w:ascii="宋体" w:hAnsi="宋体"/>
          <w:sz w:val="24"/>
          <w:szCs w:val="24"/>
        </w:rPr>
        <w:t>如有不实，我方将无条件地退出本项目的采购活动，并遵照《政府采购法》有关“提供虚假材料的规定”接受处罚。</w:t>
      </w:r>
    </w:p>
    <w:p>
      <w:pPr>
        <w:spacing w:line="360" w:lineRule="auto"/>
        <w:ind w:firstLine="480" w:firstLineChars="200"/>
        <w:rPr>
          <w:rFonts w:ascii="宋体" w:hAnsi="宋体"/>
          <w:sz w:val="24"/>
          <w:szCs w:val="24"/>
        </w:rPr>
      </w:pPr>
      <w:r>
        <w:rPr>
          <w:rFonts w:hint="eastAsia" w:ascii="宋体" w:hAnsi="宋体"/>
          <w:sz w:val="24"/>
          <w:szCs w:val="24"/>
        </w:rPr>
        <w:t>特此声明。</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p>
    <w:p>
      <w:pPr>
        <w:adjustRightInd w:val="0"/>
        <w:snapToGrid w:val="0"/>
        <w:spacing w:beforeLines="50" w:line="360" w:lineRule="auto"/>
        <w:ind w:firstLine="566" w:firstLineChars="236"/>
        <w:rPr>
          <w:rFonts w:ascii="宋体" w:hAnsi="宋体" w:cs="仿宋"/>
          <w:sz w:val="24"/>
          <w:szCs w:val="24"/>
        </w:rPr>
      </w:pPr>
      <w:r>
        <w:rPr>
          <w:rFonts w:hint="eastAsia" w:ascii="宋体" w:hAnsi="宋体" w:cs="仿宋"/>
          <w:sz w:val="24"/>
          <w:szCs w:val="24"/>
        </w:rPr>
        <w:t>法定代表人或被授权人：(签字或盖章)</w:t>
      </w:r>
    </w:p>
    <w:p>
      <w:pPr>
        <w:adjustRightInd w:val="0"/>
        <w:snapToGrid w:val="0"/>
        <w:spacing w:beforeLines="50" w:line="360" w:lineRule="auto"/>
        <w:ind w:firstLine="566" w:firstLineChars="236"/>
        <w:rPr>
          <w:rFonts w:ascii="宋体" w:hAnsi="宋体" w:cs="仿宋"/>
          <w:sz w:val="24"/>
          <w:szCs w:val="24"/>
        </w:rPr>
      </w:pPr>
      <w:r>
        <w:rPr>
          <w:rFonts w:hint="eastAsia" w:ascii="宋体" w:hAnsi="宋体"/>
          <w:sz w:val="24"/>
          <w:szCs w:val="24"/>
        </w:rPr>
        <w:t>供应商</w:t>
      </w:r>
      <w:r>
        <w:rPr>
          <w:rFonts w:hint="eastAsia" w:ascii="宋体" w:hAnsi="宋体" w:cs="仿宋"/>
          <w:sz w:val="24"/>
          <w:szCs w:val="24"/>
        </w:rPr>
        <w:t>名称（公章）：</w:t>
      </w:r>
    </w:p>
    <w:p>
      <w:pPr>
        <w:adjustRightInd w:val="0"/>
        <w:snapToGrid w:val="0"/>
        <w:spacing w:beforeLines="50" w:line="360" w:lineRule="auto"/>
        <w:ind w:firstLine="566" w:firstLineChars="236"/>
        <w:rPr>
          <w:rFonts w:ascii="宋体" w:hAnsi="宋体" w:cs="仿宋"/>
          <w:sz w:val="24"/>
          <w:szCs w:val="24"/>
        </w:rPr>
      </w:pPr>
      <w:r>
        <w:rPr>
          <w:rFonts w:hint="eastAsia" w:ascii="宋体" w:hAnsi="宋体" w:cs="仿宋"/>
          <w:sz w:val="24"/>
          <w:szCs w:val="24"/>
        </w:rPr>
        <w:t>日    期：    年     月     日</w:t>
      </w:r>
    </w:p>
    <w:p>
      <w:pPr>
        <w:spacing w:line="360" w:lineRule="auto"/>
        <w:rPr>
          <w:rFonts w:ascii="宋体" w:hAnsi="宋体"/>
          <w:b/>
          <w:bCs/>
          <w:kern w:val="0"/>
          <w:sz w:val="24"/>
        </w:rPr>
      </w:pPr>
      <w:r>
        <w:rPr>
          <w:rFonts w:ascii="宋体" w:hAnsi="宋体"/>
          <w:b/>
          <w:sz w:val="24"/>
        </w:rPr>
        <w:br w:type="page"/>
      </w:r>
      <w:r>
        <w:rPr>
          <w:rFonts w:hint="eastAsia" w:ascii="宋体" w:hAnsi="宋体"/>
          <w:b/>
          <w:bCs/>
          <w:kern w:val="0"/>
          <w:sz w:val="24"/>
        </w:rPr>
        <w:t>附件二：</w:t>
      </w:r>
    </w:p>
    <w:p>
      <w:pPr>
        <w:spacing w:line="360" w:lineRule="auto"/>
        <w:jc w:val="center"/>
        <w:rPr>
          <w:rFonts w:ascii="宋体" w:hAnsi="宋体"/>
          <w:b/>
          <w:bCs/>
          <w:kern w:val="0"/>
          <w:sz w:val="28"/>
          <w:szCs w:val="28"/>
        </w:rPr>
      </w:pPr>
      <w:r>
        <w:rPr>
          <w:rFonts w:hint="eastAsia" w:ascii="宋体" w:hAnsi="宋体"/>
          <w:b/>
          <w:bCs/>
          <w:kern w:val="0"/>
          <w:sz w:val="28"/>
          <w:szCs w:val="28"/>
        </w:rPr>
        <w:t>中小企业声明函</w:t>
      </w:r>
    </w:p>
    <w:p>
      <w:pPr>
        <w:spacing w:line="480" w:lineRule="exact"/>
        <w:ind w:firstLine="435"/>
        <w:rPr>
          <w:rFonts w:ascii="宋体" w:hAnsi="宋体"/>
          <w:sz w:val="24"/>
          <w:szCs w:val="24"/>
        </w:rPr>
      </w:pPr>
      <w:r>
        <w:rPr>
          <w:rFonts w:hint="eastAsia" w:ascii="宋体" w:hAnsi="宋体"/>
          <w:sz w:val="24"/>
          <w:szCs w:val="24"/>
        </w:rPr>
        <w:t>本公司郑重声明，根据《政府采购促进中小企业发展暂行办法》（财库【2011】181号）的规定，本公司为</w:t>
      </w:r>
      <w:r>
        <w:rPr>
          <w:rFonts w:hint="eastAsia" w:ascii="宋体" w:hAnsi="宋体"/>
          <w:sz w:val="24"/>
          <w:szCs w:val="24"/>
          <w:u w:val="single"/>
        </w:rPr>
        <w:t xml:space="preserve">     </w:t>
      </w:r>
      <w:r>
        <w:rPr>
          <w:rFonts w:hint="eastAsia" w:ascii="宋体" w:hAnsi="宋体"/>
          <w:sz w:val="24"/>
          <w:szCs w:val="24"/>
        </w:rPr>
        <w:t>（请填写：中型、小型、微型）企业。即，本公司同时满足以下条件：</w:t>
      </w:r>
    </w:p>
    <w:p>
      <w:pPr>
        <w:spacing w:line="480" w:lineRule="exact"/>
        <w:ind w:firstLine="435"/>
        <w:rPr>
          <w:rFonts w:ascii="宋体" w:hAnsi="宋体"/>
          <w:sz w:val="24"/>
          <w:szCs w:val="24"/>
        </w:rPr>
      </w:pPr>
      <w:r>
        <w:rPr>
          <w:rFonts w:hint="eastAsia" w:ascii="宋体" w:hAnsi="宋体"/>
          <w:sz w:val="24"/>
          <w:szCs w:val="24"/>
        </w:rPr>
        <w:t>1、根据《工业和信息化部、国家统计局、国家发展和改革委员会、财政部关于印发中小企业划型标准规定的通知》（工信部联企业【2011】300号）规定的划分标准，本公司为</w:t>
      </w:r>
      <w:r>
        <w:rPr>
          <w:rFonts w:hint="eastAsia" w:ascii="宋体" w:hAnsi="宋体"/>
          <w:sz w:val="24"/>
          <w:szCs w:val="24"/>
          <w:u w:val="single"/>
        </w:rPr>
        <w:t xml:space="preserve">     </w:t>
      </w:r>
      <w:r>
        <w:rPr>
          <w:rFonts w:hint="eastAsia" w:ascii="宋体" w:hAnsi="宋体"/>
          <w:sz w:val="24"/>
          <w:szCs w:val="24"/>
        </w:rPr>
        <w:t>（请填写：中型、小型、微型）企业。</w:t>
      </w:r>
    </w:p>
    <w:p>
      <w:pPr>
        <w:spacing w:line="480" w:lineRule="exact"/>
        <w:ind w:firstLine="480" w:firstLineChars="200"/>
        <w:rPr>
          <w:rFonts w:ascii="宋体" w:hAnsi="宋体"/>
          <w:sz w:val="24"/>
          <w:szCs w:val="24"/>
        </w:rPr>
      </w:pPr>
      <w:r>
        <w:rPr>
          <w:rFonts w:hint="eastAsia" w:ascii="宋体" w:hAnsi="宋体"/>
          <w:sz w:val="24"/>
          <w:szCs w:val="24"/>
        </w:rPr>
        <w:t>2、本公司参加</w:t>
      </w:r>
      <w:r>
        <w:rPr>
          <w:rFonts w:hint="eastAsia" w:ascii="宋体" w:hAnsi="宋体"/>
          <w:sz w:val="24"/>
          <w:szCs w:val="24"/>
          <w:u w:val="single"/>
        </w:rPr>
        <w:t xml:space="preserve">            </w:t>
      </w:r>
      <w:r>
        <w:rPr>
          <w:rFonts w:hint="eastAsia" w:ascii="宋体" w:hAnsi="宋体"/>
          <w:sz w:val="24"/>
          <w:szCs w:val="24"/>
        </w:rPr>
        <w:t>（采购人）的</w:t>
      </w:r>
      <w:r>
        <w:rPr>
          <w:rFonts w:hint="eastAsia" w:ascii="宋体" w:hAnsi="宋体"/>
          <w:sz w:val="24"/>
          <w:szCs w:val="24"/>
          <w:u w:val="single"/>
        </w:rPr>
        <w:t xml:space="preserve">                   </w:t>
      </w:r>
      <w:r>
        <w:rPr>
          <w:rFonts w:hint="eastAsia" w:ascii="宋体" w:hAnsi="宋体"/>
          <w:sz w:val="24"/>
          <w:szCs w:val="24"/>
        </w:rPr>
        <w:t>项目采购活动提供本企业制造的货物，由本企业承担工程、提供服务，或者提供其他</w:t>
      </w:r>
      <w:r>
        <w:rPr>
          <w:rFonts w:hint="eastAsia" w:ascii="宋体" w:hAnsi="宋体"/>
          <w:sz w:val="24"/>
          <w:szCs w:val="24"/>
          <w:u w:val="single"/>
        </w:rPr>
        <w:t xml:space="preserve">      </w:t>
      </w:r>
      <w:r>
        <w:rPr>
          <w:rFonts w:hint="eastAsia" w:ascii="宋体" w:hAnsi="宋体"/>
          <w:sz w:val="24"/>
          <w:szCs w:val="24"/>
        </w:rPr>
        <w:t>（请填写：中型、小型、微型）企业制造的货物。本条所称货物不包括使用大型企业注册商标的货物。</w:t>
      </w:r>
    </w:p>
    <w:p>
      <w:pPr>
        <w:spacing w:line="480" w:lineRule="exact"/>
        <w:ind w:firstLine="480" w:firstLineChars="200"/>
        <w:rPr>
          <w:rFonts w:ascii="宋体" w:hAnsi="宋体"/>
          <w:sz w:val="24"/>
          <w:szCs w:val="24"/>
        </w:rPr>
      </w:pPr>
      <w:r>
        <w:rPr>
          <w:rFonts w:hint="eastAsia" w:ascii="宋体" w:hAnsi="宋体"/>
          <w:sz w:val="24"/>
          <w:szCs w:val="24"/>
        </w:rPr>
        <w:t>本公司对以上声明的真实性负责。如有虚假，将依法承担相应责任。</w:t>
      </w:r>
    </w:p>
    <w:p>
      <w:pPr>
        <w:spacing w:line="480" w:lineRule="exact"/>
        <w:ind w:firstLine="480" w:firstLineChars="200"/>
        <w:rPr>
          <w:rFonts w:ascii="宋体" w:hAnsi="宋体"/>
          <w:sz w:val="24"/>
          <w:szCs w:val="24"/>
        </w:rPr>
      </w:pPr>
      <w:r>
        <w:rPr>
          <w:rFonts w:hint="eastAsia" w:ascii="宋体" w:hAnsi="宋体"/>
          <w:sz w:val="24"/>
          <w:szCs w:val="24"/>
        </w:rPr>
        <w:t>特此声明！</w:t>
      </w:r>
    </w:p>
    <w:p>
      <w:pPr>
        <w:tabs>
          <w:tab w:val="left" w:pos="4860"/>
        </w:tabs>
        <w:spacing w:line="360" w:lineRule="auto"/>
        <w:ind w:right="1304" w:firstLine="126" w:firstLineChars="50"/>
        <w:rPr>
          <w:rFonts w:ascii="宋体" w:hAnsi="宋体"/>
          <w:spacing w:val="6"/>
          <w:sz w:val="24"/>
          <w:szCs w:val="24"/>
        </w:rPr>
      </w:pPr>
    </w:p>
    <w:p>
      <w:pPr>
        <w:tabs>
          <w:tab w:val="left" w:pos="4860"/>
        </w:tabs>
        <w:spacing w:line="360" w:lineRule="auto"/>
        <w:ind w:right="1304" w:firstLine="126" w:firstLineChars="50"/>
        <w:rPr>
          <w:rFonts w:ascii="宋体" w:hAnsi="宋体"/>
          <w:spacing w:val="6"/>
          <w:sz w:val="24"/>
          <w:szCs w:val="24"/>
        </w:rPr>
      </w:pPr>
    </w:p>
    <w:p>
      <w:pPr>
        <w:spacing w:line="480" w:lineRule="exact"/>
        <w:ind w:firstLine="4920" w:firstLineChars="2050"/>
        <w:rPr>
          <w:rFonts w:ascii="宋体" w:hAnsi="宋体"/>
          <w:sz w:val="24"/>
          <w:szCs w:val="24"/>
        </w:rPr>
      </w:pPr>
      <w:r>
        <w:rPr>
          <w:rFonts w:hint="eastAsia" w:ascii="宋体" w:hAnsi="宋体"/>
          <w:sz w:val="24"/>
          <w:szCs w:val="24"/>
        </w:rPr>
        <w:t xml:space="preserve">供应商名称（公章）：             </w:t>
      </w:r>
    </w:p>
    <w:p>
      <w:pPr>
        <w:spacing w:line="480" w:lineRule="exact"/>
        <w:ind w:firstLine="4920" w:firstLineChars="2050"/>
        <w:rPr>
          <w:rFonts w:ascii="宋体" w:hAnsi="宋体"/>
          <w:sz w:val="24"/>
          <w:szCs w:val="24"/>
        </w:rPr>
      </w:pPr>
      <w:r>
        <w:rPr>
          <w:rFonts w:hint="eastAsia" w:ascii="宋体" w:hAnsi="宋体"/>
          <w:sz w:val="24"/>
          <w:szCs w:val="24"/>
        </w:rPr>
        <w:t>日期：</w:t>
      </w:r>
    </w:p>
    <w:p>
      <w:pPr>
        <w:tabs>
          <w:tab w:val="left" w:pos="4860"/>
        </w:tabs>
        <w:spacing w:line="360" w:lineRule="auto"/>
        <w:ind w:right="1304" w:firstLine="126" w:firstLineChars="50"/>
        <w:rPr>
          <w:rFonts w:ascii="宋体" w:hAnsi="宋体"/>
          <w:spacing w:val="6"/>
          <w:sz w:val="24"/>
          <w:szCs w:val="24"/>
        </w:rPr>
      </w:pPr>
    </w:p>
    <w:p>
      <w:pPr>
        <w:tabs>
          <w:tab w:val="left" w:pos="4860"/>
        </w:tabs>
        <w:spacing w:line="360" w:lineRule="auto"/>
        <w:ind w:right="1304" w:firstLine="126" w:firstLineChars="50"/>
        <w:rPr>
          <w:rFonts w:ascii="宋体" w:hAnsi="宋体"/>
          <w:spacing w:val="6"/>
          <w:sz w:val="24"/>
          <w:szCs w:val="24"/>
        </w:rPr>
      </w:pPr>
    </w:p>
    <w:p>
      <w:pPr>
        <w:tabs>
          <w:tab w:val="left" w:pos="4860"/>
        </w:tabs>
        <w:spacing w:line="360" w:lineRule="auto"/>
        <w:ind w:right="1304" w:firstLine="126" w:firstLineChars="50"/>
        <w:rPr>
          <w:rFonts w:ascii="宋体" w:hAnsi="宋体"/>
          <w:spacing w:val="6"/>
          <w:sz w:val="24"/>
          <w:szCs w:val="24"/>
        </w:rPr>
      </w:pPr>
    </w:p>
    <w:p>
      <w:pPr>
        <w:tabs>
          <w:tab w:val="left" w:pos="4860"/>
        </w:tabs>
        <w:spacing w:line="360" w:lineRule="auto"/>
        <w:ind w:right="1304" w:firstLine="126" w:firstLineChars="50"/>
        <w:rPr>
          <w:rFonts w:ascii="宋体" w:hAnsi="宋体"/>
          <w:spacing w:val="6"/>
          <w:sz w:val="24"/>
          <w:szCs w:val="24"/>
        </w:rPr>
      </w:pPr>
      <w:r>
        <w:rPr>
          <w:rFonts w:hint="eastAsia" w:ascii="宋体" w:hAnsi="宋体"/>
          <w:spacing w:val="6"/>
          <w:sz w:val="24"/>
          <w:szCs w:val="24"/>
        </w:rPr>
        <w:t>注：</w:t>
      </w:r>
    </w:p>
    <w:p>
      <w:pPr>
        <w:tabs>
          <w:tab w:val="left" w:pos="4860"/>
        </w:tabs>
        <w:spacing w:line="360" w:lineRule="auto"/>
        <w:ind w:right="1560" w:firstLine="504" w:firstLineChars="200"/>
        <w:rPr>
          <w:rFonts w:ascii="宋体" w:hAnsi="宋体"/>
          <w:spacing w:val="6"/>
          <w:sz w:val="24"/>
          <w:szCs w:val="24"/>
        </w:rPr>
      </w:pPr>
      <w:r>
        <w:rPr>
          <w:rFonts w:hint="eastAsia" w:ascii="宋体" w:hAnsi="宋体"/>
          <w:spacing w:val="6"/>
          <w:sz w:val="24"/>
          <w:szCs w:val="24"/>
        </w:rPr>
        <w:t>1、供应商非中小企业无需提供。</w:t>
      </w:r>
    </w:p>
    <w:p>
      <w:pPr>
        <w:tabs>
          <w:tab w:val="left" w:pos="4860"/>
        </w:tabs>
        <w:spacing w:line="360" w:lineRule="auto"/>
        <w:ind w:firstLine="504" w:firstLineChars="200"/>
        <w:rPr>
          <w:rFonts w:ascii="宋体" w:hAnsi="宋体"/>
          <w:spacing w:val="6"/>
          <w:sz w:val="24"/>
          <w:szCs w:val="24"/>
        </w:rPr>
      </w:pPr>
      <w:r>
        <w:rPr>
          <w:rFonts w:hint="eastAsia" w:ascii="宋体" w:hAnsi="宋体"/>
          <w:spacing w:val="6"/>
          <w:sz w:val="24"/>
          <w:szCs w:val="24"/>
        </w:rPr>
        <w:t>2、供应商是中小企业且本项目所投货物为中小微企业制造时，需提供生产企业为中小企业的相应证明文件。</w:t>
      </w:r>
    </w:p>
    <w:p>
      <w:pPr>
        <w:spacing w:line="480" w:lineRule="exact"/>
        <w:ind w:firstLine="4551" w:firstLineChars="2050"/>
        <w:rPr>
          <w:rFonts w:ascii="宋体" w:hAnsi="宋体"/>
          <w:spacing w:val="6"/>
          <w:szCs w:val="24"/>
        </w:rPr>
      </w:pPr>
    </w:p>
    <w:p>
      <w:pPr>
        <w:spacing w:line="360" w:lineRule="auto"/>
        <w:jc w:val="center"/>
        <w:rPr>
          <w:rFonts w:ascii="宋体" w:hAnsi="宋体"/>
          <w:b/>
          <w:bCs/>
          <w:kern w:val="0"/>
          <w:sz w:val="28"/>
          <w:szCs w:val="28"/>
        </w:rPr>
      </w:pPr>
    </w:p>
    <w:p>
      <w:pPr>
        <w:widowControl/>
        <w:jc w:val="left"/>
        <w:rPr>
          <w:rFonts w:ascii="宋体" w:hAnsi="宋体"/>
          <w:b/>
          <w:bCs/>
          <w:kern w:val="0"/>
          <w:sz w:val="24"/>
        </w:rPr>
      </w:pPr>
      <w:r>
        <w:rPr>
          <w:rFonts w:ascii="宋体" w:hAnsi="宋体"/>
          <w:b/>
          <w:bCs/>
          <w:kern w:val="0"/>
          <w:sz w:val="24"/>
        </w:rPr>
        <w:br w:type="page"/>
      </w:r>
    </w:p>
    <w:p>
      <w:pPr>
        <w:spacing w:line="360" w:lineRule="auto"/>
        <w:jc w:val="left"/>
        <w:rPr>
          <w:rFonts w:ascii="宋体"/>
          <w:b/>
          <w:bCs/>
          <w:kern w:val="0"/>
          <w:sz w:val="24"/>
        </w:rPr>
      </w:pPr>
      <w:r>
        <w:rPr>
          <w:rFonts w:hint="eastAsia" w:ascii="宋体"/>
          <w:b/>
          <w:bCs/>
          <w:kern w:val="0"/>
          <w:sz w:val="24"/>
        </w:rPr>
        <w:t>附件三：</w:t>
      </w:r>
    </w:p>
    <w:p>
      <w:pPr>
        <w:spacing w:line="360" w:lineRule="auto"/>
        <w:jc w:val="center"/>
        <w:rPr>
          <w:rFonts w:ascii="宋体"/>
          <w:b/>
          <w:bCs/>
          <w:kern w:val="0"/>
          <w:sz w:val="28"/>
          <w:szCs w:val="28"/>
        </w:rPr>
      </w:pPr>
      <w:r>
        <w:rPr>
          <w:rFonts w:hint="eastAsia" w:ascii="宋体" w:hAnsi="宋体"/>
          <w:b/>
          <w:bCs/>
          <w:kern w:val="0"/>
          <w:sz w:val="28"/>
          <w:szCs w:val="28"/>
        </w:rPr>
        <w:t>关于信用担保的说明</w:t>
      </w:r>
    </w:p>
    <w:p>
      <w:pPr>
        <w:spacing w:line="360" w:lineRule="auto"/>
        <w:ind w:firstLine="480" w:firstLineChars="200"/>
        <w:rPr>
          <w:rFonts w:ascii="宋体"/>
          <w:kern w:val="0"/>
          <w:sz w:val="24"/>
        </w:rPr>
      </w:pPr>
      <w:r>
        <w:rPr>
          <w:rFonts w:ascii="宋体" w:hAnsi="宋体"/>
          <w:kern w:val="0"/>
          <w:sz w:val="24"/>
        </w:rPr>
        <w:t>1</w:t>
      </w:r>
      <w:r>
        <w:rPr>
          <w:rFonts w:hint="eastAsia" w:ascii="宋体" w:hAnsi="宋体"/>
          <w:kern w:val="0"/>
          <w:sz w:val="24"/>
        </w:rPr>
        <w:t>、投标供应商在投标、履约、融资等环节可自愿选择采取信用担保的形式。</w:t>
      </w:r>
    </w:p>
    <w:p>
      <w:pPr>
        <w:spacing w:line="360" w:lineRule="auto"/>
        <w:ind w:firstLine="480" w:firstLineChars="200"/>
        <w:rPr>
          <w:rFonts w:ascii="宋体"/>
          <w:kern w:val="0"/>
          <w:sz w:val="24"/>
        </w:rPr>
      </w:pPr>
      <w:r>
        <w:rPr>
          <w:rFonts w:ascii="宋体" w:hAnsi="宋体"/>
          <w:kern w:val="0"/>
          <w:sz w:val="24"/>
        </w:rPr>
        <w:t>2</w:t>
      </w:r>
      <w:r>
        <w:rPr>
          <w:rFonts w:hint="eastAsia" w:ascii="宋体" w:hAnsi="宋体"/>
          <w:kern w:val="0"/>
          <w:sz w:val="24"/>
        </w:rPr>
        <w:t>、投标供应商可以自愿选择是否采取投标担保函（格式见附件三）的形式交纳投标保证金，也可以自愿选择是否采取履约担保函（格式见附件四）的形式交纳履约保证金。</w:t>
      </w:r>
    </w:p>
    <w:p>
      <w:pPr>
        <w:spacing w:line="360" w:lineRule="auto"/>
        <w:ind w:firstLine="480" w:firstLineChars="200"/>
        <w:rPr>
          <w:rFonts w:ascii="宋体"/>
          <w:kern w:val="0"/>
          <w:sz w:val="24"/>
        </w:rPr>
      </w:pPr>
      <w:r>
        <w:rPr>
          <w:rFonts w:ascii="宋体" w:hAnsi="宋体"/>
          <w:kern w:val="0"/>
          <w:sz w:val="24"/>
        </w:rPr>
        <w:t>3</w:t>
      </w:r>
      <w:r>
        <w:rPr>
          <w:rFonts w:hint="eastAsia" w:ascii="宋体" w:hAnsi="宋体"/>
          <w:kern w:val="0"/>
          <w:sz w:val="24"/>
        </w:rPr>
        <w:t>、具体详见西安市财政局关于印发《西安市政府采购信用担保及信用融资工作实施方案（试行）》的通知（市财发〔</w:t>
      </w:r>
      <w:r>
        <w:rPr>
          <w:rFonts w:ascii="宋体" w:hAnsi="宋体"/>
          <w:kern w:val="0"/>
          <w:sz w:val="24"/>
        </w:rPr>
        <w:t>2014</w:t>
      </w:r>
      <w:r>
        <w:rPr>
          <w:rFonts w:hint="eastAsia" w:ascii="宋体" w:hAnsi="宋体"/>
          <w:kern w:val="0"/>
          <w:sz w:val="24"/>
        </w:rPr>
        <w:t>〕</w:t>
      </w:r>
      <w:r>
        <w:rPr>
          <w:rFonts w:ascii="宋体" w:hAnsi="宋体"/>
          <w:kern w:val="0"/>
          <w:sz w:val="24"/>
        </w:rPr>
        <w:t>167</w:t>
      </w:r>
      <w:r>
        <w:rPr>
          <w:rFonts w:hint="eastAsia" w:ascii="宋体" w:hAnsi="宋体"/>
          <w:kern w:val="0"/>
          <w:sz w:val="24"/>
        </w:rPr>
        <w:t>号）及西安市财政局关于贯彻落实《西安市政府采购信用担保及信用融资工作实施方案（试行）》有关事宜的通知（市财发〔</w:t>
      </w:r>
      <w:r>
        <w:rPr>
          <w:rFonts w:ascii="宋体" w:hAnsi="宋体"/>
          <w:kern w:val="0"/>
          <w:sz w:val="24"/>
        </w:rPr>
        <w:t>2015</w:t>
      </w:r>
      <w:r>
        <w:rPr>
          <w:rFonts w:hint="eastAsia" w:ascii="宋体" w:hAnsi="宋体"/>
          <w:kern w:val="0"/>
          <w:sz w:val="24"/>
        </w:rPr>
        <w:t>〕</w:t>
      </w:r>
      <w:r>
        <w:rPr>
          <w:rFonts w:ascii="宋体" w:hAnsi="宋体"/>
          <w:kern w:val="0"/>
          <w:sz w:val="24"/>
        </w:rPr>
        <w:t>4</w:t>
      </w:r>
      <w:r>
        <w:rPr>
          <w:rFonts w:hint="eastAsia" w:ascii="宋体" w:hAnsi="宋体"/>
          <w:kern w:val="0"/>
          <w:sz w:val="24"/>
        </w:rPr>
        <w:t>号）。</w:t>
      </w:r>
    </w:p>
    <w:p>
      <w:pPr>
        <w:spacing w:line="360" w:lineRule="auto"/>
        <w:rPr>
          <w:rFonts w:ascii="宋体" w:hAnsi="宋体"/>
          <w:kern w:val="0"/>
          <w:sz w:val="24"/>
        </w:rPr>
      </w:pPr>
      <w:r>
        <w:rPr>
          <w:rFonts w:hint="eastAsia" w:ascii="宋体" w:hAnsi="宋体"/>
          <w:kern w:val="0"/>
          <w:sz w:val="24"/>
        </w:rPr>
        <w:t>联系方式如下：</w:t>
      </w:r>
    </w:p>
    <w:tbl>
      <w:tblPr>
        <w:tblStyle w:val="20"/>
        <w:tblW w:w="0" w:type="auto"/>
        <w:tblInd w:w="93" w:type="dxa"/>
        <w:tblLayout w:type="fixed"/>
        <w:tblCellMar>
          <w:top w:w="0" w:type="dxa"/>
          <w:left w:w="108" w:type="dxa"/>
          <w:bottom w:w="0" w:type="dxa"/>
          <w:right w:w="108" w:type="dxa"/>
        </w:tblCellMar>
      </w:tblPr>
      <w:tblGrid>
        <w:gridCol w:w="643"/>
        <w:gridCol w:w="1782"/>
        <w:gridCol w:w="2100"/>
        <w:gridCol w:w="1260"/>
        <w:gridCol w:w="945"/>
        <w:gridCol w:w="1785"/>
        <w:gridCol w:w="735"/>
      </w:tblGrid>
      <w:tr>
        <w:tblPrEx>
          <w:tblCellMar>
            <w:top w:w="0" w:type="dxa"/>
            <w:left w:w="108" w:type="dxa"/>
            <w:bottom w:w="0" w:type="dxa"/>
            <w:right w:w="108" w:type="dxa"/>
          </w:tblCellMar>
        </w:tblPrEx>
        <w:trPr>
          <w:trHeight w:val="585" w:hRule="atLeast"/>
        </w:trPr>
        <w:tc>
          <w:tcPr>
            <w:tcW w:w="9250" w:type="dxa"/>
            <w:gridSpan w:val="7"/>
            <w:tcBorders>
              <w:top w:val="nil"/>
              <w:left w:val="nil"/>
              <w:bottom w:val="single" w:color="auto" w:sz="4" w:space="0"/>
              <w:right w:val="nil"/>
            </w:tcBorders>
            <w:vAlign w:val="center"/>
          </w:tcPr>
          <w:p>
            <w:pPr>
              <w:widowControl/>
              <w:jc w:val="center"/>
              <w:rPr>
                <w:rFonts w:ascii="宋体" w:hAnsi="宋体" w:cs="宋体"/>
                <w:kern w:val="0"/>
                <w:szCs w:val="21"/>
              </w:rPr>
            </w:pPr>
            <w:r>
              <w:rPr>
                <w:rFonts w:hint="eastAsia" w:ascii="宋体" w:hAnsi="宋体" w:cs="宋体"/>
                <w:b/>
                <w:bCs/>
                <w:kern w:val="0"/>
                <w:szCs w:val="21"/>
              </w:rPr>
              <w:t>西安市政府采购信用担保及信用融资合作机构联系名单</w:t>
            </w:r>
          </w:p>
        </w:tc>
      </w:tr>
      <w:tr>
        <w:tblPrEx>
          <w:tblCellMar>
            <w:top w:w="0" w:type="dxa"/>
            <w:left w:w="108" w:type="dxa"/>
            <w:bottom w:w="0" w:type="dxa"/>
            <w:right w:w="108" w:type="dxa"/>
          </w:tblCellMar>
        </w:tblPrEx>
        <w:trPr>
          <w:trHeight w:val="499"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序号</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合作单位名称</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主办单位名称</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联系部门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联系人员</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联系电话</w:t>
            </w:r>
          </w:p>
        </w:tc>
        <w:tc>
          <w:tcPr>
            <w:tcW w:w="73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备注</w:t>
            </w:r>
          </w:p>
        </w:tc>
      </w:tr>
      <w:tr>
        <w:tblPrEx>
          <w:tblCellMar>
            <w:top w:w="0" w:type="dxa"/>
            <w:left w:w="108" w:type="dxa"/>
            <w:bottom w:w="0" w:type="dxa"/>
            <w:right w:w="108" w:type="dxa"/>
          </w:tblCellMar>
        </w:tblPrEx>
        <w:trPr>
          <w:trHeight w:val="825"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西安投融资担保有限公司</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西安投融资担保有限公司</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业务五部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李晓</w:t>
            </w:r>
          </w:p>
          <w:p>
            <w:pPr>
              <w:widowControl/>
              <w:jc w:val="center"/>
              <w:rPr>
                <w:rFonts w:ascii="宋体" w:hAnsi="宋体" w:cs="宋体"/>
                <w:kern w:val="0"/>
                <w:szCs w:val="21"/>
              </w:rPr>
            </w:pPr>
            <w:r>
              <w:rPr>
                <w:rFonts w:hint="eastAsia" w:ascii="宋体" w:hAnsi="宋体" w:cs="宋体"/>
                <w:kern w:val="0"/>
                <w:szCs w:val="21"/>
              </w:rPr>
              <w:t>何彦君</w:t>
            </w:r>
          </w:p>
          <w:p>
            <w:pPr>
              <w:widowControl/>
              <w:jc w:val="center"/>
              <w:rPr>
                <w:rFonts w:ascii="宋体" w:hAnsi="宋体" w:cs="宋体"/>
                <w:kern w:val="0"/>
                <w:szCs w:val="21"/>
              </w:rPr>
            </w:pPr>
            <w:r>
              <w:rPr>
                <w:rFonts w:hint="eastAsia" w:ascii="宋体" w:hAnsi="宋体" w:cs="宋体"/>
                <w:kern w:val="0"/>
                <w:szCs w:val="21"/>
              </w:rPr>
              <w:t>张华</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88499422 13572821281</w:t>
            </w:r>
          </w:p>
          <w:p>
            <w:pPr>
              <w:widowControl/>
              <w:jc w:val="center"/>
              <w:rPr>
                <w:rFonts w:ascii="宋体" w:hAnsi="宋体" w:cs="宋体"/>
                <w:kern w:val="0"/>
                <w:szCs w:val="21"/>
              </w:rPr>
            </w:pPr>
            <w:r>
              <w:rPr>
                <w:rFonts w:hint="eastAsia" w:ascii="宋体" w:hAnsi="宋体" w:cs="宋体"/>
                <w:kern w:val="0"/>
                <w:szCs w:val="21"/>
              </w:rPr>
              <w:t>13679255205</w:t>
            </w:r>
          </w:p>
          <w:p>
            <w:pPr>
              <w:widowControl/>
              <w:jc w:val="center"/>
              <w:rPr>
                <w:rFonts w:ascii="宋体" w:hAnsi="宋体" w:cs="宋体"/>
                <w:kern w:val="0"/>
                <w:szCs w:val="21"/>
              </w:rPr>
            </w:pPr>
            <w:r>
              <w:rPr>
                <w:rFonts w:hint="eastAsia" w:ascii="宋体" w:hAnsi="宋体" w:cs="宋体"/>
                <w:kern w:val="0"/>
                <w:szCs w:val="21"/>
              </w:rPr>
              <w:t>18220823060</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信用担保</w:t>
            </w:r>
          </w:p>
        </w:tc>
      </w:tr>
      <w:tr>
        <w:tblPrEx>
          <w:tblCellMar>
            <w:top w:w="0" w:type="dxa"/>
            <w:left w:w="108" w:type="dxa"/>
            <w:bottom w:w="0" w:type="dxa"/>
            <w:right w:w="108" w:type="dxa"/>
          </w:tblCellMar>
        </w:tblPrEx>
        <w:trPr>
          <w:trHeight w:val="810"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2</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陕西省信用再担保</w:t>
            </w:r>
          </w:p>
          <w:p>
            <w:pPr>
              <w:widowControl/>
              <w:jc w:val="center"/>
              <w:rPr>
                <w:rFonts w:ascii="宋体" w:hAnsi="宋体" w:cs="宋体"/>
                <w:kern w:val="0"/>
                <w:szCs w:val="21"/>
              </w:rPr>
            </w:pPr>
            <w:r>
              <w:rPr>
                <w:rFonts w:hint="eastAsia" w:ascii="宋体" w:hAnsi="宋体" w:cs="宋体"/>
                <w:kern w:val="0"/>
                <w:szCs w:val="21"/>
              </w:rPr>
              <w:t>有限责任公司</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陕西省信用再担保</w:t>
            </w:r>
          </w:p>
          <w:p>
            <w:pPr>
              <w:widowControl/>
              <w:jc w:val="center"/>
              <w:rPr>
                <w:rFonts w:ascii="宋体" w:hAnsi="宋体" w:cs="宋体"/>
                <w:kern w:val="0"/>
                <w:szCs w:val="21"/>
              </w:rPr>
            </w:pPr>
            <w:r>
              <w:rPr>
                <w:rFonts w:hint="eastAsia" w:ascii="宋体" w:hAnsi="宋体" w:cs="宋体"/>
                <w:kern w:val="0"/>
                <w:szCs w:val="21"/>
              </w:rPr>
              <w:t>有限责任公司</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业务三部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夏靖颜</w:t>
            </w:r>
          </w:p>
          <w:p>
            <w:pPr>
              <w:widowControl/>
              <w:jc w:val="center"/>
              <w:rPr>
                <w:rFonts w:ascii="宋体" w:hAnsi="宋体" w:cs="宋体"/>
                <w:kern w:val="0"/>
                <w:szCs w:val="21"/>
              </w:rPr>
            </w:pPr>
            <w:r>
              <w:rPr>
                <w:rFonts w:hint="eastAsia" w:ascii="宋体" w:hAnsi="宋体" w:cs="宋体"/>
                <w:kern w:val="0"/>
                <w:szCs w:val="21"/>
              </w:rPr>
              <w:t>朱筠祥</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88606038-6027</w:t>
            </w:r>
          </w:p>
          <w:p>
            <w:pPr>
              <w:widowControl/>
              <w:jc w:val="center"/>
              <w:rPr>
                <w:rFonts w:ascii="宋体" w:hAnsi="宋体" w:cs="宋体"/>
                <w:kern w:val="0"/>
                <w:szCs w:val="21"/>
              </w:rPr>
            </w:pPr>
            <w:r>
              <w:rPr>
                <w:rFonts w:hint="eastAsia" w:ascii="宋体" w:hAnsi="宋体" w:cs="宋体"/>
                <w:kern w:val="0"/>
                <w:szCs w:val="21"/>
              </w:rPr>
              <w:t>18591406320</w:t>
            </w:r>
          </w:p>
          <w:p>
            <w:pPr>
              <w:widowControl/>
              <w:jc w:val="center"/>
              <w:rPr>
                <w:rFonts w:ascii="宋体" w:hAnsi="宋体" w:cs="宋体"/>
                <w:kern w:val="0"/>
                <w:szCs w:val="21"/>
              </w:rPr>
            </w:pPr>
            <w:r>
              <w:rPr>
                <w:rFonts w:hint="eastAsia" w:ascii="宋体" w:hAnsi="宋体" w:cs="宋体"/>
                <w:kern w:val="0"/>
                <w:szCs w:val="21"/>
              </w:rPr>
              <w:t>18629282228</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信用担保</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中国银行股份有限公司</w:t>
            </w:r>
          </w:p>
          <w:p>
            <w:pPr>
              <w:widowControl/>
              <w:jc w:val="center"/>
              <w:rPr>
                <w:rFonts w:ascii="宋体" w:hAnsi="宋体" w:cs="宋体"/>
                <w:kern w:val="0"/>
                <w:szCs w:val="21"/>
              </w:rPr>
            </w:pPr>
            <w:r>
              <w:rPr>
                <w:rFonts w:hint="eastAsia" w:ascii="宋体" w:hAnsi="宋体" w:cs="宋体"/>
                <w:kern w:val="0"/>
                <w:szCs w:val="21"/>
              </w:rPr>
              <w:t>陕西省分行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中国银行西安二环世纪星支行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公司业务部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xml:space="preserve">胡涛 </w:t>
            </w:r>
          </w:p>
          <w:p>
            <w:pPr>
              <w:widowControl/>
              <w:jc w:val="center"/>
              <w:rPr>
                <w:rFonts w:ascii="宋体" w:hAnsi="宋体" w:cs="宋体"/>
                <w:kern w:val="0"/>
                <w:szCs w:val="21"/>
              </w:rPr>
            </w:pPr>
            <w:r>
              <w:rPr>
                <w:rFonts w:hint="eastAsia" w:ascii="宋体" w:hAnsi="宋体" w:cs="宋体"/>
                <w:kern w:val="0"/>
                <w:szCs w:val="21"/>
              </w:rPr>
              <w:t>叶楚沙</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88360743 18629048822</w:t>
            </w:r>
          </w:p>
          <w:p>
            <w:pPr>
              <w:widowControl/>
              <w:jc w:val="center"/>
              <w:rPr>
                <w:rFonts w:ascii="宋体" w:hAnsi="宋体" w:cs="宋体"/>
                <w:kern w:val="0"/>
                <w:szCs w:val="21"/>
              </w:rPr>
            </w:pPr>
            <w:r>
              <w:rPr>
                <w:rFonts w:hint="eastAsia" w:ascii="宋体" w:hAnsi="宋体" w:cs="宋体"/>
                <w:kern w:val="0"/>
                <w:szCs w:val="21"/>
              </w:rPr>
              <w:t>88360749 13772153612</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4</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中国建设银行股份有限公司</w:t>
            </w:r>
          </w:p>
          <w:p>
            <w:pPr>
              <w:widowControl/>
              <w:jc w:val="center"/>
              <w:rPr>
                <w:rFonts w:ascii="宋体" w:hAnsi="宋体" w:cs="宋体"/>
                <w:kern w:val="0"/>
                <w:szCs w:val="21"/>
              </w:rPr>
            </w:pPr>
            <w:r>
              <w:rPr>
                <w:rFonts w:hint="eastAsia" w:ascii="宋体" w:hAnsi="宋体" w:cs="宋体"/>
                <w:kern w:val="0"/>
                <w:szCs w:val="21"/>
              </w:rPr>
              <w:t>陕西省分行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建设银行西安市南大街支行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公司部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杨向晖</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87281468</w:t>
            </w:r>
          </w:p>
          <w:p>
            <w:pPr>
              <w:widowControl/>
              <w:jc w:val="center"/>
              <w:rPr>
                <w:rFonts w:ascii="宋体" w:hAnsi="宋体" w:cs="宋体"/>
                <w:kern w:val="0"/>
                <w:szCs w:val="21"/>
              </w:rPr>
            </w:pPr>
            <w:r>
              <w:rPr>
                <w:rFonts w:hint="eastAsia" w:ascii="宋体" w:hAnsi="宋体" w:cs="宋体"/>
                <w:kern w:val="0"/>
                <w:szCs w:val="21"/>
              </w:rPr>
              <w:t>13379229383</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5</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中国工商银行股份有限公司</w:t>
            </w:r>
          </w:p>
          <w:p>
            <w:pPr>
              <w:widowControl/>
              <w:jc w:val="center"/>
              <w:rPr>
                <w:rFonts w:ascii="宋体" w:hAnsi="宋体" w:cs="宋体"/>
                <w:kern w:val="0"/>
                <w:szCs w:val="21"/>
              </w:rPr>
            </w:pPr>
            <w:r>
              <w:rPr>
                <w:rFonts w:hint="eastAsia" w:ascii="宋体" w:hAnsi="宋体" w:cs="宋体"/>
                <w:kern w:val="0"/>
                <w:szCs w:val="21"/>
              </w:rPr>
              <w:t>陕西省分行营业部</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工商银行陕西分行营业部</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小企业金融业务部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牛国群</w:t>
            </w:r>
          </w:p>
          <w:p>
            <w:pPr>
              <w:widowControl/>
              <w:jc w:val="center"/>
              <w:rPr>
                <w:rFonts w:ascii="宋体" w:hAnsi="宋体" w:cs="宋体"/>
                <w:kern w:val="0"/>
                <w:szCs w:val="21"/>
              </w:rPr>
            </w:pPr>
            <w:r>
              <w:rPr>
                <w:rFonts w:hint="eastAsia" w:ascii="宋体" w:hAnsi="宋体" w:cs="宋体"/>
                <w:kern w:val="0"/>
                <w:szCs w:val="21"/>
              </w:rPr>
              <w:t>张航</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87609569 18992851811</w:t>
            </w:r>
          </w:p>
          <w:p>
            <w:pPr>
              <w:widowControl/>
              <w:jc w:val="center"/>
              <w:rPr>
                <w:rFonts w:ascii="宋体" w:hAnsi="宋体" w:cs="宋体"/>
                <w:kern w:val="0"/>
                <w:szCs w:val="21"/>
              </w:rPr>
            </w:pPr>
            <w:r>
              <w:rPr>
                <w:rFonts w:hint="eastAsia" w:ascii="宋体" w:hAnsi="宋体" w:cs="宋体"/>
                <w:kern w:val="0"/>
                <w:szCs w:val="21"/>
              </w:rPr>
              <w:t>87609761 13891883334</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6</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中国农业银行股份有限公司</w:t>
            </w:r>
          </w:p>
          <w:p>
            <w:pPr>
              <w:widowControl/>
              <w:jc w:val="center"/>
              <w:rPr>
                <w:rFonts w:ascii="宋体" w:hAnsi="宋体" w:cs="宋体"/>
                <w:kern w:val="0"/>
                <w:szCs w:val="21"/>
              </w:rPr>
            </w:pPr>
            <w:r>
              <w:rPr>
                <w:rFonts w:hint="eastAsia" w:ascii="宋体" w:hAnsi="宋体" w:cs="宋体"/>
                <w:kern w:val="0"/>
                <w:szCs w:val="21"/>
              </w:rPr>
              <w:t>陕西省分行营业部</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农业银行西安西大街支行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公司业务部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贾珊</w:t>
            </w:r>
          </w:p>
          <w:p>
            <w:pPr>
              <w:widowControl/>
              <w:jc w:val="center"/>
              <w:rPr>
                <w:rFonts w:ascii="宋体" w:hAnsi="宋体" w:cs="宋体"/>
                <w:kern w:val="0"/>
                <w:szCs w:val="21"/>
              </w:rPr>
            </w:pPr>
            <w:r>
              <w:rPr>
                <w:rFonts w:hint="eastAsia" w:ascii="宋体" w:hAnsi="宋体" w:cs="宋体"/>
                <w:kern w:val="0"/>
                <w:szCs w:val="21"/>
              </w:rPr>
              <w:t>高雅</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87617245 13891957123</w:t>
            </w:r>
          </w:p>
          <w:p>
            <w:pPr>
              <w:widowControl/>
              <w:jc w:val="center"/>
              <w:rPr>
                <w:rFonts w:ascii="宋体" w:hAnsi="宋体" w:cs="宋体"/>
                <w:kern w:val="0"/>
                <w:szCs w:val="21"/>
              </w:rPr>
            </w:pPr>
            <w:r>
              <w:rPr>
                <w:rFonts w:hint="eastAsia" w:ascii="宋体" w:hAnsi="宋体" w:cs="宋体"/>
                <w:kern w:val="0"/>
                <w:szCs w:val="21"/>
              </w:rPr>
              <w:t>87613444 13659192425</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7</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交通银行股份有限公司</w:t>
            </w:r>
          </w:p>
          <w:p>
            <w:pPr>
              <w:widowControl/>
              <w:jc w:val="center"/>
              <w:rPr>
                <w:rFonts w:ascii="宋体" w:hAnsi="宋体" w:cs="宋体"/>
                <w:kern w:val="0"/>
                <w:szCs w:val="21"/>
              </w:rPr>
            </w:pPr>
            <w:r>
              <w:rPr>
                <w:rFonts w:hint="eastAsia" w:ascii="宋体" w:hAnsi="宋体" w:cs="宋体"/>
                <w:kern w:val="0"/>
                <w:szCs w:val="21"/>
              </w:rPr>
              <w:t>陕西省分行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交通银行西安西五路支行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个人贷款中心</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李卫公</w:t>
            </w:r>
          </w:p>
          <w:p>
            <w:pPr>
              <w:widowControl/>
              <w:jc w:val="center"/>
              <w:rPr>
                <w:rFonts w:ascii="宋体" w:hAnsi="宋体" w:cs="宋体"/>
                <w:kern w:val="0"/>
                <w:szCs w:val="21"/>
              </w:rPr>
            </w:pPr>
            <w:r>
              <w:rPr>
                <w:rFonts w:hint="eastAsia" w:ascii="宋体" w:hAnsi="宋体" w:cs="宋体"/>
                <w:kern w:val="0"/>
                <w:szCs w:val="21"/>
              </w:rPr>
              <w:t>雷强</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87297632 13991290525</w:t>
            </w:r>
          </w:p>
          <w:p>
            <w:pPr>
              <w:widowControl/>
              <w:jc w:val="center"/>
              <w:rPr>
                <w:rFonts w:ascii="宋体" w:hAnsi="宋体" w:cs="宋体"/>
                <w:kern w:val="0"/>
                <w:szCs w:val="21"/>
              </w:rPr>
            </w:pPr>
            <w:r>
              <w:rPr>
                <w:rFonts w:hint="eastAsia" w:ascii="宋体" w:hAnsi="宋体" w:cs="宋体"/>
                <w:kern w:val="0"/>
                <w:szCs w:val="21"/>
              </w:rPr>
              <w:t>87272444 18629362690</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w:t>
            </w:r>
          </w:p>
        </w:tc>
        <w:tc>
          <w:tcPr>
            <w:tcW w:w="178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招商银行股份有限公司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招商银行西安未央路支行</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公司银行部</w:t>
            </w:r>
          </w:p>
        </w:tc>
        <w:tc>
          <w:tcPr>
            <w:tcW w:w="94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杨皓</w:t>
            </w:r>
          </w:p>
          <w:p>
            <w:pPr>
              <w:widowControl/>
              <w:jc w:val="center"/>
              <w:rPr>
                <w:rFonts w:ascii="宋体" w:hAnsi="宋体" w:cs="宋体"/>
                <w:kern w:val="0"/>
                <w:szCs w:val="21"/>
              </w:rPr>
            </w:pPr>
            <w:r>
              <w:rPr>
                <w:rFonts w:hint="eastAsia" w:ascii="宋体" w:hAnsi="宋体" w:cs="宋体"/>
                <w:kern w:val="0"/>
                <w:szCs w:val="21"/>
              </w:rPr>
              <w:t>马秦香</w:t>
            </w:r>
          </w:p>
        </w:tc>
        <w:tc>
          <w:tcPr>
            <w:tcW w:w="17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62811553 15002905553</w:t>
            </w:r>
          </w:p>
          <w:p>
            <w:pPr>
              <w:widowControl/>
              <w:jc w:val="center"/>
              <w:rPr>
                <w:rFonts w:ascii="宋体" w:hAnsi="宋体" w:cs="宋体"/>
                <w:kern w:val="0"/>
                <w:szCs w:val="21"/>
              </w:rPr>
            </w:pPr>
            <w:r>
              <w:rPr>
                <w:rFonts w:hint="eastAsia" w:ascii="宋体" w:hAnsi="宋体" w:cs="宋体"/>
                <w:kern w:val="0"/>
                <w:szCs w:val="21"/>
              </w:rPr>
              <w:t>62811553 13609183259</w:t>
            </w:r>
          </w:p>
        </w:tc>
        <w:tc>
          <w:tcPr>
            <w:tcW w:w="73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9</w:t>
            </w:r>
          </w:p>
        </w:tc>
        <w:tc>
          <w:tcPr>
            <w:tcW w:w="178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中国民生银行股份有限公司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民生银行西安分行</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城建金融部</w:t>
            </w:r>
          </w:p>
        </w:tc>
        <w:tc>
          <w:tcPr>
            <w:tcW w:w="94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李楠</w:t>
            </w:r>
          </w:p>
        </w:tc>
        <w:tc>
          <w:tcPr>
            <w:tcW w:w="178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88266088-8450</w:t>
            </w:r>
          </w:p>
          <w:p>
            <w:pPr>
              <w:widowControl/>
              <w:jc w:val="center"/>
              <w:rPr>
                <w:rFonts w:ascii="宋体" w:hAnsi="宋体" w:cs="宋体"/>
                <w:kern w:val="0"/>
                <w:szCs w:val="21"/>
              </w:rPr>
            </w:pPr>
            <w:r>
              <w:rPr>
                <w:rFonts w:hint="eastAsia" w:ascii="宋体" w:hAnsi="宋体" w:cs="宋体"/>
                <w:kern w:val="0"/>
                <w:szCs w:val="21"/>
              </w:rPr>
              <w:t>13572058213</w:t>
            </w:r>
          </w:p>
        </w:tc>
        <w:tc>
          <w:tcPr>
            <w:tcW w:w="73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10</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中国光大银行股份有限公司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光大银行经济技术开发区支行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对公客户经理部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高艺瑄</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15619006186</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11</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昆仑银行股份有限公司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昆仑银行西安分行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机构投行部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韩天清</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86978975</w:t>
            </w:r>
          </w:p>
          <w:p>
            <w:pPr>
              <w:widowControl/>
              <w:jc w:val="center"/>
              <w:rPr>
                <w:rFonts w:ascii="宋体" w:hAnsi="宋体" w:cs="宋体"/>
                <w:kern w:val="0"/>
                <w:szCs w:val="21"/>
              </w:rPr>
            </w:pPr>
            <w:r>
              <w:rPr>
                <w:rFonts w:hint="eastAsia" w:ascii="宋体" w:hAnsi="宋体" w:cs="宋体"/>
                <w:kern w:val="0"/>
                <w:szCs w:val="21"/>
              </w:rPr>
              <w:t>15609108028</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12</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平安银行股份有限公司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平安银行西安分行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业务发展七部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祝捷</w:t>
            </w:r>
          </w:p>
          <w:p>
            <w:pPr>
              <w:widowControl/>
              <w:jc w:val="center"/>
              <w:rPr>
                <w:rFonts w:ascii="宋体" w:hAnsi="宋体" w:cs="宋体"/>
                <w:kern w:val="0"/>
                <w:szCs w:val="21"/>
              </w:rPr>
            </w:pPr>
            <w:r>
              <w:rPr>
                <w:rFonts w:hint="eastAsia" w:ascii="宋体" w:hAnsi="宋体" w:cs="宋体"/>
                <w:kern w:val="0"/>
                <w:szCs w:val="21"/>
              </w:rPr>
              <w:t>王尧</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18629505188</w:t>
            </w:r>
          </w:p>
          <w:p>
            <w:pPr>
              <w:widowControl/>
              <w:jc w:val="center"/>
              <w:rPr>
                <w:rFonts w:ascii="宋体" w:hAnsi="宋体" w:cs="宋体"/>
                <w:kern w:val="0"/>
                <w:szCs w:val="21"/>
              </w:rPr>
            </w:pPr>
            <w:r>
              <w:rPr>
                <w:rFonts w:hint="eastAsia" w:ascii="宋体" w:hAnsi="宋体" w:cs="宋体"/>
                <w:kern w:val="0"/>
                <w:szCs w:val="21"/>
              </w:rPr>
              <w:t>18591767577</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13</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北京银行股份有限公司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北京银行西安分行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营业部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范诗阳</w:t>
            </w:r>
          </w:p>
          <w:p>
            <w:pPr>
              <w:widowControl/>
              <w:jc w:val="center"/>
              <w:rPr>
                <w:rFonts w:ascii="宋体" w:hAnsi="宋体" w:cs="宋体"/>
                <w:kern w:val="0"/>
                <w:szCs w:val="21"/>
              </w:rPr>
            </w:pPr>
            <w:r>
              <w:rPr>
                <w:rFonts w:hint="eastAsia" w:ascii="宋体" w:hAnsi="宋体" w:cs="宋体"/>
                <w:kern w:val="0"/>
                <w:szCs w:val="21"/>
              </w:rPr>
              <w:t>曹英</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13991945764</w:t>
            </w:r>
          </w:p>
          <w:p>
            <w:pPr>
              <w:widowControl/>
              <w:jc w:val="center"/>
              <w:rPr>
                <w:rFonts w:ascii="宋体" w:hAnsi="宋体" w:cs="宋体"/>
                <w:kern w:val="0"/>
                <w:szCs w:val="21"/>
              </w:rPr>
            </w:pPr>
            <w:r>
              <w:rPr>
                <w:rFonts w:hint="eastAsia" w:ascii="宋体" w:hAnsi="宋体" w:cs="宋体"/>
                <w:kern w:val="0"/>
                <w:szCs w:val="21"/>
              </w:rPr>
              <w:t>18691892195</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r>
        <w:tblPrEx>
          <w:tblCellMar>
            <w:top w:w="0" w:type="dxa"/>
            <w:left w:w="108" w:type="dxa"/>
            <w:bottom w:w="0" w:type="dxa"/>
            <w:right w:w="108" w:type="dxa"/>
          </w:tblCellMar>
        </w:tblPrEx>
        <w:trPr>
          <w:trHeight w:val="522" w:hRule="atLeast"/>
        </w:trPr>
        <w:tc>
          <w:tcPr>
            <w:tcW w:w="64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14</w:t>
            </w:r>
          </w:p>
        </w:tc>
        <w:tc>
          <w:tcPr>
            <w:tcW w:w="1782"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兴业银行股份有限公司</w:t>
            </w:r>
          </w:p>
          <w:p>
            <w:pPr>
              <w:widowControl/>
              <w:jc w:val="center"/>
              <w:rPr>
                <w:rFonts w:ascii="宋体" w:hAnsi="宋体" w:cs="宋体"/>
                <w:kern w:val="0"/>
                <w:szCs w:val="21"/>
              </w:rPr>
            </w:pPr>
            <w:r>
              <w:rPr>
                <w:rFonts w:hint="eastAsia" w:ascii="宋体" w:hAnsi="宋体" w:cs="宋体"/>
                <w:kern w:val="0"/>
                <w:szCs w:val="21"/>
              </w:rPr>
              <w:t>西安分行</w:t>
            </w:r>
          </w:p>
        </w:tc>
        <w:tc>
          <w:tcPr>
            <w:tcW w:w="210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兴业银行西安分行</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新城业务总部</w:t>
            </w:r>
          </w:p>
        </w:tc>
        <w:tc>
          <w:tcPr>
            <w:tcW w:w="94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徐常磊</w:t>
            </w:r>
          </w:p>
          <w:p>
            <w:pPr>
              <w:widowControl/>
              <w:jc w:val="center"/>
              <w:rPr>
                <w:rFonts w:ascii="宋体" w:hAnsi="宋体" w:cs="宋体"/>
                <w:kern w:val="0"/>
                <w:szCs w:val="21"/>
              </w:rPr>
            </w:pPr>
            <w:r>
              <w:rPr>
                <w:rFonts w:hint="eastAsia" w:ascii="宋体" w:hAnsi="宋体" w:cs="宋体"/>
                <w:kern w:val="0"/>
                <w:szCs w:val="21"/>
              </w:rPr>
              <w:t>鲁旸</w:t>
            </w:r>
          </w:p>
        </w:tc>
        <w:tc>
          <w:tcPr>
            <w:tcW w:w="178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15991623666</w:t>
            </w:r>
          </w:p>
          <w:p>
            <w:pPr>
              <w:widowControl/>
              <w:jc w:val="center"/>
              <w:rPr>
                <w:rFonts w:ascii="宋体" w:hAnsi="宋体" w:cs="宋体"/>
                <w:kern w:val="0"/>
                <w:szCs w:val="21"/>
              </w:rPr>
            </w:pPr>
            <w:r>
              <w:rPr>
                <w:rFonts w:hint="eastAsia" w:ascii="宋体" w:hAnsi="宋体" w:cs="宋体"/>
                <w:kern w:val="0"/>
                <w:szCs w:val="21"/>
              </w:rPr>
              <w:t>15389081886</w:t>
            </w:r>
          </w:p>
        </w:tc>
        <w:tc>
          <w:tcPr>
            <w:tcW w:w="735"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信用融资</w:t>
            </w:r>
          </w:p>
        </w:tc>
      </w:tr>
    </w:tbl>
    <w:p>
      <w:pPr>
        <w:spacing w:line="360" w:lineRule="auto"/>
      </w:pPr>
      <w:r>
        <w:t xml:space="preserve"> </w:t>
      </w:r>
    </w:p>
    <w:p>
      <w:pPr>
        <w:spacing w:before="240" w:line="360" w:lineRule="auto"/>
        <w:ind w:left="1"/>
        <w:jc w:val="left"/>
        <w:rPr>
          <w:sz w:val="24"/>
          <w:szCs w:val="24"/>
        </w:rPr>
      </w:pPr>
    </w:p>
    <w:sectPr>
      <w:headerReference r:id="rId6"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MingLiU">
    <w:altName w:val="PMingLiU-ExtB"/>
    <w:panose1 w:val="02020509000000000000"/>
    <w:charset w:val="88"/>
    <w:family w:val="moder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fldChar w:fldCharType="begin"/>
    </w:r>
    <w:r>
      <w:instrText xml:space="preserve"> PAGE   \* MERGEFORMAT </w:instrText>
    </w:r>
    <w:r>
      <w:fldChar w:fldCharType="separate"/>
    </w:r>
    <w:r>
      <w:rPr>
        <w:lang w:val="zh-CN"/>
      </w:rPr>
      <w:t>6</w:t>
    </w:r>
    <w:r>
      <w:rPr>
        <w:lang w:val="zh-CN"/>
      </w:rPr>
      <w:fldChar w:fldCharType="end"/>
    </w:r>
  </w:p>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840" w:firstLineChars="350"/>
      <w:jc w:val="both"/>
      <w:rPr>
        <w:sz w:val="24"/>
        <w:szCs w:val="24"/>
      </w:rPr>
    </w:pPr>
    <w:r>
      <w:rPr>
        <w:sz w:val="24"/>
        <w:szCs w:val="24"/>
      </w:rPr>
      <w:drawing>
        <wp:anchor distT="0" distB="0" distL="114300" distR="114300" simplePos="0" relativeHeight="251660288" behindDoc="0" locked="0" layoutInCell="1" allowOverlap="1">
          <wp:simplePos x="0" y="0"/>
          <wp:positionH relativeFrom="column">
            <wp:posOffset>68580</wp:posOffset>
          </wp:positionH>
          <wp:positionV relativeFrom="paragraph">
            <wp:posOffset>-94615</wp:posOffset>
          </wp:positionV>
          <wp:extent cx="306705" cy="302260"/>
          <wp:effectExtent l="19050" t="0" r="0" b="0"/>
          <wp:wrapNone/>
          <wp:docPr id="1" name="图片 1" descr="C:\Users\Administrator\Desktop\远华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远华标.jpg"/>
                  <pic:cNvPicPr>
                    <a:picLocks noChangeAspect="1" noChangeArrowheads="1"/>
                  </pic:cNvPicPr>
                </pic:nvPicPr>
                <pic:blipFill>
                  <a:blip r:embed="rId1"/>
                  <a:srcRect/>
                  <a:stretch>
                    <a:fillRect/>
                  </a:stretch>
                </pic:blipFill>
                <pic:spPr>
                  <a:xfrm>
                    <a:off x="0" y="0"/>
                    <a:ext cx="306705" cy="302260"/>
                  </a:xfrm>
                  <a:prstGeom prst="rect">
                    <a:avLst/>
                  </a:prstGeom>
                  <a:noFill/>
                  <a:ln w="9525">
                    <a:noFill/>
                    <a:miter lim="800000"/>
                    <a:headEnd/>
                    <a:tailEnd/>
                  </a:ln>
                </pic:spPr>
              </pic:pic>
            </a:graphicData>
          </a:graphic>
        </wp:anchor>
      </w:drawing>
    </w:r>
    <w:r>
      <w:rPr>
        <w:rFonts w:hint="eastAsia"/>
        <w:sz w:val="24"/>
        <w:szCs w:val="24"/>
      </w:rPr>
      <w:t>陕西远华招标有限公司                                 YHZB2020</w:t>
    </w:r>
    <w:r>
      <w:rPr>
        <w:sz w:val="24"/>
        <w:szCs w:val="24"/>
      </w:rPr>
      <w:t>-</w:t>
    </w:r>
    <w:r>
      <w:rPr>
        <w:rFonts w:hint="eastAsia"/>
        <w:sz w:val="24"/>
        <w:szCs w:val="24"/>
      </w:rPr>
      <w:t>J-034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840" w:firstLineChars="350"/>
      <w:jc w:val="left"/>
      <w:rPr>
        <w:sz w:val="24"/>
        <w:szCs w:val="24"/>
      </w:rPr>
    </w:pPr>
    <w:r>
      <w:rPr>
        <w:sz w:val="24"/>
        <w:szCs w:val="24"/>
      </w:rPr>
      <w:drawing>
        <wp:anchor distT="0" distB="0" distL="114300" distR="114300" simplePos="0" relativeHeight="251659264" behindDoc="0" locked="0" layoutInCell="1" allowOverlap="1">
          <wp:simplePos x="0" y="0"/>
          <wp:positionH relativeFrom="column">
            <wp:posOffset>68580</wp:posOffset>
          </wp:positionH>
          <wp:positionV relativeFrom="paragraph">
            <wp:posOffset>-94615</wp:posOffset>
          </wp:positionV>
          <wp:extent cx="306705" cy="302260"/>
          <wp:effectExtent l="19050" t="0" r="0" b="0"/>
          <wp:wrapNone/>
          <wp:docPr id="26" name="图片 1" descr="C:\Users\Administrator\Desktop\远华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descr="C:\Users\Administrator\Desktop\远华标.jpg"/>
                  <pic:cNvPicPr>
                    <a:picLocks noChangeAspect="1" noChangeArrowheads="1"/>
                  </pic:cNvPicPr>
                </pic:nvPicPr>
                <pic:blipFill>
                  <a:blip r:embed="rId1"/>
                  <a:srcRect/>
                  <a:stretch>
                    <a:fillRect/>
                  </a:stretch>
                </pic:blipFill>
                <pic:spPr>
                  <a:xfrm>
                    <a:off x="0" y="0"/>
                    <a:ext cx="306705" cy="302260"/>
                  </a:xfrm>
                  <a:prstGeom prst="rect">
                    <a:avLst/>
                  </a:prstGeom>
                  <a:noFill/>
                  <a:ln w="9525">
                    <a:noFill/>
                    <a:miter lim="800000"/>
                    <a:headEnd/>
                    <a:tailEnd/>
                  </a:ln>
                </pic:spPr>
              </pic:pic>
            </a:graphicData>
          </a:graphic>
        </wp:anchor>
      </w:drawing>
    </w:r>
    <w:r>
      <w:rPr>
        <w:rFonts w:hint="eastAsia"/>
        <w:sz w:val="24"/>
        <w:szCs w:val="24"/>
      </w:rPr>
      <w:t>陕西远华招标有限公司                            YHZB</w:t>
    </w:r>
    <w:r>
      <w:rPr>
        <w:sz w:val="24"/>
        <w:szCs w:val="24"/>
      </w:rPr>
      <w:t>2020-J-0</w:t>
    </w:r>
    <w:r>
      <w:rPr>
        <w:rFonts w:hint="eastAsia"/>
        <w:sz w:val="24"/>
        <w:szCs w:val="24"/>
      </w:rPr>
      <w:t>34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6568"/>
        <w:tab w:val="left" w:pos="7020"/>
        <w:tab w:val="clear" w:pos="4153"/>
        <w:tab w:val="clear" w:pos="8306"/>
      </w:tabs>
      <w:jc w:val="left"/>
      <w:rPr>
        <w:sz w:val="24"/>
        <w:szCs w:val="24"/>
      </w:rPr>
    </w:pPr>
    <w:r>
      <w:drawing>
        <wp:inline distT="0" distB="0" distL="0" distR="0">
          <wp:extent cx="266700" cy="26670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szCs w:val="24"/>
      </w:rPr>
      <w:t xml:space="preserve"> 陕西远华招标有限公司</w:t>
    </w:r>
    <w:r>
      <w:rPr>
        <w:sz w:val="24"/>
        <w:szCs w:val="24"/>
      </w:rPr>
      <w:tab/>
    </w:r>
    <w:r>
      <w:rPr>
        <w:sz w:val="24"/>
        <w:szCs w:val="24"/>
      </w:rPr>
      <w:t>YHZB2020-J-0</w:t>
    </w:r>
    <w:r>
      <w:rPr>
        <w:rFonts w:hint="eastAsia"/>
        <w:sz w:val="24"/>
        <w:szCs w:val="24"/>
      </w:rPr>
      <w:t>34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4200F"/>
    <w:multiLevelType w:val="multilevel"/>
    <w:tmpl w:val="13B4200F"/>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41E68CD"/>
    <w:multiLevelType w:val="multilevel"/>
    <w:tmpl w:val="141E68CD"/>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0581171"/>
    <w:rsid w:val="000000DC"/>
    <w:rsid w:val="0000058D"/>
    <w:rsid w:val="000007C4"/>
    <w:rsid w:val="00002AD8"/>
    <w:rsid w:val="00002EF6"/>
    <w:rsid w:val="0000478C"/>
    <w:rsid w:val="00007260"/>
    <w:rsid w:val="00011458"/>
    <w:rsid w:val="000150BA"/>
    <w:rsid w:val="000152B6"/>
    <w:rsid w:val="0001558C"/>
    <w:rsid w:val="00017366"/>
    <w:rsid w:val="000207CA"/>
    <w:rsid w:val="00020E52"/>
    <w:rsid w:val="000218C0"/>
    <w:rsid w:val="00021CB4"/>
    <w:rsid w:val="00023063"/>
    <w:rsid w:val="00027579"/>
    <w:rsid w:val="000308CD"/>
    <w:rsid w:val="00030C04"/>
    <w:rsid w:val="00030E7D"/>
    <w:rsid w:val="00032AF8"/>
    <w:rsid w:val="000338CA"/>
    <w:rsid w:val="00033B76"/>
    <w:rsid w:val="0003548D"/>
    <w:rsid w:val="00035734"/>
    <w:rsid w:val="00036BA5"/>
    <w:rsid w:val="00036C2D"/>
    <w:rsid w:val="00036F12"/>
    <w:rsid w:val="000405FE"/>
    <w:rsid w:val="00040B50"/>
    <w:rsid w:val="0004114E"/>
    <w:rsid w:val="00042978"/>
    <w:rsid w:val="000438AE"/>
    <w:rsid w:val="00044EBA"/>
    <w:rsid w:val="000472BC"/>
    <w:rsid w:val="00047BBB"/>
    <w:rsid w:val="00053322"/>
    <w:rsid w:val="0005334F"/>
    <w:rsid w:val="000536AC"/>
    <w:rsid w:val="000550B9"/>
    <w:rsid w:val="00056249"/>
    <w:rsid w:val="0006063D"/>
    <w:rsid w:val="00060AA7"/>
    <w:rsid w:val="00062316"/>
    <w:rsid w:val="00062900"/>
    <w:rsid w:val="000629DD"/>
    <w:rsid w:val="000643E5"/>
    <w:rsid w:val="00065358"/>
    <w:rsid w:val="00071283"/>
    <w:rsid w:val="0007164C"/>
    <w:rsid w:val="00072ADF"/>
    <w:rsid w:val="00072DED"/>
    <w:rsid w:val="00074D96"/>
    <w:rsid w:val="00074E17"/>
    <w:rsid w:val="00077DBB"/>
    <w:rsid w:val="000802AC"/>
    <w:rsid w:val="000852C6"/>
    <w:rsid w:val="000869E9"/>
    <w:rsid w:val="00091151"/>
    <w:rsid w:val="0009145A"/>
    <w:rsid w:val="000917F9"/>
    <w:rsid w:val="000929A7"/>
    <w:rsid w:val="00092D71"/>
    <w:rsid w:val="00093552"/>
    <w:rsid w:val="0009400B"/>
    <w:rsid w:val="00094386"/>
    <w:rsid w:val="000957E0"/>
    <w:rsid w:val="000A07CC"/>
    <w:rsid w:val="000A09D2"/>
    <w:rsid w:val="000A0F28"/>
    <w:rsid w:val="000A1535"/>
    <w:rsid w:val="000A3A42"/>
    <w:rsid w:val="000A3FC0"/>
    <w:rsid w:val="000A4E37"/>
    <w:rsid w:val="000A657D"/>
    <w:rsid w:val="000A7461"/>
    <w:rsid w:val="000B2573"/>
    <w:rsid w:val="000B26E0"/>
    <w:rsid w:val="000B3672"/>
    <w:rsid w:val="000B422B"/>
    <w:rsid w:val="000B4283"/>
    <w:rsid w:val="000B4B5C"/>
    <w:rsid w:val="000B4E68"/>
    <w:rsid w:val="000B4E93"/>
    <w:rsid w:val="000B55CD"/>
    <w:rsid w:val="000B62FE"/>
    <w:rsid w:val="000B7523"/>
    <w:rsid w:val="000C0F2A"/>
    <w:rsid w:val="000C1511"/>
    <w:rsid w:val="000C23B7"/>
    <w:rsid w:val="000C2A1C"/>
    <w:rsid w:val="000C3A7F"/>
    <w:rsid w:val="000C3CFC"/>
    <w:rsid w:val="000C474E"/>
    <w:rsid w:val="000C4AC9"/>
    <w:rsid w:val="000C51B0"/>
    <w:rsid w:val="000C7734"/>
    <w:rsid w:val="000C7D49"/>
    <w:rsid w:val="000C7E76"/>
    <w:rsid w:val="000D1E32"/>
    <w:rsid w:val="000D33C2"/>
    <w:rsid w:val="000D757E"/>
    <w:rsid w:val="000E0C44"/>
    <w:rsid w:val="000E2520"/>
    <w:rsid w:val="000E2B88"/>
    <w:rsid w:val="000E3329"/>
    <w:rsid w:val="000E3AB1"/>
    <w:rsid w:val="000E4C64"/>
    <w:rsid w:val="000E5B82"/>
    <w:rsid w:val="000F0E76"/>
    <w:rsid w:val="000F4250"/>
    <w:rsid w:val="000F6214"/>
    <w:rsid w:val="000F715A"/>
    <w:rsid w:val="000F71A7"/>
    <w:rsid w:val="00100951"/>
    <w:rsid w:val="00100D78"/>
    <w:rsid w:val="001014CF"/>
    <w:rsid w:val="00102AB3"/>
    <w:rsid w:val="00104780"/>
    <w:rsid w:val="001060BA"/>
    <w:rsid w:val="00107695"/>
    <w:rsid w:val="0010773C"/>
    <w:rsid w:val="0011321C"/>
    <w:rsid w:val="00113E4C"/>
    <w:rsid w:val="00113F5B"/>
    <w:rsid w:val="001148CF"/>
    <w:rsid w:val="00114918"/>
    <w:rsid w:val="00114F11"/>
    <w:rsid w:val="001156B9"/>
    <w:rsid w:val="001174BF"/>
    <w:rsid w:val="00120784"/>
    <w:rsid w:val="0012119B"/>
    <w:rsid w:val="00121F05"/>
    <w:rsid w:val="001220E5"/>
    <w:rsid w:val="001223EF"/>
    <w:rsid w:val="00124C9D"/>
    <w:rsid w:val="00125BE5"/>
    <w:rsid w:val="00127D94"/>
    <w:rsid w:val="00130AF9"/>
    <w:rsid w:val="00131343"/>
    <w:rsid w:val="001339B9"/>
    <w:rsid w:val="0013577C"/>
    <w:rsid w:val="00135D77"/>
    <w:rsid w:val="0014070D"/>
    <w:rsid w:val="0014091D"/>
    <w:rsid w:val="00140F31"/>
    <w:rsid w:val="00144383"/>
    <w:rsid w:val="00144B87"/>
    <w:rsid w:val="00145E8D"/>
    <w:rsid w:val="001466BF"/>
    <w:rsid w:val="00146C0B"/>
    <w:rsid w:val="00150404"/>
    <w:rsid w:val="0015213B"/>
    <w:rsid w:val="00152F1A"/>
    <w:rsid w:val="001538F5"/>
    <w:rsid w:val="00155CF8"/>
    <w:rsid w:val="00156E48"/>
    <w:rsid w:val="0016013E"/>
    <w:rsid w:val="001603E7"/>
    <w:rsid w:val="0016069D"/>
    <w:rsid w:val="00162714"/>
    <w:rsid w:val="001632F9"/>
    <w:rsid w:val="001636C6"/>
    <w:rsid w:val="00163A4E"/>
    <w:rsid w:val="00164182"/>
    <w:rsid w:val="001665E1"/>
    <w:rsid w:val="00170DFF"/>
    <w:rsid w:val="001723DF"/>
    <w:rsid w:val="0017365E"/>
    <w:rsid w:val="00175285"/>
    <w:rsid w:val="00175629"/>
    <w:rsid w:val="0017590E"/>
    <w:rsid w:val="00176011"/>
    <w:rsid w:val="00176299"/>
    <w:rsid w:val="00181588"/>
    <w:rsid w:val="00184FE7"/>
    <w:rsid w:val="0018562D"/>
    <w:rsid w:val="00190BD6"/>
    <w:rsid w:val="00192333"/>
    <w:rsid w:val="00193B88"/>
    <w:rsid w:val="0019457D"/>
    <w:rsid w:val="001955B7"/>
    <w:rsid w:val="00196246"/>
    <w:rsid w:val="00197ACE"/>
    <w:rsid w:val="001A0A41"/>
    <w:rsid w:val="001A2F5D"/>
    <w:rsid w:val="001A3A83"/>
    <w:rsid w:val="001A3CBB"/>
    <w:rsid w:val="001A3FAE"/>
    <w:rsid w:val="001A403F"/>
    <w:rsid w:val="001A5E85"/>
    <w:rsid w:val="001B28D0"/>
    <w:rsid w:val="001B30D1"/>
    <w:rsid w:val="001B45D2"/>
    <w:rsid w:val="001B4BDE"/>
    <w:rsid w:val="001C606D"/>
    <w:rsid w:val="001C673A"/>
    <w:rsid w:val="001C67DF"/>
    <w:rsid w:val="001C6928"/>
    <w:rsid w:val="001D1903"/>
    <w:rsid w:val="001D1907"/>
    <w:rsid w:val="001D1EEE"/>
    <w:rsid w:val="001D2122"/>
    <w:rsid w:val="001D3338"/>
    <w:rsid w:val="001D4268"/>
    <w:rsid w:val="001D45A2"/>
    <w:rsid w:val="001D60FB"/>
    <w:rsid w:val="001D613C"/>
    <w:rsid w:val="001E1610"/>
    <w:rsid w:val="001E306F"/>
    <w:rsid w:val="001E32E8"/>
    <w:rsid w:val="001F009E"/>
    <w:rsid w:val="001F0A15"/>
    <w:rsid w:val="001F3152"/>
    <w:rsid w:val="001F4CCE"/>
    <w:rsid w:val="001F6580"/>
    <w:rsid w:val="001F773A"/>
    <w:rsid w:val="0020088B"/>
    <w:rsid w:val="00202E7E"/>
    <w:rsid w:val="00204670"/>
    <w:rsid w:val="002049E2"/>
    <w:rsid w:val="0020518A"/>
    <w:rsid w:val="00210898"/>
    <w:rsid w:val="002137C4"/>
    <w:rsid w:val="0021433E"/>
    <w:rsid w:val="0022040D"/>
    <w:rsid w:val="00221D9C"/>
    <w:rsid w:val="00221E11"/>
    <w:rsid w:val="0022318B"/>
    <w:rsid w:val="00223C06"/>
    <w:rsid w:val="0022525F"/>
    <w:rsid w:val="00225D13"/>
    <w:rsid w:val="00226EB3"/>
    <w:rsid w:val="00227C44"/>
    <w:rsid w:val="00230AF2"/>
    <w:rsid w:val="00230E7F"/>
    <w:rsid w:val="00232FC4"/>
    <w:rsid w:val="00233A38"/>
    <w:rsid w:val="00233F62"/>
    <w:rsid w:val="002356E7"/>
    <w:rsid w:val="00236333"/>
    <w:rsid w:val="00236D12"/>
    <w:rsid w:val="002406CB"/>
    <w:rsid w:val="0024095D"/>
    <w:rsid w:val="00241697"/>
    <w:rsid w:val="00245EFB"/>
    <w:rsid w:val="00247CA5"/>
    <w:rsid w:val="0025238F"/>
    <w:rsid w:val="002523D5"/>
    <w:rsid w:val="00253D7C"/>
    <w:rsid w:val="00255B6F"/>
    <w:rsid w:val="00255E08"/>
    <w:rsid w:val="00256368"/>
    <w:rsid w:val="002567E1"/>
    <w:rsid w:val="0025750D"/>
    <w:rsid w:val="002576A7"/>
    <w:rsid w:val="00257DB7"/>
    <w:rsid w:val="00260078"/>
    <w:rsid w:val="00260CC0"/>
    <w:rsid w:val="00263BD4"/>
    <w:rsid w:val="0026676C"/>
    <w:rsid w:val="002668C4"/>
    <w:rsid w:val="00267725"/>
    <w:rsid w:val="00267735"/>
    <w:rsid w:val="00272A22"/>
    <w:rsid w:val="00272D5D"/>
    <w:rsid w:val="00273C92"/>
    <w:rsid w:val="00274B26"/>
    <w:rsid w:val="002802C8"/>
    <w:rsid w:val="002809BD"/>
    <w:rsid w:val="00280AED"/>
    <w:rsid w:val="00283F1D"/>
    <w:rsid w:val="00283F9F"/>
    <w:rsid w:val="00284DD5"/>
    <w:rsid w:val="00290D0B"/>
    <w:rsid w:val="00292866"/>
    <w:rsid w:val="00293234"/>
    <w:rsid w:val="0029576A"/>
    <w:rsid w:val="00296285"/>
    <w:rsid w:val="00296D68"/>
    <w:rsid w:val="002975C5"/>
    <w:rsid w:val="002A0589"/>
    <w:rsid w:val="002A1E84"/>
    <w:rsid w:val="002A3F91"/>
    <w:rsid w:val="002A46A2"/>
    <w:rsid w:val="002A6C94"/>
    <w:rsid w:val="002B03E9"/>
    <w:rsid w:val="002B2921"/>
    <w:rsid w:val="002B2CD6"/>
    <w:rsid w:val="002B552B"/>
    <w:rsid w:val="002B6950"/>
    <w:rsid w:val="002B7DFB"/>
    <w:rsid w:val="002C02AB"/>
    <w:rsid w:val="002C2B57"/>
    <w:rsid w:val="002C2E5C"/>
    <w:rsid w:val="002C583B"/>
    <w:rsid w:val="002C74D3"/>
    <w:rsid w:val="002D00A4"/>
    <w:rsid w:val="002D0388"/>
    <w:rsid w:val="002D0A64"/>
    <w:rsid w:val="002D0CA1"/>
    <w:rsid w:val="002D0F77"/>
    <w:rsid w:val="002D37C7"/>
    <w:rsid w:val="002D53FE"/>
    <w:rsid w:val="002E18ED"/>
    <w:rsid w:val="002E262B"/>
    <w:rsid w:val="002E2D38"/>
    <w:rsid w:val="002E3C37"/>
    <w:rsid w:val="002E4A82"/>
    <w:rsid w:val="002E4F08"/>
    <w:rsid w:val="002F03E2"/>
    <w:rsid w:val="002F1686"/>
    <w:rsid w:val="002F2C2A"/>
    <w:rsid w:val="002F3ADC"/>
    <w:rsid w:val="002F5101"/>
    <w:rsid w:val="002F5D36"/>
    <w:rsid w:val="002F5F07"/>
    <w:rsid w:val="002F6650"/>
    <w:rsid w:val="002F7F0D"/>
    <w:rsid w:val="003037CB"/>
    <w:rsid w:val="00303B78"/>
    <w:rsid w:val="00303BAF"/>
    <w:rsid w:val="00304EBB"/>
    <w:rsid w:val="003050A9"/>
    <w:rsid w:val="0030511B"/>
    <w:rsid w:val="0030739D"/>
    <w:rsid w:val="0031025F"/>
    <w:rsid w:val="003111C2"/>
    <w:rsid w:val="00312771"/>
    <w:rsid w:val="00315F07"/>
    <w:rsid w:val="0032020A"/>
    <w:rsid w:val="0032175D"/>
    <w:rsid w:val="00322D39"/>
    <w:rsid w:val="00324455"/>
    <w:rsid w:val="00325ACF"/>
    <w:rsid w:val="0032745D"/>
    <w:rsid w:val="003276E0"/>
    <w:rsid w:val="00327C16"/>
    <w:rsid w:val="00330B34"/>
    <w:rsid w:val="0033149A"/>
    <w:rsid w:val="00331A65"/>
    <w:rsid w:val="003323A9"/>
    <w:rsid w:val="00332A60"/>
    <w:rsid w:val="003356C8"/>
    <w:rsid w:val="003373CA"/>
    <w:rsid w:val="00343720"/>
    <w:rsid w:val="0034435E"/>
    <w:rsid w:val="00345A57"/>
    <w:rsid w:val="0034698A"/>
    <w:rsid w:val="00350BF7"/>
    <w:rsid w:val="00351643"/>
    <w:rsid w:val="00356CA9"/>
    <w:rsid w:val="0035715D"/>
    <w:rsid w:val="00360404"/>
    <w:rsid w:val="0036054E"/>
    <w:rsid w:val="003619D7"/>
    <w:rsid w:val="00362844"/>
    <w:rsid w:val="00367201"/>
    <w:rsid w:val="003713C2"/>
    <w:rsid w:val="00373FFB"/>
    <w:rsid w:val="00374CB6"/>
    <w:rsid w:val="003756F1"/>
    <w:rsid w:val="00377E40"/>
    <w:rsid w:val="00377E5F"/>
    <w:rsid w:val="003826A7"/>
    <w:rsid w:val="00383222"/>
    <w:rsid w:val="003835CE"/>
    <w:rsid w:val="00383F65"/>
    <w:rsid w:val="00385B52"/>
    <w:rsid w:val="00386862"/>
    <w:rsid w:val="00387C75"/>
    <w:rsid w:val="00391E34"/>
    <w:rsid w:val="00393C68"/>
    <w:rsid w:val="00393EFE"/>
    <w:rsid w:val="003A052F"/>
    <w:rsid w:val="003A0720"/>
    <w:rsid w:val="003A087F"/>
    <w:rsid w:val="003A1085"/>
    <w:rsid w:val="003A2067"/>
    <w:rsid w:val="003A3814"/>
    <w:rsid w:val="003A6DE4"/>
    <w:rsid w:val="003B02AB"/>
    <w:rsid w:val="003B095A"/>
    <w:rsid w:val="003B3438"/>
    <w:rsid w:val="003B395A"/>
    <w:rsid w:val="003B3EBA"/>
    <w:rsid w:val="003B4CB6"/>
    <w:rsid w:val="003B6C0E"/>
    <w:rsid w:val="003B74F4"/>
    <w:rsid w:val="003C0682"/>
    <w:rsid w:val="003C070F"/>
    <w:rsid w:val="003C318F"/>
    <w:rsid w:val="003C45B8"/>
    <w:rsid w:val="003C7323"/>
    <w:rsid w:val="003C7C2D"/>
    <w:rsid w:val="003C7D4F"/>
    <w:rsid w:val="003C7DFA"/>
    <w:rsid w:val="003D0505"/>
    <w:rsid w:val="003D5C70"/>
    <w:rsid w:val="003D5EAD"/>
    <w:rsid w:val="003D6924"/>
    <w:rsid w:val="003D783A"/>
    <w:rsid w:val="003D7BE1"/>
    <w:rsid w:val="003E0D02"/>
    <w:rsid w:val="003E2009"/>
    <w:rsid w:val="003E226F"/>
    <w:rsid w:val="003E3EA3"/>
    <w:rsid w:val="003E594D"/>
    <w:rsid w:val="003E714B"/>
    <w:rsid w:val="003F2421"/>
    <w:rsid w:val="003F3BE9"/>
    <w:rsid w:val="003F7E32"/>
    <w:rsid w:val="004013D3"/>
    <w:rsid w:val="004020BD"/>
    <w:rsid w:val="0040397D"/>
    <w:rsid w:val="00404008"/>
    <w:rsid w:val="0040603A"/>
    <w:rsid w:val="00411E06"/>
    <w:rsid w:val="00412AB7"/>
    <w:rsid w:val="00414567"/>
    <w:rsid w:val="00415F26"/>
    <w:rsid w:val="004160A2"/>
    <w:rsid w:val="00416A23"/>
    <w:rsid w:val="00416D44"/>
    <w:rsid w:val="0041722B"/>
    <w:rsid w:val="004173F2"/>
    <w:rsid w:val="0041749A"/>
    <w:rsid w:val="00420F39"/>
    <w:rsid w:val="004245CA"/>
    <w:rsid w:val="00424F75"/>
    <w:rsid w:val="00427DC1"/>
    <w:rsid w:val="0043091C"/>
    <w:rsid w:val="00431D1C"/>
    <w:rsid w:val="00432A4D"/>
    <w:rsid w:val="00437728"/>
    <w:rsid w:val="00441B13"/>
    <w:rsid w:val="00441EF4"/>
    <w:rsid w:val="004420AE"/>
    <w:rsid w:val="004425D8"/>
    <w:rsid w:val="0044264B"/>
    <w:rsid w:val="0044392C"/>
    <w:rsid w:val="00445414"/>
    <w:rsid w:val="00445C03"/>
    <w:rsid w:val="004462A0"/>
    <w:rsid w:val="00446A35"/>
    <w:rsid w:val="00446E2E"/>
    <w:rsid w:val="00447950"/>
    <w:rsid w:val="00447DD6"/>
    <w:rsid w:val="0045152C"/>
    <w:rsid w:val="0045516E"/>
    <w:rsid w:val="00455A09"/>
    <w:rsid w:val="00456231"/>
    <w:rsid w:val="00456FC0"/>
    <w:rsid w:val="00457991"/>
    <w:rsid w:val="004607A4"/>
    <w:rsid w:val="00462ED2"/>
    <w:rsid w:val="00464AD9"/>
    <w:rsid w:val="00465898"/>
    <w:rsid w:val="00465DF6"/>
    <w:rsid w:val="00466849"/>
    <w:rsid w:val="0046784E"/>
    <w:rsid w:val="00470FDE"/>
    <w:rsid w:val="00471B10"/>
    <w:rsid w:val="00472737"/>
    <w:rsid w:val="0047388E"/>
    <w:rsid w:val="00473A9C"/>
    <w:rsid w:val="004750FE"/>
    <w:rsid w:val="00476C5F"/>
    <w:rsid w:val="004771D0"/>
    <w:rsid w:val="00477829"/>
    <w:rsid w:val="00480D82"/>
    <w:rsid w:val="00481B5C"/>
    <w:rsid w:val="00482B17"/>
    <w:rsid w:val="00485AFF"/>
    <w:rsid w:val="00485F6E"/>
    <w:rsid w:val="004864E4"/>
    <w:rsid w:val="00490DBF"/>
    <w:rsid w:val="00491A97"/>
    <w:rsid w:val="00492BD2"/>
    <w:rsid w:val="00493102"/>
    <w:rsid w:val="004931F7"/>
    <w:rsid w:val="00494719"/>
    <w:rsid w:val="00494FEF"/>
    <w:rsid w:val="004950BD"/>
    <w:rsid w:val="004965A7"/>
    <w:rsid w:val="004969B0"/>
    <w:rsid w:val="004A12DA"/>
    <w:rsid w:val="004A3072"/>
    <w:rsid w:val="004A3822"/>
    <w:rsid w:val="004A5993"/>
    <w:rsid w:val="004A7211"/>
    <w:rsid w:val="004B1992"/>
    <w:rsid w:val="004B20B1"/>
    <w:rsid w:val="004B2264"/>
    <w:rsid w:val="004B2AF5"/>
    <w:rsid w:val="004B5819"/>
    <w:rsid w:val="004B695A"/>
    <w:rsid w:val="004C0F0C"/>
    <w:rsid w:val="004C0F43"/>
    <w:rsid w:val="004C1979"/>
    <w:rsid w:val="004C48CE"/>
    <w:rsid w:val="004C5243"/>
    <w:rsid w:val="004C52D4"/>
    <w:rsid w:val="004D04FB"/>
    <w:rsid w:val="004D07D9"/>
    <w:rsid w:val="004D24B3"/>
    <w:rsid w:val="004D3129"/>
    <w:rsid w:val="004D374E"/>
    <w:rsid w:val="004D3927"/>
    <w:rsid w:val="004D459A"/>
    <w:rsid w:val="004D4AF0"/>
    <w:rsid w:val="004D553F"/>
    <w:rsid w:val="004D641B"/>
    <w:rsid w:val="004D70AB"/>
    <w:rsid w:val="004E01B8"/>
    <w:rsid w:val="004E1197"/>
    <w:rsid w:val="004E2216"/>
    <w:rsid w:val="004E3A5F"/>
    <w:rsid w:val="004E6F50"/>
    <w:rsid w:val="004E714A"/>
    <w:rsid w:val="004F2AB0"/>
    <w:rsid w:val="004F2BA9"/>
    <w:rsid w:val="004F4E85"/>
    <w:rsid w:val="004F5179"/>
    <w:rsid w:val="004F5A28"/>
    <w:rsid w:val="004F78F1"/>
    <w:rsid w:val="0050026C"/>
    <w:rsid w:val="005035B5"/>
    <w:rsid w:val="00503AB3"/>
    <w:rsid w:val="0051046B"/>
    <w:rsid w:val="0051361E"/>
    <w:rsid w:val="00514D6D"/>
    <w:rsid w:val="005170CB"/>
    <w:rsid w:val="00517AC8"/>
    <w:rsid w:val="00520AC1"/>
    <w:rsid w:val="0052387A"/>
    <w:rsid w:val="005243F0"/>
    <w:rsid w:val="00524AFB"/>
    <w:rsid w:val="00525863"/>
    <w:rsid w:val="005259DC"/>
    <w:rsid w:val="005269E5"/>
    <w:rsid w:val="005276C9"/>
    <w:rsid w:val="0053023A"/>
    <w:rsid w:val="00530693"/>
    <w:rsid w:val="00530C9A"/>
    <w:rsid w:val="00531023"/>
    <w:rsid w:val="00531DF4"/>
    <w:rsid w:val="00531E53"/>
    <w:rsid w:val="00534315"/>
    <w:rsid w:val="00535FDE"/>
    <w:rsid w:val="005373B4"/>
    <w:rsid w:val="00537C4C"/>
    <w:rsid w:val="005403D4"/>
    <w:rsid w:val="00541233"/>
    <w:rsid w:val="00542C5C"/>
    <w:rsid w:val="00542E3B"/>
    <w:rsid w:val="00544DF3"/>
    <w:rsid w:val="0054585D"/>
    <w:rsid w:val="00547E15"/>
    <w:rsid w:val="00550B84"/>
    <w:rsid w:val="00551B46"/>
    <w:rsid w:val="00552832"/>
    <w:rsid w:val="00553351"/>
    <w:rsid w:val="005538E6"/>
    <w:rsid w:val="00553D35"/>
    <w:rsid w:val="0055628E"/>
    <w:rsid w:val="005565AF"/>
    <w:rsid w:val="00562483"/>
    <w:rsid w:val="00562CF4"/>
    <w:rsid w:val="00563298"/>
    <w:rsid w:val="00563A5D"/>
    <w:rsid w:val="00564C96"/>
    <w:rsid w:val="00565B7C"/>
    <w:rsid w:val="00566FDE"/>
    <w:rsid w:val="005703E3"/>
    <w:rsid w:val="00570743"/>
    <w:rsid w:val="00570809"/>
    <w:rsid w:val="00573451"/>
    <w:rsid w:val="00574017"/>
    <w:rsid w:val="00574898"/>
    <w:rsid w:val="00574EDF"/>
    <w:rsid w:val="00576C6C"/>
    <w:rsid w:val="00577AD8"/>
    <w:rsid w:val="00580F4B"/>
    <w:rsid w:val="00581171"/>
    <w:rsid w:val="00581BF9"/>
    <w:rsid w:val="00582D1B"/>
    <w:rsid w:val="00583591"/>
    <w:rsid w:val="00583D74"/>
    <w:rsid w:val="005842D3"/>
    <w:rsid w:val="005843F9"/>
    <w:rsid w:val="00585285"/>
    <w:rsid w:val="0058593B"/>
    <w:rsid w:val="00585F3D"/>
    <w:rsid w:val="005869D3"/>
    <w:rsid w:val="00586D99"/>
    <w:rsid w:val="005877B5"/>
    <w:rsid w:val="00587EAA"/>
    <w:rsid w:val="0059099E"/>
    <w:rsid w:val="00591B5E"/>
    <w:rsid w:val="0059207D"/>
    <w:rsid w:val="005920A5"/>
    <w:rsid w:val="00595E0B"/>
    <w:rsid w:val="00596121"/>
    <w:rsid w:val="005964C1"/>
    <w:rsid w:val="0059795C"/>
    <w:rsid w:val="00597D1C"/>
    <w:rsid w:val="005A0CFF"/>
    <w:rsid w:val="005A272A"/>
    <w:rsid w:val="005A4399"/>
    <w:rsid w:val="005A51FD"/>
    <w:rsid w:val="005A5FE8"/>
    <w:rsid w:val="005B0041"/>
    <w:rsid w:val="005B4B9D"/>
    <w:rsid w:val="005B7EE5"/>
    <w:rsid w:val="005C0B07"/>
    <w:rsid w:val="005C0D43"/>
    <w:rsid w:val="005C0D88"/>
    <w:rsid w:val="005C0F10"/>
    <w:rsid w:val="005C130C"/>
    <w:rsid w:val="005C2D18"/>
    <w:rsid w:val="005C4F0F"/>
    <w:rsid w:val="005C6F4F"/>
    <w:rsid w:val="005C7652"/>
    <w:rsid w:val="005D2DBA"/>
    <w:rsid w:val="005D42BA"/>
    <w:rsid w:val="005D4A8D"/>
    <w:rsid w:val="005D4CEE"/>
    <w:rsid w:val="005D4F7B"/>
    <w:rsid w:val="005D552F"/>
    <w:rsid w:val="005D5E18"/>
    <w:rsid w:val="005E1BE3"/>
    <w:rsid w:val="005E1C66"/>
    <w:rsid w:val="005E3C6F"/>
    <w:rsid w:val="005E5CC8"/>
    <w:rsid w:val="005E647F"/>
    <w:rsid w:val="005F0D79"/>
    <w:rsid w:val="005F0F03"/>
    <w:rsid w:val="005F171D"/>
    <w:rsid w:val="005F1CCD"/>
    <w:rsid w:val="005F5835"/>
    <w:rsid w:val="005F586A"/>
    <w:rsid w:val="006008C5"/>
    <w:rsid w:val="00600E3F"/>
    <w:rsid w:val="00601CBB"/>
    <w:rsid w:val="00602019"/>
    <w:rsid w:val="006028E9"/>
    <w:rsid w:val="0060494C"/>
    <w:rsid w:val="006051A5"/>
    <w:rsid w:val="00606A50"/>
    <w:rsid w:val="00606E38"/>
    <w:rsid w:val="00610474"/>
    <w:rsid w:val="00610B48"/>
    <w:rsid w:val="00611EB0"/>
    <w:rsid w:val="00612485"/>
    <w:rsid w:val="0062360B"/>
    <w:rsid w:val="00624229"/>
    <w:rsid w:val="006249AD"/>
    <w:rsid w:val="006339F3"/>
    <w:rsid w:val="00634D9F"/>
    <w:rsid w:val="00634FF4"/>
    <w:rsid w:val="00635457"/>
    <w:rsid w:val="00635CB9"/>
    <w:rsid w:val="00636159"/>
    <w:rsid w:val="00636D6D"/>
    <w:rsid w:val="00643F7F"/>
    <w:rsid w:val="0064478F"/>
    <w:rsid w:val="00645E0D"/>
    <w:rsid w:val="00645EE2"/>
    <w:rsid w:val="006460B5"/>
    <w:rsid w:val="00646184"/>
    <w:rsid w:val="006471E0"/>
    <w:rsid w:val="0064730D"/>
    <w:rsid w:val="0064731F"/>
    <w:rsid w:val="006473F7"/>
    <w:rsid w:val="00647688"/>
    <w:rsid w:val="006477E2"/>
    <w:rsid w:val="006506B3"/>
    <w:rsid w:val="0065300C"/>
    <w:rsid w:val="006537CA"/>
    <w:rsid w:val="00653EB2"/>
    <w:rsid w:val="00654430"/>
    <w:rsid w:val="006547A3"/>
    <w:rsid w:val="00656934"/>
    <w:rsid w:val="006655F1"/>
    <w:rsid w:val="00666356"/>
    <w:rsid w:val="00671079"/>
    <w:rsid w:val="00671F58"/>
    <w:rsid w:val="0067299A"/>
    <w:rsid w:val="0067321C"/>
    <w:rsid w:val="00673D80"/>
    <w:rsid w:val="00673F4C"/>
    <w:rsid w:val="006741A4"/>
    <w:rsid w:val="006776B8"/>
    <w:rsid w:val="006806AA"/>
    <w:rsid w:val="00680861"/>
    <w:rsid w:val="00682A80"/>
    <w:rsid w:val="006831EA"/>
    <w:rsid w:val="006864FD"/>
    <w:rsid w:val="00686D9F"/>
    <w:rsid w:val="00690B28"/>
    <w:rsid w:val="00690E5C"/>
    <w:rsid w:val="00691626"/>
    <w:rsid w:val="00691CEC"/>
    <w:rsid w:val="00692AC1"/>
    <w:rsid w:val="00693783"/>
    <w:rsid w:val="006937F0"/>
    <w:rsid w:val="00694FF3"/>
    <w:rsid w:val="00695215"/>
    <w:rsid w:val="00695C9A"/>
    <w:rsid w:val="006965D2"/>
    <w:rsid w:val="0069694A"/>
    <w:rsid w:val="006971DB"/>
    <w:rsid w:val="006A0DDB"/>
    <w:rsid w:val="006A1E95"/>
    <w:rsid w:val="006A3B55"/>
    <w:rsid w:val="006B0807"/>
    <w:rsid w:val="006B0D60"/>
    <w:rsid w:val="006B14CC"/>
    <w:rsid w:val="006B31AD"/>
    <w:rsid w:val="006B50B1"/>
    <w:rsid w:val="006C2638"/>
    <w:rsid w:val="006C292D"/>
    <w:rsid w:val="006C331E"/>
    <w:rsid w:val="006C3325"/>
    <w:rsid w:val="006C41D4"/>
    <w:rsid w:val="006C6C65"/>
    <w:rsid w:val="006D097A"/>
    <w:rsid w:val="006D25B7"/>
    <w:rsid w:val="006D271B"/>
    <w:rsid w:val="006D3351"/>
    <w:rsid w:val="006D35B8"/>
    <w:rsid w:val="006D3BA0"/>
    <w:rsid w:val="006D5741"/>
    <w:rsid w:val="006D5772"/>
    <w:rsid w:val="006D632D"/>
    <w:rsid w:val="006E0841"/>
    <w:rsid w:val="006E21CA"/>
    <w:rsid w:val="006E2623"/>
    <w:rsid w:val="006E3D7F"/>
    <w:rsid w:val="006E520A"/>
    <w:rsid w:val="006E5577"/>
    <w:rsid w:val="006F3AB4"/>
    <w:rsid w:val="006F4F11"/>
    <w:rsid w:val="006F5CFD"/>
    <w:rsid w:val="006F70A4"/>
    <w:rsid w:val="006F7194"/>
    <w:rsid w:val="00700017"/>
    <w:rsid w:val="00700028"/>
    <w:rsid w:val="00703586"/>
    <w:rsid w:val="00704DBE"/>
    <w:rsid w:val="00705230"/>
    <w:rsid w:val="00706C61"/>
    <w:rsid w:val="0070767C"/>
    <w:rsid w:val="00710725"/>
    <w:rsid w:val="007107F1"/>
    <w:rsid w:val="00711570"/>
    <w:rsid w:val="00711B9D"/>
    <w:rsid w:val="00712844"/>
    <w:rsid w:val="007153F1"/>
    <w:rsid w:val="00716BDC"/>
    <w:rsid w:val="00721202"/>
    <w:rsid w:val="007224B7"/>
    <w:rsid w:val="00723870"/>
    <w:rsid w:val="00724D28"/>
    <w:rsid w:val="00724FAC"/>
    <w:rsid w:val="00725656"/>
    <w:rsid w:val="0072588A"/>
    <w:rsid w:val="00725B38"/>
    <w:rsid w:val="00725FD4"/>
    <w:rsid w:val="0072666B"/>
    <w:rsid w:val="007305AF"/>
    <w:rsid w:val="00731949"/>
    <w:rsid w:val="00731B47"/>
    <w:rsid w:val="007327E8"/>
    <w:rsid w:val="0073293F"/>
    <w:rsid w:val="00732B61"/>
    <w:rsid w:val="00733006"/>
    <w:rsid w:val="0073535D"/>
    <w:rsid w:val="00735374"/>
    <w:rsid w:val="00735727"/>
    <w:rsid w:val="00735AA4"/>
    <w:rsid w:val="00740998"/>
    <w:rsid w:val="00744917"/>
    <w:rsid w:val="00745BF5"/>
    <w:rsid w:val="00745DF9"/>
    <w:rsid w:val="00745F5C"/>
    <w:rsid w:val="007466B9"/>
    <w:rsid w:val="00751EB8"/>
    <w:rsid w:val="00752216"/>
    <w:rsid w:val="00752F43"/>
    <w:rsid w:val="007536F2"/>
    <w:rsid w:val="00754F7F"/>
    <w:rsid w:val="00755297"/>
    <w:rsid w:val="00755404"/>
    <w:rsid w:val="00755C73"/>
    <w:rsid w:val="007574A0"/>
    <w:rsid w:val="00757757"/>
    <w:rsid w:val="00757A0D"/>
    <w:rsid w:val="00762645"/>
    <w:rsid w:val="00762804"/>
    <w:rsid w:val="007648D0"/>
    <w:rsid w:val="00764D9C"/>
    <w:rsid w:val="007656BD"/>
    <w:rsid w:val="0077140C"/>
    <w:rsid w:val="00772B0B"/>
    <w:rsid w:val="00773D4A"/>
    <w:rsid w:val="00776A72"/>
    <w:rsid w:val="00776BA3"/>
    <w:rsid w:val="00777B34"/>
    <w:rsid w:val="0078732A"/>
    <w:rsid w:val="00787886"/>
    <w:rsid w:val="007879C4"/>
    <w:rsid w:val="00790D56"/>
    <w:rsid w:val="00790EA0"/>
    <w:rsid w:val="00791322"/>
    <w:rsid w:val="00791824"/>
    <w:rsid w:val="007918CA"/>
    <w:rsid w:val="00791958"/>
    <w:rsid w:val="00793623"/>
    <w:rsid w:val="00793655"/>
    <w:rsid w:val="00796842"/>
    <w:rsid w:val="007A1FE0"/>
    <w:rsid w:val="007A3AA0"/>
    <w:rsid w:val="007A569C"/>
    <w:rsid w:val="007A7D2F"/>
    <w:rsid w:val="007B1CA2"/>
    <w:rsid w:val="007B3C18"/>
    <w:rsid w:val="007B3D02"/>
    <w:rsid w:val="007B4984"/>
    <w:rsid w:val="007B6C26"/>
    <w:rsid w:val="007C1703"/>
    <w:rsid w:val="007C47A6"/>
    <w:rsid w:val="007C56FB"/>
    <w:rsid w:val="007C61BD"/>
    <w:rsid w:val="007C6205"/>
    <w:rsid w:val="007C64E6"/>
    <w:rsid w:val="007C7A11"/>
    <w:rsid w:val="007D1FC0"/>
    <w:rsid w:val="007D229D"/>
    <w:rsid w:val="007D27E8"/>
    <w:rsid w:val="007D42BF"/>
    <w:rsid w:val="007D59FF"/>
    <w:rsid w:val="007D7358"/>
    <w:rsid w:val="007D75A2"/>
    <w:rsid w:val="007D7857"/>
    <w:rsid w:val="007E07E9"/>
    <w:rsid w:val="007E19E8"/>
    <w:rsid w:val="007E1D93"/>
    <w:rsid w:val="007E44CA"/>
    <w:rsid w:val="007E4D52"/>
    <w:rsid w:val="007E6F8E"/>
    <w:rsid w:val="007F10B9"/>
    <w:rsid w:val="007F2067"/>
    <w:rsid w:val="007F40B9"/>
    <w:rsid w:val="007F41EF"/>
    <w:rsid w:val="007F53C0"/>
    <w:rsid w:val="007F5B8E"/>
    <w:rsid w:val="007F66EB"/>
    <w:rsid w:val="0080012C"/>
    <w:rsid w:val="008015A4"/>
    <w:rsid w:val="00801C57"/>
    <w:rsid w:val="0080385A"/>
    <w:rsid w:val="00803ACD"/>
    <w:rsid w:val="008055F1"/>
    <w:rsid w:val="00806D72"/>
    <w:rsid w:val="008079E2"/>
    <w:rsid w:val="00810D15"/>
    <w:rsid w:val="00811AA4"/>
    <w:rsid w:val="00812883"/>
    <w:rsid w:val="008158B8"/>
    <w:rsid w:val="00820D5A"/>
    <w:rsid w:val="00826BBF"/>
    <w:rsid w:val="00826F96"/>
    <w:rsid w:val="008307D0"/>
    <w:rsid w:val="00830CBA"/>
    <w:rsid w:val="00831FA9"/>
    <w:rsid w:val="0083415A"/>
    <w:rsid w:val="00835BD0"/>
    <w:rsid w:val="0083635E"/>
    <w:rsid w:val="00840254"/>
    <w:rsid w:val="00840D88"/>
    <w:rsid w:val="00841818"/>
    <w:rsid w:val="008448E2"/>
    <w:rsid w:val="00844B4D"/>
    <w:rsid w:val="0084504C"/>
    <w:rsid w:val="00845716"/>
    <w:rsid w:val="00846684"/>
    <w:rsid w:val="00850396"/>
    <w:rsid w:val="00850DB3"/>
    <w:rsid w:val="00852C79"/>
    <w:rsid w:val="0085326D"/>
    <w:rsid w:val="00853EF0"/>
    <w:rsid w:val="0085414A"/>
    <w:rsid w:val="0086225F"/>
    <w:rsid w:val="0086257B"/>
    <w:rsid w:val="0086312B"/>
    <w:rsid w:val="008635BC"/>
    <w:rsid w:val="00871EC2"/>
    <w:rsid w:val="0087245E"/>
    <w:rsid w:val="00873867"/>
    <w:rsid w:val="00874570"/>
    <w:rsid w:val="008809C2"/>
    <w:rsid w:val="0088140B"/>
    <w:rsid w:val="008821AC"/>
    <w:rsid w:val="00884014"/>
    <w:rsid w:val="00885787"/>
    <w:rsid w:val="00886966"/>
    <w:rsid w:val="008917EC"/>
    <w:rsid w:val="00892955"/>
    <w:rsid w:val="00893EB0"/>
    <w:rsid w:val="0089448F"/>
    <w:rsid w:val="00894AE1"/>
    <w:rsid w:val="00895548"/>
    <w:rsid w:val="0089588C"/>
    <w:rsid w:val="008A118D"/>
    <w:rsid w:val="008A239E"/>
    <w:rsid w:val="008A24D1"/>
    <w:rsid w:val="008A289B"/>
    <w:rsid w:val="008A3061"/>
    <w:rsid w:val="008A5220"/>
    <w:rsid w:val="008A576C"/>
    <w:rsid w:val="008A5DEA"/>
    <w:rsid w:val="008A72F7"/>
    <w:rsid w:val="008B02A5"/>
    <w:rsid w:val="008B102B"/>
    <w:rsid w:val="008B1D32"/>
    <w:rsid w:val="008B32B8"/>
    <w:rsid w:val="008B3B33"/>
    <w:rsid w:val="008B4A00"/>
    <w:rsid w:val="008B6E05"/>
    <w:rsid w:val="008C18AB"/>
    <w:rsid w:val="008C2953"/>
    <w:rsid w:val="008C2AF7"/>
    <w:rsid w:val="008C413B"/>
    <w:rsid w:val="008C4A0E"/>
    <w:rsid w:val="008C4B2C"/>
    <w:rsid w:val="008C5009"/>
    <w:rsid w:val="008C66FC"/>
    <w:rsid w:val="008D3F83"/>
    <w:rsid w:val="008D6C66"/>
    <w:rsid w:val="008E2719"/>
    <w:rsid w:val="008E275A"/>
    <w:rsid w:val="008E37D8"/>
    <w:rsid w:val="008E3AD0"/>
    <w:rsid w:val="008E41BA"/>
    <w:rsid w:val="008F03FC"/>
    <w:rsid w:val="008F2D22"/>
    <w:rsid w:val="008F463C"/>
    <w:rsid w:val="008F4CEA"/>
    <w:rsid w:val="008F5A3D"/>
    <w:rsid w:val="008F6161"/>
    <w:rsid w:val="008F65C9"/>
    <w:rsid w:val="008F6739"/>
    <w:rsid w:val="008F68AA"/>
    <w:rsid w:val="008F7A03"/>
    <w:rsid w:val="0090064F"/>
    <w:rsid w:val="00902AF1"/>
    <w:rsid w:val="009050DC"/>
    <w:rsid w:val="00911CAE"/>
    <w:rsid w:val="00913EAA"/>
    <w:rsid w:val="009147CF"/>
    <w:rsid w:val="00914B79"/>
    <w:rsid w:val="00917183"/>
    <w:rsid w:val="00920482"/>
    <w:rsid w:val="00922D38"/>
    <w:rsid w:val="00923070"/>
    <w:rsid w:val="00925E0D"/>
    <w:rsid w:val="00930B77"/>
    <w:rsid w:val="00932894"/>
    <w:rsid w:val="00933DC9"/>
    <w:rsid w:val="00934431"/>
    <w:rsid w:val="00934462"/>
    <w:rsid w:val="00934C07"/>
    <w:rsid w:val="00934F49"/>
    <w:rsid w:val="00935536"/>
    <w:rsid w:val="00936CB2"/>
    <w:rsid w:val="00940364"/>
    <w:rsid w:val="00941A65"/>
    <w:rsid w:val="00944084"/>
    <w:rsid w:val="009455DA"/>
    <w:rsid w:val="009468A9"/>
    <w:rsid w:val="009509D5"/>
    <w:rsid w:val="00952A23"/>
    <w:rsid w:val="00953835"/>
    <w:rsid w:val="00953D96"/>
    <w:rsid w:val="00954000"/>
    <w:rsid w:val="009540D4"/>
    <w:rsid w:val="00956EA3"/>
    <w:rsid w:val="00957A20"/>
    <w:rsid w:val="00957EA2"/>
    <w:rsid w:val="0096030E"/>
    <w:rsid w:val="00963CB7"/>
    <w:rsid w:val="00964103"/>
    <w:rsid w:val="00966F54"/>
    <w:rsid w:val="009672C9"/>
    <w:rsid w:val="009675B6"/>
    <w:rsid w:val="009701F0"/>
    <w:rsid w:val="009725AA"/>
    <w:rsid w:val="009726E0"/>
    <w:rsid w:val="0097307C"/>
    <w:rsid w:val="00973258"/>
    <w:rsid w:val="00973AE7"/>
    <w:rsid w:val="009757D1"/>
    <w:rsid w:val="00980754"/>
    <w:rsid w:val="00981050"/>
    <w:rsid w:val="00981111"/>
    <w:rsid w:val="009845D4"/>
    <w:rsid w:val="00984A9A"/>
    <w:rsid w:val="00984F78"/>
    <w:rsid w:val="009850CC"/>
    <w:rsid w:val="009862C8"/>
    <w:rsid w:val="00986324"/>
    <w:rsid w:val="00987CAE"/>
    <w:rsid w:val="00990533"/>
    <w:rsid w:val="00990E24"/>
    <w:rsid w:val="00992091"/>
    <w:rsid w:val="00992C42"/>
    <w:rsid w:val="009958D6"/>
    <w:rsid w:val="009964EC"/>
    <w:rsid w:val="009A388A"/>
    <w:rsid w:val="009A78CC"/>
    <w:rsid w:val="009B3601"/>
    <w:rsid w:val="009B3746"/>
    <w:rsid w:val="009B5244"/>
    <w:rsid w:val="009B5880"/>
    <w:rsid w:val="009B69E7"/>
    <w:rsid w:val="009C0B77"/>
    <w:rsid w:val="009C0BB3"/>
    <w:rsid w:val="009C209A"/>
    <w:rsid w:val="009C7328"/>
    <w:rsid w:val="009C789A"/>
    <w:rsid w:val="009C7C94"/>
    <w:rsid w:val="009D0CD8"/>
    <w:rsid w:val="009D17CF"/>
    <w:rsid w:val="009D2D4C"/>
    <w:rsid w:val="009D5BB4"/>
    <w:rsid w:val="009D6767"/>
    <w:rsid w:val="009E080E"/>
    <w:rsid w:val="009E1546"/>
    <w:rsid w:val="009E29FF"/>
    <w:rsid w:val="009E31AE"/>
    <w:rsid w:val="009E3641"/>
    <w:rsid w:val="009E3897"/>
    <w:rsid w:val="009E3B42"/>
    <w:rsid w:val="009E4D74"/>
    <w:rsid w:val="009E7344"/>
    <w:rsid w:val="009F7190"/>
    <w:rsid w:val="009F76CE"/>
    <w:rsid w:val="00A00D0B"/>
    <w:rsid w:val="00A02372"/>
    <w:rsid w:val="00A036FF"/>
    <w:rsid w:val="00A043B0"/>
    <w:rsid w:val="00A04D73"/>
    <w:rsid w:val="00A0633A"/>
    <w:rsid w:val="00A067B5"/>
    <w:rsid w:val="00A10613"/>
    <w:rsid w:val="00A10F0A"/>
    <w:rsid w:val="00A11441"/>
    <w:rsid w:val="00A12072"/>
    <w:rsid w:val="00A13BC1"/>
    <w:rsid w:val="00A144B7"/>
    <w:rsid w:val="00A15160"/>
    <w:rsid w:val="00A170A9"/>
    <w:rsid w:val="00A2372B"/>
    <w:rsid w:val="00A31FE6"/>
    <w:rsid w:val="00A32521"/>
    <w:rsid w:val="00A328BC"/>
    <w:rsid w:val="00A329F9"/>
    <w:rsid w:val="00A33340"/>
    <w:rsid w:val="00A34F14"/>
    <w:rsid w:val="00A35DF3"/>
    <w:rsid w:val="00A36769"/>
    <w:rsid w:val="00A42F1B"/>
    <w:rsid w:val="00A435A1"/>
    <w:rsid w:val="00A44E79"/>
    <w:rsid w:val="00A46D0E"/>
    <w:rsid w:val="00A50DB5"/>
    <w:rsid w:val="00A51249"/>
    <w:rsid w:val="00A550AA"/>
    <w:rsid w:val="00A55CED"/>
    <w:rsid w:val="00A55EF3"/>
    <w:rsid w:val="00A56FB9"/>
    <w:rsid w:val="00A60A09"/>
    <w:rsid w:val="00A60ACD"/>
    <w:rsid w:val="00A61B42"/>
    <w:rsid w:val="00A61E52"/>
    <w:rsid w:val="00A63938"/>
    <w:rsid w:val="00A6402E"/>
    <w:rsid w:val="00A65397"/>
    <w:rsid w:val="00A665C1"/>
    <w:rsid w:val="00A71720"/>
    <w:rsid w:val="00A726C9"/>
    <w:rsid w:val="00A735DE"/>
    <w:rsid w:val="00A74C0B"/>
    <w:rsid w:val="00A77964"/>
    <w:rsid w:val="00A816B3"/>
    <w:rsid w:val="00A82693"/>
    <w:rsid w:val="00A83E71"/>
    <w:rsid w:val="00A85D0F"/>
    <w:rsid w:val="00A86A5F"/>
    <w:rsid w:val="00A874CC"/>
    <w:rsid w:val="00A87CF9"/>
    <w:rsid w:val="00A87E02"/>
    <w:rsid w:val="00A90581"/>
    <w:rsid w:val="00A91F4B"/>
    <w:rsid w:val="00A925A7"/>
    <w:rsid w:val="00A92B30"/>
    <w:rsid w:val="00A9469B"/>
    <w:rsid w:val="00A949DE"/>
    <w:rsid w:val="00A95296"/>
    <w:rsid w:val="00A95C0C"/>
    <w:rsid w:val="00A960B2"/>
    <w:rsid w:val="00A97ED7"/>
    <w:rsid w:val="00AA0539"/>
    <w:rsid w:val="00AA29A0"/>
    <w:rsid w:val="00AA2FFD"/>
    <w:rsid w:val="00AA3121"/>
    <w:rsid w:val="00AA59A6"/>
    <w:rsid w:val="00AA7266"/>
    <w:rsid w:val="00AA7432"/>
    <w:rsid w:val="00AB0E67"/>
    <w:rsid w:val="00AB4C9C"/>
    <w:rsid w:val="00AB5639"/>
    <w:rsid w:val="00AB6BF2"/>
    <w:rsid w:val="00AB70F9"/>
    <w:rsid w:val="00AC1CFE"/>
    <w:rsid w:val="00AC267D"/>
    <w:rsid w:val="00AC31AC"/>
    <w:rsid w:val="00AC433E"/>
    <w:rsid w:val="00AC7D0C"/>
    <w:rsid w:val="00AD08BC"/>
    <w:rsid w:val="00AD1816"/>
    <w:rsid w:val="00AD6208"/>
    <w:rsid w:val="00AD79A2"/>
    <w:rsid w:val="00AE099F"/>
    <w:rsid w:val="00AE0DCD"/>
    <w:rsid w:val="00AE10CA"/>
    <w:rsid w:val="00AE1CE6"/>
    <w:rsid w:val="00AE2D27"/>
    <w:rsid w:val="00AE2ED9"/>
    <w:rsid w:val="00AE30F5"/>
    <w:rsid w:val="00AE3D62"/>
    <w:rsid w:val="00AE3F19"/>
    <w:rsid w:val="00AE4295"/>
    <w:rsid w:val="00AE5FC5"/>
    <w:rsid w:val="00AE6690"/>
    <w:rsid w:val="00AE679F"/>
    <w:rsid w:val="00AE7ADC"/>
    <w:rsid w:val="00AF2399"/>
    <w:rsid w:val="00AF2524"/>
    <w:rsid w:val="00AF379D"/>
    <w:rsid w:val="00AF3813"/>
    <w:rsid w:val="00AF3D8A"/>
    <w:rsid w:val="00AF456D"/>
    <w:rsid w:val="00AF604B"/>
    <w:rsid w:val="00AF66C6"/>
    <w:rsid w:val="00AF69F8"/>
    <w:rsid w:val="00AF6D87"/>
    <w:rsid w:val="00B00107"/>
    <w:rsid w:val="00B0168B"/>
    <w:rsid w:val="00B024D2"/>
    <w:rsid w:val="00B03709"/>
    <w:rsid w:val="00B05561"/>
    <w:rsid w:val="00B0751B"/>
    <w:rsid w:val="00B1009C"/>
    <w:rsid w:val="00B10814"/>
    <w:rsid w:val="00B140A4"/>
    <w:rsid w:val="00B15E67"/>
    <w:rsid w:val="00B16A4E"/>
    <w:rsid w:val="00B175F2"/>
    <w:rsid w:val="00B21267"/>
    <w:rsid w:val="00B22158"/>
    <w:rsid w:val="00B2243E"/>
    <w:rsid w:val="00B24D64"/>
    <w:rsid w:val="00B24DDD"/>
    <w:rsid w:val="00B25AC6"/>
    <w:rsid w:val="00B2701A"/>
    <w:rsid w:val="00B27643"/>
    <w:rsid w:val="00B27B4D"/>
    <w:rsid w:val="00B3088D"/>
    <w:rsid w:val="00B308CA"/>
    <w:rsid w:val="00B32F80"/>
    <w:rsid w:val="00B33252"/>
    <w:rsid w:val="00B33605"/>
    <w:rsid w:val="00B351B4"/>
    <w:rsid w:val="00B35410"/>
    <w:rsid w:val="00B37FBC"/>
    <w:rsid w:val="00B40D84"/>
    <w:rsid w:val="00B40E43"/>
    <w:rsid w:val="00B41620"/>
    <w:rsid w:val="00B43663"/>
    <w:rsid w:val="00B437D5"/>
    <w:rsid w:val="00B44BAF"/>
    <w:rsid w:val="00B44ED1"/>
    <w:rsid w:val="00B45766"/>
    <w:rsid w:val="00B502DE"/>
    <w:rsid w:val="00B508BE"/>
    <w:rsid w:val="00B50CED"/>
    <w:rsid w:val="00B51229"/>
    <w:rsid w:val="00B52F79"/>
    <w:rsid w:val="00B53B15"/>
    <w:rsid w:val="00B547F9"/>
    <w:rsid w:val="00B55156"/>
    <w:rsid w:val="00B55A61"/>
    <w:rsid w:val="00B55ECC"/>
    <w:rsid w:val="00B56054"/>
    <w:rsid w:val="00B57906"/>
    <w:rsid w:val="00B61A8C"/>
    <w:rsid w:val="00B62085"/>
    <w:rsid w:val="00B6537C"/>
    <w:rsid w:val="00B72E5C"/>
    <w:rsid w:val="00B72F26"/>
    <w:rsid w:val="00B73582"/>
    <w:rsid w:val="00B751BA"/>
    <w:rsid w:val="00B76CFD"/>
    <w:rsid w:val="00B77830"/>
    <w:rsid w:val="00B77C65"/>
    <w:rsid w:val="00B80035"/>
    <w:rsid w:val="00B80818"/>
    <w:rsid w:val="00B8112C"/>
    <w:rsid w:val="00B8184A"/>
    <w:rsid w:val="00B82109"/>
    <w:rsid w:val="00B82A2F"/>
    <w:rsid w:val="00B86BBD"/>
    <w:rsid w:val="00B86D2D"/>
    <w:rsid w:val="00B87714"/>
    <w:rsid w:val="00B87CC2"/>
    <w:rsid w:val="00B87EE7"/>
    <w:rsid w:val="00B91755"/>
    <w:rsid w:val="00B93F8F"/>
    <w:rsid w:val="00B9449F"/>
    <w:rsid w:val="00B94A98"/>
    <w:rsid w:val="00B94CC3"/>
    <w:rsid w:val="00B96D3E"/>
    <w:rsid w:val="00B97825"/>
    <w:rsid w:val="00BA0574"/>
    <w:rsid w:val="00BA0B5B"/>
    <w:rsid w:val="00BA2F0E"/>
    <w:rsid w:val="00BA3E24"/>
    <w:rsid w:val="00BA4409"/>
    <w:rsid w:val="00BA45B8"/>
    <w:rsid w:val="00BA45C8"/>
    <w:rsid w:val="00BA5536"/>
    <w:rsid w:val="00BA5BF7"/>
    <w:rsid w:val="00BA76AB"/>
    <w:rsid w:val="00BB0219"/>
    <w:rsid w:val="00BB3EEA"/>
    <w:rsid w:val="00BB5C9F"/>
    <w:rsid w:val="00BB6466"/>
    <w:rsid w:val="00BB6B86"/>
    <w:rsid w:val="00BB74CF"/>
    <w:rsid w:val="00BC0243"/>
    <w:rsid w:val="00BC0427"/>
    <w:rsid w:val="00BC78C0"/>
    <w:rsid w:val="00BD06EF"/>
    <w:rsid w:val="00BD1570"/>
    <w:rsid w:val="00BD164A"/>
    <w:rsid w:val="00BD4852"/>
    <w:rsid w:val="00BD52A6"/>
    <w:rsid w:val="00BD562E"/>
    <w:rsid w:val="00BD7839"/>
    <w:rsid w:val="00BD79E6"/>
    <w:rsid w:val="00BE1273"/>
    <w:rsid w:val="00BE2166"/>
    <w:rsid w:val="00BE4A40"/>
    <w:rsid w:val="00BE548A"/>
    <w:rsid w:val="00BE54B3"/>
    <w:rsid w:val="00BF002B"/>
    <w:rsid w:val="00BF20A6"/>
    <w:rsid w:val="00BF37DA"/>
    <w:rsid w:val="00BF3B87"/>
    <w:rsid w:val="00BF749B"/>
    <w:rsid w:val="00C02AA5"/>
    <w:rsid w:val="00C04479"/>
    <w:rsid w:val="00C07BBB"/>
    <w:rsid w:val="00C1122C"/>
    <w:rsid w:val="00C1140F"/>
    <w:rsid w:val="00C11606"/>
    <w:rsid w:val="00C12333"/>
    <w:rsid w:val="00C13843"/>
    <w:rsid w:val="00C143D2"/>
    <w:rsid w:val="00C14F42"/>
    <w:rsid w:val="00C151C1"/>
    <w:rsid w:val="00C16DD3"/>
    <w:rsid w:val="00C20554"/>
    <w:rsid w:val="00C21EA2"/>
    <w:rsid w:val="00C23B1E"/>
    <w:rsid w:val="00C253D4"/>
    <w:rsid w:val="00C31E42"/>
    <w:rsid w:val="00C337FB"/>
    <w:rsid w:val="00C33B7B"/>
    <w:rsid w:val="00C340ED"/>
    <w:rsid w:val="00C37B71"/>
    <w:rsid w:val="00C41AD2"/>
    <w:rsid w:val="00C431F6"/>
    <w:rsid w:val="00C44ACC"/>
    <w:rsid w:val="00C45A70"/>
    <w:rsid w:val="00C500F7"/>
    <w:rsid w:val="00C50491"/>
    <w:rsid w:val="00C514E1"/>
    <w:rsid w:val="00C51662"/>
    <w:rsid w:val="00C51806"/>
    <w:rsid w:val="00C52892"/>
    <w:rsid w:val="00C52F29"/>
    <w:rsid w:val="00C54FCB"/>
    <w:rsid w:val="00C600EB"/>
    <w:rsid w:val="00C614A0"/>
    <w:rsid w:val="00C62243"/>
    <w:rsid w:val="00C63626"/>
    <w:rsid w:val="00C63C36"/>
    <w:rsid w:val="00C705FF"/>
    <w:rsid w:val="00C72DDC"/>
    <w:rsid w:val="00C737CC"/>
    <w:rsid w:val="00C7427B"/>
    <w:rsid w:val="00C74AE9"/>
    <w:rsid w:val="00C8066A"/>
    <w:rsid w:val="00C80B53"/>
    <w:rsid w:val="00C80EA0"/>
    <w:rsid w:val="00C82410"/>
    <w:rsid w:val="00C848A6"/>
    <w:rsid w:val="00C849D7"/>
    <w:rsid w:val="00C8631D"/>
    <w:rsid w:val="00C87234"/>
    <w:rsid w:val="00C87E49"/>
    <w:rsid w:val="00C915DF"/>
    <w:rsid w:val="00C922F2"/>
    <w:rsid w:val="00C92320"/>
    <w:rsid w:val="00C927F7"/>
    <w:rsid w:val="00C92F9C"/>
    <w:rsid w:val="00C93B24"/>
    <w:rsid w:val="00C944C5"/>
    <w:rsid w:val="00C95606"/>
    <w:rsid w:val="00C95FCE"/>
    <w:rsid w:val="00C96AD4"/>
    <w:rsid w:val="00C96CCB"/>
    <w:rsid w:val="00C978E2"/>
    <w:rsid w:val="00CA012D"/>
    <w:rsid w:val="00CA14B3"/>
    <w:rsid w:val="00CA1517"/>
    <w:rsid w:val="00CA17E2"/>
    <w:rsid w:val="00CA1F23"/>
    <w:rsid w:val="00CA258E"/>
    <w:rsid w:val="00CA25DC"/>
    <w:rsid w:val="00CA308A"/>
    <w:rsid w:val="00CA33E3"/>
    <w:rsid w:val="00CA3A01"/>
    <w:rsid w:val="00CA465B"/>
    <w:rsid w:val="00CA5F93"/>
    <w:rsid w:val="00CA7D4D"/>
    <w:rsid w:val="00CB1C2F"/>
    <w:rsid w:val="00CB517E"/>
    <w:rsid w:val="00CB60E6"/>
    <w:rsid w:val="00CB75AB"/>
    <w:rsid w:val="00CB769A"/>
    <w:rsid w:val="00CC03BA"/>
    <w:rsid w:val="00CC1195"/>
    <w:rsid w:val="00CC1D62"/>
    <w:rsid w:val="00CC4613"/>
    <w:rsid w:val="00CC4A01"/>
    <w:rsid w:val="00CC6565"/>
    <w:rsid w:val="00CD0105"/>
    <w:rsid w:val="00CD234F"/>
    <w:rsid w:val="00CD2C28"/>
    <w:rsid w:val="00CD3454"/>
    <w:rsid w:val="00CD4E6F"/>
    <w:rsid w:val="00CD6834"/>
    <w:rsid w:val="00CD6E6C"/>
    <w:rsid w:val="00CE0150"/>
    <w:rsid w:val="00CE0F4E"/>
    <w:rsid w:val="00CE2C18"/>
    <w:rsid w:val="00CE53A1"/>
    <w:rsid w:val="00CE71F7"/>
    <w:rsid w:val="00CE7B8F"/>
    <w:rsid w:val="00CF22F5"/>
    <w:rsid w:val="00CF2DC6"/>
    <w:rsid w:val="00CF3101"/>
    <w:rsid w:val="00CF35FB"/>
    <w:rsid w:val="00CF39FB"/>
    <w:rsid w:val="00CF45AD"/>
    <w:rsid w:val="00CF50CE"/>
    <w:rsid w:val="00CF5103"/>
    <w:rsid w:val="00CF5DAA"/>
    <w:rsid w:val="00CF6033"/>
    <w:rsid w:val="00CF728D"/>
    <w:rsid w:val="00CF7896"/>
    <w:rsid w:val="00D00217"/>
    <w:rsid w:val="00D0097C"/>
    <w:rsid w:val="00D014BA"/>
    <w:rsid w:val="00D04183"/>
    <w:rsid w:val="00D104FE"/>
    <w:rsid w:val="00D112D7"/>
    <w:rsid w:val="00D11C17"/>
    <w:rsid w:val="00D11C45"/>
    <w:rsid w:val="00D129C2"/>
    <w:rsid w:val="00D16433"/>
    <w:rsid w:val="00D1771C"/>
    <w:rsid w:val="00D2025C"/>
    <w:rsid w:val="00D224B1"/>
    <w:rsid w:val="00D234C9"/>
    <w:rsid w:val="00D234CE"/>
    <w:rsid w:val="00D23824"/>
    <w:rsid w:val="00D23FCA"/>
    <w:rsid w:val="00D2443C"/>
    <w:rsid w:val="00D25DAD"/>
    <w:rsid w:val="00D274CB"/>
    <w:rsid w:val="00D27D4F"/>
    <w:rsid w:val="00D3048E"/>
    <w:rsid w:val="00D33B28"/>
    <w:rsid w:val="00D35C66"/>
    <w:rsid w:val="00D36916"/>
    <w:rsid w:val="00D36F63"/>
    <w:rsid w:val="00D40349"/>
    <w:rsid w:val="00D40F67"/>
    <w:rsid w:val="00D41E65"/>
    <w:rsid w:val="00D444FF"/>
    <w:rsid w:val="00D44607"/>
    <w:rsid w:val="00D4528D"/>
    <w:rsid w:val="00D46B37"/>
    <w:rsid w:val="00D47EA6"/>
    <w:rsid w:val="00D5049B"/>
    <w:rsid w:val="00D51E46"/>
    <w:rsid w:val="00D52BBC"/>
    <w:rsid w:val="00D52CCA"/>
    <w:rsid w:val="00D52D7C"/>
    <w:rsid w:val="00D55099"/>
    <w:rsid w:val="00D6110A"/>
    <w:rsid w:val="00D61A0B"/>
    <w:rsid w:val="00D6208A"/>
    <w:rsid w:val="00D66148"/>
    <w:rsid w:val="00D67766"/>
    <w:rsid w:val="00D70DDF"/>
    <w:rsid w:val="00D726F5"/>
    <w:rsid w:val="00D73698"/>
    <w:rsid w:val="00D738B8"/>
    <w:rsid w:val="00D74441"/>
    <w:rsid w:val="00D7706D"/>
    <w:rsid w:val="00D8047E"/>
    <w:rsid w:val="00D80B74"/>
    <w:rsid w:val="00D81A93"/>
    <w:rsid w:val="00D81D17"/>
    <w:rsid w:val="00D82ACE"/>
    <w:rsid w:val="00D83B12"/>
    <w:rsid w:val="00D84181"/>
    <w:rsid w:val="00D85DD9"/>
    <w:rsid w:val="00D86666"/>
    <w:rsid w:val="00D86F42"/>
    <w:rsid w:val="00D877A5"/>
    <w:rsid w:val="00D91DFC"/>
    <w:rsid w:val="00D91FD8"/>
    <w:rsid w:val="00D920C6"/>
    <w:rsid w:val="00D927FE"/>
    <w:rsid w:val="00D929E2"/>
    <w:rsid w:val="00D92FF1"/>
    <w:rsid w:val="00D9500E"/>
    <w:rsid w:val="00D9505D"/>
    <w:rsid w:val="00DA09BE"/>
    <w:rsid w:val="00DA402D"/>
    <w:rsid w:val="00DA4E3B"/>
    <w:rsid w:val="00DB0913"/>
    <w:rsid w:val="00DB3DC6"/>
    <w:rsid w:val="00DB6492"/>
    <w:rsid w:val="00DB74B3"/>
    <w:rsid w:val="00DC079B"/>
    <w:rsid w:val="00DC1232"/>
    <w:rsid w:val="00DC1819"/>
    <w:rsid w:val="00DC42C5"/>
    <w:rsid w:val="00DC489E"/>
    <w:rsid w:val="00DC5FF0"/>
    <w:rsid w:val="00DC6F27"/>
    <w:rsid w:val="00DD0267"/>
    <w:rsid w:val="00DD0B2B"/>
    <w:rsid w:val="00DD459A"/>
    <w:rsid w:val="00DD4F23"/>
    <w:rsid w:val="00DD63DD"/>
    <w:rsid w:val="00DE0144"/>
    <w:rsid w:val="00DE0376"/>
    <w:rsid w:val="00DE1D41"/>
    <w:rsid w:val="00DE48A2"/>
    <w:rsid w:val="00DE50FE"/>
    <w:rsid w:val="00DE5D9A"/>
    <w:rsid w:val="00DE6290"/>
    <w:rsid w:val="00DE7201"/>
    <w:rsid w:val="00DF0FCF"/>
    <w:rsid w:val="00DF1E82"/>
    <w:rsid w:val="00DF21B4"/>
    <w:rsid w:val="00DF3C7A"/>
    <w:rsid w:val="00DF78DD"/>
    <w:rsid w:val="00E02972"/>
    <w:rsid w:val="00E02F06"/>
    <w:rsid w:val="00E036E6"/>
    <w:rsid w:val="00E05ACC"/>
    <w:rsid w:val="00E05CD6"/>
    <w:rsid w:val="00E0671C"/>
    <w:rsid w:val="00E07532"/>
    <w:rsid w:val="00E101A2"/>
    <w:rsid w:val="00E10DF6"/>
    <w:rsid w:val="00E11F90"/>
    <w:rsid w:val="00E127A2"/>
    <w:rsid w:val="00E12F58"/>
    <w:rsid w:val="00E1635E"/>
    <w:rsid w:val="00E16ED5"/>
    <w:rsid w:val="00E1713C"/>
    <w:rsid w:val="00E210D9"/>
    <w:rsid w:val="00E21CCE"/>
    <w:rsid w:val="00E22BF7"/>
    <w:rsid w:val="00E22FA9"/>
    <w:rsid w:val="00E245D6"/>
    <w:rsid w:val="00E25381"/>
    <w:rsid w:val="00E25B01"/>
    <w:rsid w:val="00E25ED1"/>
    <w:rsid w:val="00E27BC6"/>
    <w:rsid w:val="00E30C88"/>
    <w:rsid w:val="00E312BA"/>
    <w:rsid w:val="00E314FA"/>
    <w:rsid w:val="00E3175F"/>
    <w:rsid w:val="00E31973"/>
    <w:rsid w:val="00E33A3B"/>
    <w:rsid w:val="00E35687"/>
    <w:rsid w:val="00E363D9"/>
    <w:rsid w:val="00E37504"/>
    <w:rsid w:val="00E41000"/>
    <w:rsid w:val="00E46EFB"/>
    <w:rsid w:val="00E53C94"/>
    <w:rsid w:val="00E567BD"/>
    <w:rsid w:val="00E573BA"/>
    <w:rsid w:val="00E5744D"/>
    <w:rsid w:val="00E60146"/>
    <w:rsid w:val="00E60DCF"/>
    <w:rsid w:val="00E60EC1"/>
    <w:rsid w:val="00E611AD"/>
    <w:rsid w:val="00E614CF"/>
    <w:rsid w:val="00E62FD8"/>
    <w:rsid w:val="00E66188"/>
    <w:rsid w:val="00E66F6F"/>
    <w:rsid w:val="00E70B0E"/>
    <w:rsid w:val="00E72CEA"/>
    <w:rsid w:val="00E73F60"/>
    <w:rsid w:val="00E74CE8"/>
    <w:rsid w:val="00E75514"/>
    <w:rsid w:val="00E7563F"/>
    <w:rsid w:val="00E76E34"/>
    <w:rsid w:val="00E80FC4"/>
    <w:rsid w:val="00E8154B"/>
    <w:rsid w:val="00E82089"/>
    <w:rsid w:val="00E8306F"/>
    <w:rsid w:val="00E83452"/>
    <w:rsid w:val="00E8505D"/>
    <w:rsid w:val="00E85BCE"/>
    <w:rsid w:val="00E9052D"/>
    <w:rsid w:val="00E908DC"/>
    <w:rsid w:val="00E90A68"/>
    <w:rsid w:val="00E918EC"/>
    <w:rsid w:val="00E927DA"/>
    <w:rsid w:val="00E94E94"/>
    <w:rsid w:val="00E95D96"/>
    <w:rsid w:val="00E973FA"/>
    <w:rsid w:val="00E97B8F"/>
    <w:rsid w:val="00EA06BE"/>
    <w:rsid w:val="00EA108F"/>
    <w:rsid w:val="00EA17FB"/>
    <w:rsid w:val="00EA1804"/>
    <w:rsid w:val="00EA2D9E"/>
    <w:rsid w:val="00EA4A04"/>
    <w:rsid w:val="00EA6F68"/>
    <w:rsid w:val="00EB1038"/>
    <w:rsid w:val="00EB246F"/>
    <w:rsid w:val="00EB3E52"/>
    <w:rsid w:val="00EB4110"/>
    <w:rsid w:val="00EB42E2"/>
    <w:rsid w:val="00EB4C62"/>
    <w:rsid w:val="00EB4F42"/>
    <w:rsid w:val="00EB5611"/>
    <w:rsid w:val="00EB5BBD"/>
    <w:rsid w:val="00EB7065"/>
    <w:rsid w:val="00EB72E4"/>
    <w:rsid w:val="00EC17BB"/>
    <w:rsid w:val="00EC1F57"/>
    <w:rsid w:val="00EC3D65"/>
    <w:rsid w:val="00EC4A12"/>
    <w:rsid w:val="00EC6DB9"/>
    <w:rsid w:val="00EC7BA1"/>
    <w:rsid w:val="00ED01BE"/>
    <w:rsid w:val="00ED0578"/>
    <w:rsid w:val="00ED28E8"/>
    <w:rsid w:val="00ED2DE3"/>
    <w:rsid w:val="00ED2FE7"/>
    <w:rsid w:val="00ED5B24"/>
    <w:rsid w:val="00ED7C2C"/>
    <w:rsid w:val="00EE0611"/>
    <w:rsid w:val="00EE44BD"/>
    <w:rsid w:val="00EE562D"/>
    <w:rsid w:val="00EE623D"/>
    <w:rsid w:val="00EE715E"/>
    <w:rsid w:val="00EE75B1"/>
    <w:rsid w:val="00EF0E67"/>
    <w:rsid w:val="00EF2EB3"/>
    <w:rsid w:val="00EF645A"/>
    <w:rsid w:val="00EF70B7"/>
    <w:rsid w:val="00F01BCF"/>
    <w:rsid w:val="00F027E6"/>
    <w:rsid w:val="00F03F35"/>
    <w:rsid w:val="00F04302"/>
    <w:rsid w:val="00F050EF"/>
    <w:rsid w:val="00F05367"/>
    <w:rsid w:val="00F059F2"/>
    <w:rsid w:val="00F05C05"/>
    <w:rsid w:val="00F06674"/>
    <w:rsid w:val="00F06C30"/>
    <w:rsid w:val="00F06E32"/>
    <w:rsid w:val="00F1464F"/>
    <w:rsid w:val="00F14B4E"/>
    <w:rsid w:val="00F14EEF"/>
    <w:rsid w:val="00F15432"/>
    <w:rsid w:val="00F15C71"/>
    <w:rsid w:val="00F20017"/>
    <w:rsid w:val="00F203B9"/>
    <w:rsid w:val="00F2056D"/>
    <w:rsid w:val="00F217E7"/>
    <w:rsid w:val="00F22155"/>
    <w:rsid w:val="00F24199"/>
    <w:rsid w:val="00F25AE7"/>
    <w:rsid w:val="00F32D88"/>
    <w:rsid w:val="00F35DB7"/>
    <w:rsid w:val="00F36E9C"/>
    <w:rsid w:val="00F41896"/>
    <w:rsid w:val="00F41BDA"/>
    <w:rsid w:val="00F422C9"/>
    <w:rsid w:val="00F459B7"/>
    <w:rsid w:val="00F45BF4"/>
    <w:rsid w:val="00F46FC2"/>
    <w:rsid w:val="00F47F68"/>
    <w:rsid w:val="00F51D99"/>
    <w:rsid w:val="00F536FE"/>
    <w:rsid w:val="00F54F1E"/>
    <w:rsid w:val="00F55707"/>
    <w:rsid w:val="00F6106B"/>
    <w:rsid w:val="00F61A15"/>
    <w:rsid w:val="00F61EAC"/>
    <w:rsid w:val="00F639C9"/>
    <w:rsid w:val="00F6420F"/>
    <w:rsid w:val="00F66102"/>
    <w:rsid w:val="00F672FD"/>
    <w:rsid w:val="00F678F3"/>
    <w:rsid w:val="00F70A20"/>
    <w:rsid w:val="00F71481"/>
    <w:rsid w:val="00F71C1F"/>
    <w:rsid w:val="00F7225D"/>
    <w:rsid w:val="00F7583B"/>
    <w:rsid w:val="00F7700E"/>
    <w:rsid w:val="00F77656"/>
    <w:rsid w:val="00F77B45"/>
    <w:rsid w:val="00F8025F"/>
    <w:rsid w:val="00F8064C"/>
    <w:rsid w:val="00F8234A"/>
    <w:rsid w:val="00F826EC"/>
    <w:rsid w:val="00F8392F"/>
    <w:rsid w:val="00F90E74"/>
    <w:rsid w:val="00F960F6"/>
    <w:rsid w:val="00F97B4F"/>
    <w:rsid w:val="00FA1057"/>
    <w:rsid w:val="00FA265A"/>
    <w:rsid w:val="00FA3871"/>
    <w:rsid w:val="00FA4435"/>
    <w:rsid w:val="00FA4485"/>
    <w:rsid w:val="00FA6874"/>
    <w:rsid w:val="00FA763E"/>
    <w:rsid w:val="00FA7C46"/>
    <w:rsid w:val="00FB03B2"/>
    <w:rsid w:val="00FB1440"/>
    <w:rsid w:val="00FB224B"/>
    <w:rsid w:val="00FB282F"/>
    <w:rsid w:val="00FB3FF7"/>
    <w:rsid w:val="00FB4593"/>
    <w:rsid w:val="00FB46D5"/>
    <w:rsid w:val="00FB4AD4"/>
    <w:rsid w:val="00FB5F8E"/>
    <w:rsid w:val="00FB63F9"/>
    <w:rsid w:val="00FC0D92"/>
    <w:rsid w:val="00FC1C9E"/>
    <w:rsid w:val="00FC2915"/>
    <w:rsid w:val="00FC3E65"/>
    <w:rsid w:val="00FC4BA6"/>
    <w:rsid w:val="00FC569C"/>
    <w:rsid w:val="00FC5997"/>
    <w:rsid w:val="00FC7F83"/>
    <w:rsid w:val="00FD1019"/>
    <w:rsid w:val="00FD185A"/>
    <w:rsid w:val="00FD1E2E"/>
    <w:rsid w:val="00FD1F70"/>
    <w:rsid w:val="00FD3D2A"/>
    <w:rsid w:val="00FD6602"/>
    <w:rsid w:val="00FE19DD"/>
    <w:rsid w:val="00FE3B89"/>
    <w:rsid w:val="00FE4170"/>
    <w:rsid w:val="00FE7402"/>
    <w:rsid w:val="00FF2468"/>
    <w:rsid w:val="00FF28BC"/>
    <w:rsid w:val="00FF2DC7"/>
    <w:rsid w:val="00FF3269"/>
    <w:rsid w:val="00FF5A4F"/>
    <w:rsid w:val="00FF5E2D"/>
    <w:rsid w:val="00FF6382"/>
    <w:rsid w:val="00FF718E"/>
    <w:rsid w:val="00FF7243"/>
    <w:rsid w:val="2AB2235C"/>
    <w:rsid w:val="4EDC76F2"/>
    <w:rsid w:val="578267BB"/>
    <w:rsid w:val="679B65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semiHidden="0" w:name="heading 3"/>
    <w:lsdException w:qFormat="1" w:uiPriority="0" w:semiHidden="0"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nhideWhenUsed="0"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30"/>
    <w:unhideWhenUsed/>
    <w:qFormat/>
    <w:uiPriority w:val="0"/>
    <w:pPr>
      <w:keepNext/>
      <w:keepLines/>
      <w:spacing w:before="280" w:after="290" w:line="376" w:lineRule="auto"/>
      <w:outlineLvl w:val="3"/>
    </w:pPr>
    <w:rPr>
      <w:rFonts w:ascii="Cambria" w:hAnsi="Cambria"/>
      <w:b/>
      <w:bCs/>
      <w:sz w:val="28"/>
      <w:szCs w:val="28"/>
    </w:rPr>
  </w:style>
  <w:style w:type="paragraph" w:styleId="6">
    <w:name w:val="heading 5"/>
    <w:basedOn w:val="1"/>
    <w:next w:val="1"/>
    <w:link w:val="31"/>
    <w:unhideWhenUsed/>
    <w:qFormat/>
    <w:uiPriority w:val="0"/>
    <w:pPr>
      <w:keepNext/>
      <w:keepLines/>
      <w:spacing w:before="280" w:after="290" w:line="376" w:lineRule="auto"/>
      <w:outlineLvl w:val="4"/>
    </w:pPr>
    <w:rPr>
      <w:b/>
      <w:bCs/>
      <w:sz w:val="28"/>
      <w:szCs w:val="28"/>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7">
    <w:name w:val="Document Map"/>
    <w:basedOn w:val="1"/>
    <w:link w:val="64"/>
    <w:semiHidden/>
    <w:unhideWhenUsed/>
    <w:uiPriority w:val="99"/>
    <w:rPr>
      <w:rFonts w:ascii="宋体"/>
      <w:sz w:val="18"/>
      <w:szCs w:val="18"/>
    </w:rPr>
  </w:style>
  <w:style w:type="paragraph" w:styleId="8">
    <w:name w:val="annotation text"/>
    <w:basedOn w:val="1"/>
    <w:link w:val="48"/>
    <w:uiPriority w:val="0"/>
    <w:pPr>
      <w:jc w:val="left"/>
    </w:pPr>
    <w:rPr>
      <w:rFonts w:ascii="Times New Roman" w:hAnsi="Times New Roman"/>
    </w:rPr>
  </w:style>
  <w:style w:type="paragraph" w:styleId="9">
    <w:name w:val="Body Text Indent"/>
    <w:basedOn w:val="1"/>
    <w:link w:val="50"/>
    <w:qFormat/>
    <w:uiPriority w:val="0"/>
    <w:pPr>
      <w:autoSpaceDE w:val="0"/>
      <w:autoSpaceDN w:val="0"/>
      <w:adjustRightInd w:val="0"/>
      <w:spacing w:line="360" w:lineRule="auto"/>
      <w:ind w:firstLine="540" w:firstLineChars="180"/>
    </w:pPr>
    <w:rPr>
      <w:rFonts w:ascii="宋体"/>
      <w:sz w:val="30"/>
      <w:szCs w:val="24"/>
    </w:rPr>
  </w:style>
  <w:style w:type="paragraph" w:styleId="10">
    <w:name w:val="toc 3"/>
    <w:basedOn w:val="1"/>
    <w:next w:val="1"/>
    <w:unhideWhenUsed/>
    <w:uiPriority w:val="39"/>
    <w:pPr>
      <w:ind w:left="840" w:leftChars="400"/>
    </w:pPr>
  </w:style>
  <w:style w:type="paragraph" w:styleId="11">
    <w:name w:val="Plain Text"/>
    <w:basedOn w:val="1"/>
    <w:link w:val="44"/>
    <w:qFormat/>
    <w:uiPriority w:val="0"/>
    <w:pPr>
      <w:autoSpaceDE w:val="0"/>
      <w:autoSpaceDN w:val="0"/>
      <w:adjustRightInd w:val="0"/>
    </w:pPr>
    <w:rPr>
      <w:rFonts w:ascii="宋体" w:hAnsi="Tms Rmn" w:cs="宋体"/>
      <w:szCs w:val="21"/>
    </w:rPr>
  </w:style>
  <w:style w:type="paragraph" w:styleId="12">
    <w:name w:val="Body Text Indent 2"/>
    <w:basedOn w:val="1"/>
    <w:link w:val="51"/>
    <w:qFormat/>
    <w:uiPriority w:val="0"/>
    <w:pPr>
      <w:ind w:firstLine="540" w:firstLineChars="257"/>
    </w:pPr>
    <w:rPr>
      <w:rFonts w:ascii="Times New Roman" w:hAnsi="Times New Roman"/>
      <w:szCs w:val="24"/>
    </w:rPr>
  </w:style>
  <w:style w:type="paragraph" w:styleId="13">
    <w:name w:val="Balloon Text"/>
    <w:basedOn w:val="1"/>
    <w:link w:val="34"/>
    <w:semiHidden/>
    <w:uiPriority w:val="99"/>
    <w:rPr>
      <w:sz w:val="18"/>
      <w:szCs w:val="18"/>
    </w:rPr>
  </w:style>
  <w:style w:type="paragraph" w:styleId="14">
    <w:name w:val="footer"/>
    <w:basedOn w:val="1"/>
    <w:link w:val="33"/>
    <w:unhideWhenUsed/>
    <w:qFormat/>
    <w:uiPriority w:val="0"/>
    <w:pPr>
      <w:tabs>
        <w:tab w:val="center" w:pos="4153"/>
        <w:tab w:val="right" w:pos="8306"/>
      </w:tabs>
      <w:snapToGrid w:val="0"/>
      <w:jc w:val="left"/>
    </w:pPr>
    <w:rPr>
      <w:sz w:val="18"/>
      <w:szCs w:val="18"/>
    </w:rPr>
  </w:style>
  <w:style w:type="paragraph" w:styleId="15">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style>
  <w:style w:type="paragraph" w:styleId="17">
    <w:name w:val="Subtitle"/>
    <w:basedOn w:val="1"/>
    <w:next w:val="1"/>
    <w:link w:val="41"/>
    <w:qFormat/>
    <w:uiPriority w:val="0"/>
    <w:pPr>
      <w:spacing w:before="240" w:after="60" w:line="312" w:lineRule="auto"/>
      <w:jc w:val="center"/>
      <w:outlineLvl w:val="1"/>
    </w:pPr>
    <w:rPr>
      <w:rFonts w:ascii="Cambria" w:hAnsi="Cambria"/>
      <w:b/>
      <w:bCs/>
      <w:kern w:val="28"/>
      <w:sz w:val="32"/>
      <w:szCs w:val="32"/>
    </w:rPr>
  </w:style>
  <w:style w:type="paragraph" w:styleId="18">
    <w:name w:val="toc 2"/>
    <w:basedOn w:val="1"/>
    <w:next w:val="1"/>
    <w:uiPriority w:val="39"/>
    <w:pPr>
      <w:ind w:left="420" w:leftChars="200"/>
    </w:pPr>
  </w:style>
  <w:style w:type="paragraph" w:styleId="19">
    <w:name w:val="Normal (Web)"/>
    <w:basedOn w:val="1"/>
    <w:qFormat/>
    <w:uiPriority w:val="99"/>
    <w:pPr>
      <w:widowControl/>
      <w:spacing w:before="100" w:beforeAutospacing="1" w:after="100" w:afterAutospacing="1"/>
      <w:jc w:val="left"/>
    </w:pPr>
    <w:rPr>
      <w:rFonts w:ascii="宋体" w:hAnsi="宋体"/>
      <w:kern w:val="0"/>
      <w:sz w:val="24"/>
      <w:szCs w:val="24"/>
    </w:rPr>
  </w:style>
  <w:style w:type="table" w:styleId="21">
    <w:name w:val="Table Grid"/>
    <w:basedOn w:val="20"/>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3">
    <w:name w:val="Strong"/>
    <w:basedOn w:val="22"/>
    <w:qFormat/>
    <w:uiPriority w:val="22"/>
    <w:rPr>
      <w:b/>
      <w:bCs/>
    </w:rPr>
  </w:style>
  <w:style w:type="character" w:styleId="24">
    <w:name w:val="FollowedHyperlink"/>
    <w:basedOn w:val="22"/>
    <w:semiHidden/>
    <w:unhideWhenUsed/>
    <w:uiPriority w:val="99"/>
    <w:rPr>
      <w:color w:val="800080" w:themeColor="followedHyperlink"/>
      <w:u w:val="single"/>
    </w:rPr>
  </w:style>
  <w:style w:type="character" w:styleId="25">
    <w:name w:val="Emphasis"/>
    <w:basedOn w:val="22"/>
    <w:qFormat/>
    <w:uiPriority w:val="0"/>
    <w:rPr>
      <w:i/>
      <w:iCs/>
    </w:rPr>
  </w:style>
  <w:style w:type="character" w:styleId="26">
    <w:name w:val="Hyperlink"/>
    <w:basedOn w:val="22"/>
    <w:qFormat/>
    <w:uiPriority w:val="99"/>
    <w:rPr>
      <w:rFonts w:cs="Times New Roman"/>
      <w:color w:val="0000FF"/>
      <w:u w:val="single"/>
    </w:rPr>
  </w:style>
  <w:style w:type="character" w:customStyle="1" w:styleId="27">
    <w:name w:val="标题 1 Char"/>
    <w:basedOn w:val="22"/>
    <w:link w:val="2"/>
    <w:qFormat/>
    <w:uiPriority w:val="0"/>
    <w:rPr>
      <w:rFonts w:ascii="Calibri" w:hAnsi="Calibri" w:eastAsia="宋体" w:cs="Times New Roman"/>
      <w:b/>
      <w:bCs/>
      <w:kern w:val="44"/>
      <w:sz w:val="44"/>
      <w:szCs w:val="44"/>
    </w:rPr>
  </w:style>
  <w:style w:type="character" w:customStyle="1" w:styleId="28">
    <w:name w:val="标题 2 Char"/>
    <w:basedOn w:val="22"/>
    <w:link w:val="3"/>
    <w:qFormat/>
    <w:uiPriority w:val="0"/>
    <w:rPr>
      <w:rFonts w:ascii="Cambria" w:hAnsi="Cambria" w:eastAsia="宋体" w:cs="Times New Roman"/>
      <w:b/>
      <w:bCs/>
      <w:sz w:val="32"/>
      <w:szCs w:val="32"/>
    </w:rPr>
  </w:style>
  <w:style w:type="character" w:customStyle="1" w:styleId="29">
    <w:name w:val="标题 3 Char"/>
    <w:basedOn w:val="22"/>
    <w:link w:val="4"/>
    <w:qFormat/>
    <w:uiPriority w:val="0"/>
    <w:rPr>
      <w:rFonts w:ascii="Calibri" w:hAnsi="Calibri" w:eastAsia="宋体" w:cs="Times New Roman"/>
      <w:b/>
      <w:bCs/>
      <w:sz w:val="32"/>
      <w:szCs w:val="32"/>
    </w:rPr>
  </w:style>
  <w:style w:type="character" w:customStyle="1" w:styleId="30">
    <w:name w:val="标题 4 Char"/>
    <w:basedOn w:val="22"/>
    <w:link w:val="5"/>
    <w:qFormat/>
    <w:uiPriority w:val="0"/>
    <w:rPr>
      <w:rFonts w:ascii="Cambria" w:hAnsi="Cambria" w:eastAsia="宋体" w:cs="Times New Roman"/>
      <w:b/>
      <w:bCs/>
      <w:sz w:val="28"/>
      <w:szCs w:val="28"/>
    </w:rPr>
  </w:style>
  <w:style w:type="character" w:customStyle="1" w:styleId="31">
    <w:name w:val="标题 5 Char"/>
    <w:basedOn w:val="22"/>
    <w:link w:val="6"/>
    <w:qFormat/>
    <w:uiPriority w:val="0"/>
    <w:rPr>
      <w:rFonts w:ascii="Calibri" w:hAnsi="Calibri" w:eastAsia="宋体" w:cs="Times New Roman"/>
      <w:b/>
      <w:bCs/>
      <w:sz w:val="28"/>
      <w:szCs w:val="28"/>
    </w:rPr>
  </w:style>
  <w:style w:type="character" w:customStyle="1" w:styleId="32">
    <w:name w:val="页眉 Char"/>
    <w:basedOn w:val="22"/>
    <w:link w:val="15"/>
    <w:qFormat/>
    <w:uiPriority w:val="99"/>
    <w:rPr>
      <w:sz w:val="18"/>
      <w:szCs w:val="18"/>
    </w:rPr>
  </w:style>
  <w:style w:type="character" w:customStyle="1" w:styleId="33">
    <w:name w:val="页脚 Char"/>
    <w:basedOn w:val="22"/>
    <w:link w:val="14"/>
    <w:qFormat/>
    <w:uiPriority w:val="99"/>
    <w:rPr>
      <w:sz w:val="18"/>
      <w:szCs w:val="18"/>
    </w:rPr>
  </w:style>
  <w:style w:type="character" w:customStyle="1" w:styleId="34">
    <w:name w:val="批注框文本 Char"/>
    <w:basedOn w:val="22"/>
    <w:link w:val="13"/>
    <w:semiHidden/>
    <w:qFormat/>
    <w:uiPriority w:val="99"/>
    <w:rPr>
      <w:rFonts w:ascii="Calibri" w:hAnsi="Calibri" w:eastAsia="宋体" w:cs="Times New Roman"/>
      <w:sz w:val="18"/>
      <w:szCs w:val="18"/>
    </w:rPr>
  </w:style>
  <w:style w:type="paragraph" w:customStyle="1" w:styleId="35">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6">
    <w:name w:val="列出段落1"/>
    <w:basedOn w:val="1"/>
    <w:qFormat/>
    <w:uiPriority w:val="0"/>
    <w:pPr>
      <w:ind w:firstLine="420" w:firstLineChars="200"/>
    </w:pPr>
  </w:style>
  <w:style w:type="paragraph" w:customStyle="1" w:styleId="37">
    <w:name w:val="样式"/>
    <w:qFormat/>
    <w:uiPriority w:val="0"/>
    <w:pPr>
      <w:widowControl w:val="0"/>
      <w:autoSpaceDE w:val="0"/>
      <w:autoSpaceDN w:val="0"/>
      <w:adjustRightInd w:val="0"/>
    </w:pPr>
    <w:rPr>
      <w:rFonts w:ascii="Courier New" w:hAnsi="Courier New" w:eastAsia="宋体" w:cs="Courier New"/>
      <w:sz w:val="24"/>
      <w:szCs w:val="24"/>
      <w:lang w:val="en-US" w:eastAsia="zh-CN" w:bidi="ar-SA"/>
    </w:rPr>
  </w:style>
  <w:style w:type="paragraph" w:customStyle="1" w:styleId="38">
    <w:name w:val="09正文_wh"/>
    <w:qFormat/>
    <w:uiPriority w:val="0"/>
    <w:pPr>
      <w:spacing w:line="30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39">
    <w:name w:val="正文（缩进 2 字符）"/>
    <w:basedOn w:val="1"/>
    <w:uiPriority w:val="99"/>
    <w:pPr>
      <w:widowControl/>
      <w:spacing w:line="400" w:lineRule="exact"/>
      <w:ind w:firstLine="200" w:firstLineChars="200"/>
    </w:pPr>
    <w:rPr>
      <w:rFonts w:ascii="Calibri Light" w:hAnsi="Calibri Light" w:eastAsia="华文仿宋"/>
      <w:sz w:val="28"/>
      <w:szCs w:val="28"/>
    </w:rPr>
  </w:style>
  <w:style w:type="paragraph" w:customStyle="1" w:styleId="40">
    <w:name w:val="标题 2（投标文件）"/>
    <w:basedOn w:val="3"/>
    <w:uiPriority w:val="99"/>
    <w:pPr>
      <w:widowControl/>
      <w:spacing w:before="0" w:after="0" w:line="240" w:lineRule="auto"/>
      <w:jc w:val="center"/>
    </w:pPr>
  </w:style>
  <w:style w:type="character" w:customStyle="1" w:styleId="41">
    <w:name w:val="副标题 Char"/>
    <w:basedOn w:val="22"/>
    <w:link w:val="17"/>
    <w:uiPriority w:val="0"/>
    <w:rPr>
      <w:rFonts w:ascii="Cambria" w:hAnsi="Cambria" w:eastAsia="宋体" w:cs="Times New Roman"/>
      <w:b/>
      <w:bCs/>
      <w:kern w:val="28"/>
      <w:sz w:val="32"/>
      <w:szCs w:val="32"/>
    </w:rPr>
  </w:style>
  <w:style w:type="paragraph" w:customStyle="1" w:styleId="42">
    <w:name w:val="Char1"/>
    <w:basedOn w:val="1"/>
    <w:uiPriority w:val="0"/>
    <w:pPr>
      <w:widowControl/>
      <w:spacing w:after="160" w:line="240" w:lineRule="exact"/>
      <w:jc w:val="left"/>
    </w:pPr>
    <w:rPr>
      <w:rFonts w:ascii="Tahoma" w:hAnsi="Tahoma"/>
      <w:kern w:val="0"/>
      <w:sz w:val="24"/>
      <w:szCs w:val="24"/>
      <w:lang w:eastAsia="en-US"/>
    </w:rPr>
  </w:style>
  <w:style w:type="character" w:customStyle="1" w:styleId="43">
    <w:name w:val="纯文本 Char"/>
    <w:uiPriority w:val="0"/>
    <w:rPr>
      <w:rFonts w:ascii="宋体" w:hAnsi="Tms Rmn" w:eastAsia="宋体" w:cs="宋体"/>
      <w:szCs w:val="21"/>
    </w:rPr>
  </w:style>
  <w:style w:type="character" w:customStyle="1" w:styleId="44">
    <w:name w:val="纯文本 Char1"/>
    <w:basedOn w:val="22"/>
    <w:link w:val="11"/>
    <w:semiHidden/>
    <w:uiPriority w:val="99"/>
    <w:rPr>
      <w:rFonts w:ascii="宋体" w:hAnsi="Courier New" w:eastAsia="宋体" w:cs="Courier New"/>
      <w:szCs w:val="21"/>
    </w:rPr>
  </w:style>
  <w:style w:type="paragraph" w:customStyle="1" w:styleId="45">
    <w:name w:val="方案正文"/>
    <w:basedOn w:val="1"/>
    <w:uiPriority w:val="0"/>
    <w:pPr>
      <w:widowControl/>
      <w:spacing w:line="360" w:lineRule="auto"/>
      <w:ind w:firstLine="504"/>
      <w:jc w:val="left"/>
    </w:pPr>
    <w:rPr>
      <w:rFonts w:ascii="仿宋" w:hAnsi="仿宋" w:eastAsia="仿宋" w:cs="宋体"/>
      <w:kern w:val="0"/>
      <w:sz w:val="24"/>
      <w:szCs w:val="24"/>
    </w:rPr>
  </w:style>
  <w:style w:type="paragraph" w:customStyle="1" w:styleId="46">
    <w:name w:val="列出段落2"/>
    <w:basedOn w:val="1"/>
    <w:unhideWhenUsed/>
    <w:qFormat/>
    <w:uiPriority w:val="34"/>
    <w:pPr>
      <w:ind w:firstLine="420" w:firstLineChars="200"/>
    </w:pPr>
  </w:style>
  <w:style w:type="character" w:customStyle="1" w:styleId="47">
    <w:name w:val="high-light-bg4"/>
    <w:basedOn w:val="22"/>
    <w:uiPriority w:val="0"/>
  </w:style>
  <w:style w:type="character" w:customStyle="1" w:styleId="48">
    <w:name w:val="批注文字 Char"/>
    <w:basedOn w:val="22"/>
    <w:link w:val="8"/>
    <w:uiPriority w:val="0"/>
    <w:rPr>
      <w:kern w:val="2"/>
      <w:sz w:val="21"/>
      <w:szCs w:val="22"/>
    </w:rPr>
  </w:style>
  <w:style w:type="paragraph" w:customStyle="1" w:styleId="49">
    <w:name w:val="思宇正文"/>
    <w:basedOn w:val="1"/>
    <w:qFormat/>
    <w:uiPriority w:val="0"/>
    <w:pPr>
      <w:spacing w:line="360" w:lineRule="auto"/>
      <w:ind w:firstLine="480" w:firstLineChars="200"/>
    </w:pPr>
    <w:rPr>
      <w:rFonts w:ascii="Times New Roman" w:hAnsi="Times New Roman" w:cstheme="minorBidi"/>
      <w:sz w:val="24"/>
    </w:rPr>
  </w:style>
  <w:style w:type="character" w:customStyle="1" w:styleId="50">
    <w:name w:val="正文文本缩进 Char"/>
    <w:basedOn w:val="22"/>
    <w:link w:val="9"/>
    <w:uiPriority w:val="0"/>
    <w:rPr>
      <w:rFonts w:ascii="宋体" w:hAnsi="Calibri"/>
      <w:kern w:val="2"/>
      <w:sz w:val="30"/>
      <w:szCs w:val="24"/>
    </w:rPr>
  </w:style>
  <w:style w:type="character" w:customStyle="1" w:styleId="51">
    <w:name w:val="正文文本缩进 2 Char"/>
    <w:basedOn w:val="22"/>
    <w:link w:val="12"/>
    <w:uiPriority w:val="0"/>
    <w:rPr>
      <w:kern w:val="2"/>
      <w:sz w:val="21"/>
      <w:szCs w:val="24"/>
    </w:rPr>
  </w:style>
  <w:style w:type="paragraph" w:customStyle="1" w:styleId="52">
    <w:name w:val="Char Char2 Char"/>
    <w:basedOn w:val="1"/>
    <w:uiPriority w:val="0"/>
    <w:rPr>
      <w:rFonts w:ascii="Tahoma" w:hAnsi="Tahoma"/>
      <w:sz w:val="24"/>
      <w:szCs w:val="24"/>
    </w:rPr>
  </w:style>
  <w:style w:type="paragraph" w:styleId="53">
    <w:name w:val="List Paragraph"/>
    <w:basedOn w:val="1"/>
    <w:unhideWhenUsed/>
    <w:qFormat/>
    <w:uiPriority w:val="99"/>
    <w:pPr>
      <w:ind w:firstLine="420" w:firstLineChars="200"/>
    </w:pPr>
  </w:style>
  <w:style w:type="character" w:customStyle="1" w:styleId="54">
    <w:name w:val="Table Text Char1"/>
    <w:link w:val="55"/>
    <w:qFormat/>
    <w:locked/>
    <w:uiPriority w:val="0"/>
    <w:rPr>
      <w:rFonts w:ascii="Arial" w:hAnsi="Arial" w:cs="Arial"/>
    </w:rPr>
  </w:style>
  <w:style w:type="paragraph" w:customStyle="1" w:styleId="55">
    <w:name w:val="Table Text"/>
    <w:basedOn w:val="1"/>
    <w:link w:val="54"/>
    <w:qFormat/>
    <w:uiPriority w:val="0"/>
    <w:pPr>
      <w:widowControl/>
      <w:snapToGrid w:val="0"/>
      <w:spacing w:before="80" w:after="80"/>
      <w:jc w:val="left"/>
    </w:pPr>
    <w:rPr>
      <w:rFonts w:ascii="Arial" w:hAnsi="Arial" w:cs="Arial"/>
      <w:kern w:val="0"/>
      <w:sz w:val="20"/>
      <w:szCs w:val="20"/>
    </w:rPr>
  </w:style>
  <w:style w:type="paragraph" w:customStyle="1" w:styleId="56">
    <w:name w:val="p0"/>
    <w:basedOn w:val="1"/>
    <w:qFormat/>
    <w:uiPriority w:val="0"/>
    <w:pPr>
      <w:widowControl/>
    </w:pPr>
    <w:rPr>
      <w:rFonts w:asciiTheme="minorHAnsi" w:hAnsiTheme="minorHAnsi" w:cstheme="minorBidi"/>
      <w:kern w:val="0"/>
      <w:szCs w:val="21"/>
    </w:rPr>
  </w:style>
  <w:style w:type="character" w:customStyle="1" w:styleId="57">
    <w:name w:val="text1"/>
    <w:basedOn w:val="22"/>
    <w:uiPriority w:val="0"/>
  </w:style>
  <w:style w:type="paragraph" w:customStyle="1" w:styleId="58">
    <w:name w:val="title12"/>
    <w:basedOn w:val="1"/>
    <w:uiPriority w:val="0"/>
    <w:pPr>
      <w:widowControl/>
      <w:spacing w:before="150" w:line="510" w:lineRule="atLeast"/>
      <w:jc w:val="left"/>
    </w:pPr>
    <w:rPr>
      <w:rFonts w:ascii="宋体" w:hAnsi="宋体" w:cs="宋体"/>
      <w:b/>
      <w:bCs/>
      <w:kern w:val="0"/>
      <w:sz w:val="23"/>
      <w:szCs w:val="23"/>
    </w:rPr>
  </w:style>
  <w:style w:type="paragraph" w:customStyle="1" w:styleId="59">
    <w:name w:val="_Style 1"/>
    <w:basedOn w:val="1"/>
    <w:qFormat/>
    <w:uiPriority w:val="0"/>
    <w:pPr>
      <w:ind w:firstLine="420" w:firstLineChars="200"/>
    </w:pPr>
  </w:style>
  <w:style w:type="paragraph" w:customStyle="1" w:styleId="60">
    <w:name w:val="msolistparagraph"/>
    <w:basedOn w:val="1"/>
    <w:qFormat/>
    <w:uiPriority w:val="0"/>
    <w:pPr>
      <w:ind w:firstLine="420" w:firstLineChars="200"/>
    </w:pPr>
  </w:style>
  <w:style w:type="paragraph" w:customStyle="1" w:styleId="61">
    <w:name w:val="Char Char Char"/>
    <w:basedOn w:val="1"/>
    <w:qFormat/>
    <w:uiPriority w:val="0"/>
    <w:rPr>
      <w:rFonts w:ascii="宋体" w:hAnsi="宋体"/>
      <w:b/>
      <w:sz w:val="28"/>
      <w:szCs w:val="28"/>
    </w:rPr>
  </w:style>
  <w:style w:type="paragraph" w:customStyle="1" w:styleId="62">
    <w:name w:val="title1"/>
    <w:basedOn w:val="1"/>
    <w:uiPriority w:val="0"/>
    <w:pPr>
      <w:widowControl/>
      <w:jc w:val="left"/>
    </w:pPr>
    <w:rPr>
      <w:rFonts w:ascii="宋体" w:hAnsi="宋体" w:cs="宋体"/>
      <w:kern w:val="0"/>
      <w:sz w:val="24"/>
      <w:szCs w:val="24"/>
    </w:rPr>
  </w:style>
  <w:style w:type="paragraph" w:customStyle="1" w:styleId="63">
    <w:name w:val="_Style 17"/>
    <w:basedOn w:val="7"/>
    <w:uiPriority w:val="0"/>
    <w:pPr>
      <w:shd w:val="clear" w:color="auto" w:fill="000080"/>
    </w:pPr>
    <w:rPr>
      <w:rFonts w:hint="eastAsia" w:ascii="Times New Roman" w:hAnsi="Times New Roman"/>
      <w:sz w:val="21"/>
      <w:szCs w:val="20"/>
      <w:shd w:val="clear" w:color="auto" w:fill="000080"/>
    </w:rPr>
  </w:style>
  <w:style w:type="character" w:customStyle="1" w:styleId="64">
    <w:name w:val="文档结构图 Char"/>
    <w:basedOn w:val="22"/>
    <w:link w:val="7"/>
    <w:semiHidden/>
    <w:uiPriority w:val="99"/>
    <w:rPr>
      <w:rFonts w:ascii="宋体" w:hAnsi="Calibri"/>
      <w:kern w:val="2"/>
      <w:sz w:val="18"/>
      <w:szCs w:val="18"/>
    </w:rPr>
  </w:style>
  <w:style w:type="paragraph" w:customStyle="1" w:styleId="65">
    <w:name w:val="样式 首行缩进:  2 字符"/>
    <w:basedOn w:val="1"/>
    <w:qFormat/>
    <w:uiPriority w:val="0"/>
    <w:pPr>
      <w:spacing w:line="400" w:lineRule="exact"/>
      <w:ind w:firstLine="200" w:firstLineChars="200"/>
    </w:pPr>
    <w:rPr>
      <w:rFonts w:ascii="Times New Roman" w:hAnsi="Times New Roman" w:cs="宋体"/>
      <w:sz w:val="24"/>
      <w:szCs w:val="24"/>
    </w:rPr>
  </w:style>
  <w:style w:type="character" w:customStyle="1" w:styleId="66">
    <w:name w:val="underline1"/>
    <w:basedOn w:val="22"/>
    <w:uiPriority w:val="0"/>
    <w:rPr>
      <w:u w:val="single"/>
    </w:rPr>
  </w:style>
  <w:style w:type="paragraph" w:customStyle="1" w:styleId="67">
    <w:name w:val="表注1"/>
    <w:basedOn w:val="1"/>
    <w:uiPriority w:val="0"/>
    <w:pPr>
      <w:adjustRightInd w:val="0"/>
      <w:snapToGrid w:val="0"/>
      <w:spacing w:beforeLines="50" w:line="300" w:lineRule="auto"/>
      <w:ind w:left="350" w:hanging="350" w:hangingChars="350"/>
    </w:pPr>
    <w:rPr>
      <w:rFonts w:ascii="宋体" w:hAnsi="Times New Roman" w:eastAsia="仿宋_GB2312"/>
      <w:bCs/>
      <w:color w:val="000000"/>
      <w:kern w:val="0"/>
      <w:sz w:val="24"/>
      <w:szCs w:val="24"/>
    </w:rPr>
  </w:style>
  <w:style w:type="paragraph" w:customStyle="1" w:styleId="68">
    <w:name w:val="样式 WG标题3 + 行距: 固定值 18 磅"/>
    <w:basedOn w:val="1"/>
    <w:uiPriority w:val="0"/>
    <w:pPr>
      <w:autoSpaceDE w:val="0"/>
      <w:autoSpaceDN w:val="0"/>
      <w:adjustRightInd w:val="0"/>
      <w:spacing w:line="360" w:lineRule="exact"/>
      <w:ind w:firstLine="200" w:firstLineChars="200"/>
      <w:textAlignment w:val="baseline"/>
      <w:outlineLvl w:val="2"/>
    </w:pPr>
    <w:rPr>
      <w:rFonts w:ascii="宋体" w:hAnsi="Times New Roman" w:cs="宋体"/>
      <w:b/>
      <w:bCs/>
      <w:color w:val="000000"/>
      <w:kern w:val="20"/>
      <w:sz w:val="24"/>
      <w:szCs w:val="20"/>
    </w:rPr>
  </w:style>
  <w:style w:type="paragraph" w:customStyle="1" w:styleId="69">
    <w:name w:val="表格文字中"/>
    <w:basedOn w:val="1"/>
    <w:uiPriority w:val="0"/>
    <w:pPr>
      <w:adjustRightInd w:val="0"/>
      <w:snapToGrid w:val="0"/>
      <w:ind w:left="22" w:leftChars="8"/>
      <w:jc w:val="center"/>
    </w:pPr>
    <w:rPr>
      <w:rFonts w:ascii="宋体" w:hAnsi="Times New Roman"/>
      <w:kern w:val="0"/>
      <w:sz w:val="24"/>
      <w:szCs w:val="24"/>
    </w:rPr>
  </w:style>
  <w:style w:type="paragraph" w:customStyle="1" w:styleId="70">
    <w:name w:val="Char Char Char Char Char Char Char Char Char Char"/>
    <w:basedOn w:val="1"/>
    <w:uiPriority w:val="0"/>
    <w:rPr>
      <w:rFonts w:ascii="Times New Roman" w:hAnsi="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18AA78-DF77-401C-B949-A46C0707A2D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53</Pages>
  <Words>5293</Words>
  <Characters>30172</Characters>
  <Lines>251</Lines>
  <Paragraphs>70</Paragraphs>
  <TotalTime>276</TotalTime>
  <ScaleCrop>false</ScaleCrop>
  <LinksUpToDate>false</LinksUpToDate>
  <CharactersWithSpaces>35395</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2020-11-23T11:01:00Z</dcterms:created>
  <dc:creator>Administrator</dc:creator>
  <cp:lastModifiedBy>Otomi</cp:lastModifiedBy>
  <cp:lastPrinted>2020-11-25T05:41:00Z</cp:lastPrinted>
  <dcterms:modified xsi:type="dcterms:W3CDTF">2023-08-22T08:31:01Z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FDC1E48E6CA34F5C84E9EF4216CE8F99_12</vt:lpwstr>
  </property>
</Properties>
</file>