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西安市阎良区经济开发区管理委员会</w:t>
      </w:r>
    </w:p>
    <w:p>
      <w:pPr>
        <w:spacing w:line="560" w:lineRule="exact"/>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2019年政府信息公开工作年度报告</w:t>
      </w:r>
    </w:p>
    <w:p>
      <w:pPr>
        <w:spacing w:line="560" w:lineRule="exact"/>
        <w:jc w:val="center"/>
        <w:rPr>
          <w:rFonts w:ascii="仿宋_GB2312" w:hAnsi="微软雅黑" w:eastAsia="仿宋_GB2312"/>
          <w:color w:val="333333"/>
          <w:spacing w:val="8"/>
          <w:sz w:val="32"/>
          <w:szCs w:val="32"/>
          <w:shd w:val="clear" w:color="auto" w:fill="FFFFFF"/>
        </w:rPr>
      </w:pPr>
    </w:p>
    <w:p>
      <w:pPr>
        <w:ind w:firstLine="672" w:firstLineChars="200"/>
        <w:rPr>
          <w:rFonts w:ascii="黑体" w:hAnsi="黑体" w:eastAsia="黑体"/>
          <w:color w:val="333333"/>
          <w:spacing w:val="8"/>
          <w:sz w:val="32"/>
          <w:szCs w:val="32"/>
          <w:shd w:val="clear" w:color="auto" w:fill="FFFFFF"/>
        </w:rPr>
      </w:pPr>
      <w:r>
        <w:rPr>
          <w:rFonts w:hint="eastAsia" w:ascii="黑体" w:hAnsi="黑体" w:eastAsia="黑体"/>
          <w:color w:val="333333"/>
          <w:spacing w:val="8"/>
          <w:sz w:val="32"/>
          <w:szCs w:val="32"/>
          <w:shd w:val="clear" w:color="auto" w:fill="FFFFFF"/>
        </w:rPr>
        <w:t>一、总体情况</w:t>
      </w:r>
    </w:p>
    <w:p>
      <w:pPr>
        <w:ind w:firstLine="640" w:firstLineChars="200"/>
        <w:rPr>
          <w:rFonts w:ascii="仿宋_GB2312" w:eastAsia="仿宋_GB2312"/>
          <w:sz w:val="32"/>
          <w:szCs w:val="32"/>
        </w:rPr>
      </w:pPr>
      <w:r>
        <w:rPr>
          <w:rFonts w:hint="eastAsia" w:ascii="仿宋_GB2312" w:eastAsia="仿宋_GB2312"/>
          <w:sz w:val="32"/>
          <w:szCs w:val="32"/>
        </w:rPr>
        <w:t>按照政务公开办《2019年度政府信息公开工作年度报告和政府网站年度报表编制工作方案》的要求，经济开发区管委会对照《中华人民共和国</w:t>
      </w:r>
      <w:r>
        <w:rPr>
          <w:rFonts w:hint="eastAsia" w:ascii="仿宋_GB2312" w:eastAsia="仿宋_GB2312"/>
          <w:sz w:val="32"/>
          <w:szCs w:val="32"/>
          <w:lang w:val="en-US" w:eastAsia="zh-CN"/>
        </w:rPr>
        <w:t>政府</w:t>
      </w:r>
      <w:r>
        <w:rPr>
          <w:rFonts w:hint="eastAsia" w:ascii="仿宋_GB2312" w:eastAsia="仿宋_GB2312"/>
          <w:sz w:val="32"/>
          <w:szCs w:val="32"/>
        </w:rPr>
        <w:t>信息公开条例》，现就2019年度政务公开工作有关情况报告如下：</w:t>
      </w:r>
    </w:p>
    <w:p>
      <w:pPr>
        <w:ind w:firstLine="672" w:firstLineChars="200"/>
        <w:rPr>
          <w:rFonts w:ascii="楷体" w:hAnsi="楷体" w:eastAsia="楷体"/>
          <w:color w:val="333333"/>
          <w:spacing w:val="8"/>
          <w:sz w:val="32"/>
          <w:szCs w:val="32"/>
          <w:shd w:val="clear" w:color="auto" w:fill="FFFFFF"/>
        </w:rPr>
      </w:pPr>
      <w:r>
        <w:rPr>
          <w:rFonts w:hint="eastAsia" w:ascii="楷体" w:hAnsi="楷体" w:eastAsia="楷体"/>
          <w:color w:val="333333"/>
          <w:spacing w:val="8"/>
          <w:sz w:val="32"/>
          <w:szCs w:val="32"/>
          <w:shd w:val="clear" w:color="auto" w:fill="FFFFFF"/>
        </w:rPr>
        <w:t>（一）主动公开</w:t>
      </w:r>
    </w:p>
    <w:p>
      <w:pPr>
        <w:ind w:firstLine="640" w:firstLineChars="200"/>
        <w:rPr>
          <w:rFonts w:ascii="仿宋_GB2312" w:eastAsia="仿宋_GB2312"/>
          <w:sz w:val="32"/>
          <w:szCs w:val="32"/>
        </w:rPr>
      </w:pPr>
      <w:r>
        <w:rPr>
          <w:rFonts w:hint="eastAsia" w:ascii="仿宋_GB2312" w:eastAsia="仿宋_GB2312"/>
          <w:sz w:val="32"/>
          <w:szCs w:val="32"/>
        </w:rPr>
        <w:t>2019年度，经济开发区管委会按照《</w:t>
      </w:r>
      <w:bookmarkStart w:id="0" w:name="_GoBack"/>
      <w:r>
        <w:rPr>
          <w:rFonts w:hint="eastAsia" w:ascii="仿宋_GB2312" w:eastAsia="仿宋_GB2312"/>
          <w:sz w:val="32"/>
          <w:szCs w:val="32"/>
        </w:rPr>
        <w:t>中华人民共和国</w:t>
      </w:r>
      <w:bookmarkEnd w:id="0"/>
      <w:r>
        <w:rPr>
          <w:rFonts w:hint="eastAsia" w:ascii="仿宋_GB2312" w:eastAsia="仿宋_GB2312"/>
          <w:sz w:val="32"/>
          <w:szCs w:val="32"/>
          <w:lang w:val="en-US" w:eastAsia="zh-CN"/>
        </w:rPr>
        <w:t>政府</w:t>
      </w:r>
      <w:r>
        <w:rPr>
          <w:rFonts w:hint="eastAsia" w:ascii="仿宋_GB2312" w:eastAsia="仿宋_GB2312"/>
          <w:sz w:val="32"/>
          <w:szCs w:val="32"/>
        </w:rPr>
        <w:t>信息公开条例》的相关规定，主动公开了机关职能、机构设置、办公地址、办公时间、联系方式、负责人姓名等信息，并按照要求时限主动公开了财政预算、决算等信息。全年通过政府门户网站公开信息11条。</w:t>
      </w:r>
    </w:p>
    <w:p>
      <w:pPr>
        <w:ind w:firstLine="640" w:firstLineChars="200"/>
        <w:rPr>
          <w:rFonts w:ascii="楷体" w:hAnsi="楷体" w:eastAsia="楷体"/>
          <w:sz w:val="32"/>
          <w:szCs w:val="32"/>
        </w:rPr>
      </w:pPr>
      <w:r>
        <w:rPr>
          <w:rFonts w:hint="eastAsia" w:ascii="楷体" w:hAnsi="楷体" w:eastAsia="楷体"/>
          <w:sz w:val="32"/>
          <w:szCs w:val="32"/>
        </w:rPr>
        <w:t>（二）依申请公开</w:t>
      </w:r>
    </w:p>
    <w:p>
      <w:pPr>
        <w:ind w:firstLine="640" w:firstLineChars="200"/>
        <w:rPr>
          <w:rFonts w:ascii="仿宋_GB2312" w:eastAsia="仿宋_GB2312"/>
          <w:sz w:val="32"/>
          <w:szCs w:val="32"/>
        </w:rPr>
      </w:pPr>
      <w:r>
        <w:rPr>
          <w:rFonts w:hint="eastAsia" w:ascii="仿宋_GB2312" w:eastAsia="仿宋_GB2312"/>
          <w:sz w:val="32"/>
          <w:szCs w:val="32"/>
        </w:rPr>
        <w:t>2019年度，经济开发区管委会共收到西安市阎良区忠义建材厂、西安市阎良区宪斌环保水泥砖厂两家企业关于公开西安市阎良经济开发区关山园区产业规划申请2项，对于该申请，我们已根据《条例》第三十六条第五款，“所申请公开信息不属于本行政机关负责公开的，告知申请人并说明理由；……”进行了答复。</w:t>
      </w:r>
    </w:p>
    <w:p>
      <w:pPr>
        <w:ind w:firstLine="640" w:firstLineChars="200"/>
        <w:rPr>
          <w:rFonts w:ascii="楷体" w:hAnsi="楷体" w:eastAsia="楷体"/>
          <w:sz w:val="32"/>
          <w:szCs w:val="32"/>
        </w:rPr>
      </w:pPr>
      <w:r>
        <w:rPr>
          <w:rFonts w:hint="eastAsia" w:ascii="楷体" w:hAnsi="楷体" w:eastAsia="楷体"/>
          <w:sz w:val="32"/>
          <w:szCs w:val="32"/>
        </w:rPr>
        <w:t>（三）政府信息管理</w:t>
      </w:r>
    </w:p>
    <w:p>
      <w:pPr>
        <w:ind w:firstLine="640" w:firstLineChars="200"/>
        <w:rPr>
          <w:rFonts w:ascii="仿宋_GB2312" w:eastAsia="仿宋_GB2312"/>
          <w:sz w:val="32"/>
          <w:szCs w:val="32"/>
        </w:rPr>
      </w:pPr>
      <w:r>
        <w:rPr>
          <w:rFonts w:hint="eastAsia" w:ascii="仿宋_GB2312" w:eastAsia="仿宋_GB2312"/>
          <w:sz w:val="32"/>
          <w:szCs w:val="32"/>
        </w:rPr>
        <w:t>2019年以来，我们不断</w:t>
      </w:r>
      <w:r>
        <w:rPr>
          <w:rFonts w:ascii="仿宋_GB2312" w:eastAsia="仿宋_GB2312"/>
          <w:sz w:val="32"/>
          <w:szCs w:val="32"/>
        </w:rPr>
        <w:t>加强政府信息资源的规范化、标准化、信息化管理，加强互联网政府信息公开平台建设，推进政府信息公开平台与政务服务平台融合，提高政府信息公开在线办理水平。坚持以公开为常态、不公开为例外，遵循公正、公平、合法、便民的原则。</w:t>
      </w:r>
    </w:p>
    <w:p>
      <w:pPr>
        <w:ind w:firstLine="640" w:firstLineChars="200"/>
        <w:rPr>
          <w:rFonts w:ascii="楷体" w:hAnsi="楷体" w:eastAsia="楷体"/>
          <w:sz w:val="32"/>
          <w:szCs w:val="32"/>
        </w:rPr>
      </w:pPr>
      <w:r>
        <w:rPr>
          <w:rFonts w:hint="eastAsia" w:ascii="楷体" w:hAnsi="楷体" w:eastAsia="楷体"/>
          <w:sz w:val="32"/>
          <w:szCs w:val="32"/>
        </w:rPr>
        <w:t>（四）平台建设</w:t>
      </w:r>
    </w:p>
    <w:p>
      <w:pPr>
        <w:ind w:firstLine="640" w:firstLineChars="200"/>
        <w:rPr>
          <w:rFonts w:ascii="仿宋_GB2312" w:eastAsia="仿宋_GB2312"/>
          <w:sz w:val="32"/>
          <w:szCs w:val="32"/>
        </w:rPr>
      </w:pPr>
      <w:r>
        <w:rPr>
          <w:rFonts w:hint="eastAsia" w:ascii="仿宋_GB2312" w:eastAsia="仿宋_GB2312"/>
          <w:sz w:val="32"/>
          <w:szCs w:val="32"/>
        </w:rPr>
        <w:t>区经济开发区管委会通过规定的信息发布流程、人员岗位职责，依托区政府门户网站发布相关政务公开信息。</w:t>
      </w:r>
    </w:p>
    <w:p>
      <w:pPr>
        <w:ind w:firstLine="640" w:firstLineChars="200"/>
        <w:rPr>
          <w:rFonts w:ascii="楷体" w:hAnsi="楷体" w:eastAsia="楷体"/>
          <w:sz w:val="32"/>
          <w:szCs w:val="32"/>
        </w:rPr>
      </w:pPr>
      <w:r>
        <w:rPr>
          <w:rFonts w:hint="eastAsia" w:ascii="楷体" w:hAnsi="楷体" w:eastAsia="楷体"/>
          <w:sz w:val="32"/>
          <w:szCs w:val="32"/>
        </w:rPr>
        <w:t>（五）监督保障</w:t>
      </w:r>
    </w:p>
    <w:p>
      <w:pPr>
        <w:ind w:firstLine="640" w:firstLineChars="200"/>
        <w:rPr>
          <w:rFonts w:ascii="仿宋_GB2312" w:eastAsia="仿宋_GB2312"/>
          <w:sz w:val="32"/>
          <w:szCs w:val="32"/>
        </w:rPr>
      </w:pPr>
      <w:r>
        <w:rPr>
          <w:rFonts w:hint="eastAsia" w:ascii="仿宋_GB2312" w:eastAsia="仿宋_GB2312"/>
          <w:sz w:val="32"/>
          <w:szCs w:val="32"/>
        </w:rPr>
        <w:t>经济开发区管委会通过在政府门户网站公布机关职能、机构设置、办公地址、办公时间、联系方式、领导工作分工等信息，接受群众监督，方便群众办事。</w:t>
      </w:r>
    </w:p>
    <w:p>
      <w:pPr>
        <w:ind w:firstLine="640" w:firstLineChars="200"/>
        <w:rPr>
          <w:rFonts w:ascii="黑体" w:hAnsi="黑体" w:eastAsia="黑体"/>
          <w:sz w:val="32"/>
          <w:szCs w:val="32"/>
        </w:rPr>
      </w:pPr>
      <w:r>
        <w:rPr>
          <w:rFonts w:hint="eastAsia" w:ascii="黑体" w:hAnsi="黑体" w:eastAsia="黑体"/>
          <w:sz w:val="32"/>
          <w:szCs w:val="32"/>
        </w:rPr>
        <w:t>二、主动公开政府信息情况</w:t>
      </w:r>
    </w:p>
    <w:tbl>
      <w:tblPr>
        <w:tblStyle w:val="7"/>
        <w:tblW w:w="8140" w:type="dxa"/>
        <w:jc w:val="center"/>
        <w:tblLayout w:type="fixed"/>
        <w:tblCellMar>
          <w:top w:w="0" w:type="dxa"/>
          <w:left w:w="0" w:type="dxa"/>
          <w:bottom w:w="0" w:type="dxa"/>
          <w:right w:w="0" w:type="dxa"/>
        </w:tblCellMar>
      </w:tblPr>
      <w:tblGrid>
        <w:gridCol w:w="2490"/>
        <w:gridCol w:w="2079"/>
        <w:gridCol w:w="1690"/>
        <w:gridCol w:w="1881"/>
      </w:tblGrid>
      <w:tr>
        <w:tblPrEx>
          <w:tblCellMar>
            <w:top w:w="0" w:type="dxa"/>
            <w:left w:w="0" w:type="dxa"/>
            <w:bottom w:w="0" w:type="dxa"/>
            <w:right w:w="0" w:type="dxa"/>
          </w:tblCellMar>
        </w:tblPrEx>
        <w:trPr>
          <w:trHeight w:val="495" w:hRule="atLeast"/>
          <w:jc w:val="center"/>
        </w:trPr>
        <w:tc>
          <w:tcPr>
            <w:tcW w:w="8140" w:type="dxa"/>
            <w:gridSpan w:val="4"/>
            <w:tcBorders>
              <w:top w:val="single" w:color="auto" w:sz="8" w:space="0"/>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第二十条第（一）项</w:t>
            </w:r>
          </w:p>
        </w:tc>
      </w:tr>
      <w:tr>
        <w:tblPrEx>
          <w:tblCellMar>
            <w:top w:w="0" w:type="dxa"/>
            <w:left w:w="0" w:type="dxa"/>
            <w:bottom w:w="0" w:type="dxa"/>
            <w:right w:w="0" w:type="dxa"/>
          </w:tblCellMar>
        </w:tblPrEx>
        <w:trPr>
          <w:trHeight w:val="124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本年新</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kern w:val="0"/>
                <w:sz w:val="32"/>
                <w:szCs w:val="32"/>
              </w:rPr>
              <w:t>制作数量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本年新</w:t>
            </w:r>
            <w:r>
              <w:rPr>
                <w:rFonts w:hint="eastAsia" w:ascii="仿宋_GB2312" w:hAnsi="仿宋_GB2312" w:eastAsia="仿宋_GB2312" w:cs="仿宋_GB2312"/>
                <w:color w:val="000000"/>
                <w:kern w:val="0"/>
                <w:sz w:val="32"/>
                <w:szCs w:val="32"/>
              </w:rPr>
              <w:br w:type="textWrapping"/>
            </w:r>
            <w:r>
              <w:rPr>
                <w:rFonts w:hint="eastAsia" w:ascii="仿宋_GB2312" w:hAnsi="仿宋_GB2312" w:eastAsia="仿宋_GB2312" w:cs="仿宋_GB2312"/>
                <w:kern w:val="0"/>
                <w:sz w:val="32"/>
                <w:szCs w:val="32"/>
              </w:rPr>
              <w:t>公开数量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对外公开总数量</w:t>
            </w:r>
          </w:p>
        </w:tc>
      </w:tr>
      <w:tr>
        <w:tblPrEx>
          <w:tblCellMar>
            <w:top w:w="0" w:type="dxa"/>
            <w:left w:w="0" w:type="dxa"/>
            <w:bottom w:w="0" w:type="dxa"/>
            <w:right w:w="0" w:type="dxa"/>
          </w:tblCellMar>
        </w:tblPrEx>
        <w:trPr>
          <w:trHeight w:val="523"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规章</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6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r>
      <w:tr>
        <w:tblPrEx>
          <w:tblCellMar>
            <w:top w:w="0" w:type="dxa"/>
            <w:left w:w="0" w:type="dxa"/>
            <w:bottom w:w="0" w:type="dxa"/>
            <w:right w:w="0" w:type="dxa"/>
          </w:tblCellMar>
        </w:tblPrEx>
        <w:trPr>
          <w:trHeight w:val="47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规范性文件</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6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r>
      <w:tr>
        <w:tblPrEx>
          <w:tblCellMar>
            <w:top w:w="0" w:type="dxa"/>
            <w:left w:w="0" w:type="dxa"/>
            <w:bottom w:w="0" w:type="dxa"/>
            <w:right w:w="0" w:type="dxa"/>
          </w:tblCellMar>
        </w:tblPrEx>
        <w:trPr>
          <w:trHeight w:val="480"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第二十条第（五）项</w:t>
            </w:r>
          </w:p>
        </w:tc>
      </w:tr>
      <w:tr>
        <w:tblPrEx>
          <w:tblCellMar>
            <w:top w:w="0" w:type="dxa"/>
            <w:left w:w="0" w:type="dxa"/>
            <w:bottom w:w="0" w:type="dxa"/>
            <w:right w:w="0" w:type="dxa"/>
          </w:tblCellMar>
        </w:tblPrEx>
        <w:trPr>
          <w:trHeight w:val="1037"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上一年项目数量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处理决定数量</w:t>
            </w:r>
          </w:p>
        </w:tc>
      </w:tr>
      <w:tr>
        <w:tblPrEx>
          <w:tblCellMar>
            <w:top w:w="0" w:type="dxa"/>
            <w:left w:w="0" w:type="dxa"/>
            <w:bottom w:w="0" w:type="dxa"/>
            <w:right w:w="0" w:type="dxa"/>
          </w:tblCellMar>
        </w:tblPrEx>
        <w:trPr>
          <w:trHeight w:val="528"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行政许可</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r>
      <w:tr>
        <w:tblPrEx>
          <w:tblCellMar>
            <w:top w:w="0" w:type="dxa"/>
            <w:left w:w="0" w:type="dxa"/>
            <w:bottom w:w="0" w:type="dxa"/>
            <w:right w:w="0" w:type="dxa"/>
          </w:tblCellMar>
        </w:tblPrEx>
        <w:trPr>
          <w:trHeight w:val="55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其他对外管理服务事项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r>
      <w:tr>
        <w:tblPrEx>
          <w:tblCellMar>
            <w:top w:w="0" w:type="dxa"/>
            <w:left w:w="0" w:type="dxa"/>
            <w:bottom w:w="0" w:type="dxa"/>
            <w:right w:w="0" w:type="dxa"/>
          </w:tblCellMar>
        </w:tblPrEx>
        <w:trPr>
          <w:trHeight w:val="40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第二十条第（六）项</w:t>
            </w:r>
          </w:p>
        </w:tc>
      </w:tr>
      <w:tr>
        <w:tblPrEx>
          <w:tblCellMar>
            <w:top w:w="0" w:type="dxa"/>
            <w:left w:w="0" w:type="dxa"/>
            <w:bottom w:w="0" w:type="dxa"/>
            <w:right w:w="0" w:type="dxa"/>
          </w:tblCellMar>
        </w:tblPrEx>
        <w:trPr>
          <w:trHeight w:val="634"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信息内容</w:t>
            </w:r>
          </w:p>
        </w:tc>
        <w:tc>
          <w:tcPr>
            <w:tcW w:w="2079" w:type="dxa"/>
            <w:tcBorders>
              <w:top w:val="single" w:color="auto" w:sz="8" w:space="0"/>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上一年项目数量</w:t>
            </w:r>
          </w:p>
        </w:tc>
        <w:tc>
          <w:tcPr>
            <w:tcW w:w="16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本年增/减</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处理决定数量</w:t>
            </w:r>
          </w:p>
        </w:tc>
      </w:tr>
      <w:tr>
        <w:tblPrEx>
          <w:tblCellMar>
            <w:top w:w="0" w:type="dxa"/>
            <w:left w:w="0" w:type="dxa"/>
            <w:bottom w:w="0" w:type="dxa"/>
            <w:right w:w="0" w:type="dxa"/>
          </w:tblCellMar>
        </w:tblPrEx>
        <w:trPr>
          <w:trHeight w:val="43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行政处罚</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r>
      <w:tr>
        <w:tblPrEx>
          <w:tblCellMar>
            <w:top w:w="0" w:type="dxa"/>
            <w:left w:w="0" w:type="dxa"/>
            <w:bottom w:w="0" w:type="dxa"/>
            <w:right w:w="0" w:type="dxa"/>
          </w:tblCellMar>
        </w:tblPrEx>
        <w:trPr>
          <w:trHeight w:val="409"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行政强制</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690"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1881"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r>
      <w:tr>
        <w:tblPrEx>
          <w:tblCellMar>
            <w:top w:w="0" w:type="dxa"/>
            <w:left w:w="0" w:type="dxa"/>
            <w:bottom w:w="0" w:type="dxa"/>
            <w:right w:w="0" w:type="dxa"/>
          </w:tblCellMar>
        </w:tblPrEx>
        <w:trPr>
          <w:trHeight w:val="474"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第二十条第（八）项</w:t>
            </w:r>
          </w:p>
        </w:tc>
      </w:tr>
      <w:tr>
        <w:tblPrEx>
          <w:tblCellMar>
            <w:top w:w="0" w:type="dxa"/>
            <w:left w:w="0" w:type="dxa"/>
            <w:bottom w:w="0" w:type="dxa"/>
            <w:right w:w="0" w:type="dxa"/>
          </w:tblCellMar>
        </w:tblPrEx>
        <w:trPr>
          <w:trHeight w:val="270"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信息内容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上一年项目数量</w:t>
            </w:r>
          </w:p>
        </w:tc>
        <w:tc>
          <w:tcPr>
            <w:tcW w:w="3571"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本年增/减</w:t>
            </w:r>
          </w:p>
        </w:tc>
      </w:tr>
      <w:tr>
        <w:tblPrEx>
          <w:tblCellMar>
            <w:top w:w="0" w:type="dxa"/>
            <w:left w:w="0" w:type="dxa"/>
            <w:bottom w:w="0" w:type="dxa"/>
            <w:right w:w="0" w:type="dxa"/>
          </w:tblCellMar>
        </w:tblPrEx>
        <w:trPr>
          <w:trHeight w:val="551"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行政事业性收费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3571"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0 </w:t>
            </w:r>
          </w:p>
        </w:tc>
      </w:tr>
      <w:tr>
        <w:tblPrEx>
          <w:tblCellMar>
            <w:top w:w="0" w:type="dxa"/>
            <w:left w:w="0" w:type="dxa"/>
            <w:bottom w:w="0" w:type="dxa"/>
            <w:right w:w="0" w:type="dxa"/>
          </w:tblCellMar>
        </w:tblPrEx>
        <w:trPr>
          <w:trHeight w:val="476" w:hRule="atLeast"/>
          <w:jc w:val="center"/>
        </w:trPr>
        <w:tc>
          <w:tcPr>
            <w:tcW w:w="8140" w:type="dxa"/>
            <w:gridSpan w:val="4"/>
            <w:tcBorders>
              <w:top w:val="nil"/>
              <w:left w:val="single" w:color="auto" w:sz="8" w:space="0"/>
              <w:bottom w:val="single" w:color="auto" w:sz="8" w:space="0"/>
              <w:right w:val="single" w:color="auto" w:sz="8" w:space="0"/>
            </w:tcBorders>
            <w:shd w:val="clear" w:color="auto" w:fill="C6D9F1"/>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第二十条第（九）项</w:t>
            </w:r>
          </w:p>
        </w:tc>
      </w:tr>
      <w:tr>
        <w:tblPrEx>
          <w:tblCellMar>
            <w:top w:w="0" w:type="dxa"/>
            <w:left w:w="0" w:type="dxa"/>
            <w:bottom w:w="0" w:type="dxa"/>
            <w:right w:w="0" w:type="dxa"/>
          </w:tblCellMar>
        </w:tblPrEx>
        <w:trPr>
          <w:trHeight w:val="585"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信息内容</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采购项目数量</w:t>
            </w:r>
          </w:p>
        </w:tc>
        <w:tc>
          <w:tcPr>
            <w:tcW w:w="3571" w:type="dxa"/>
            <w:gridSpan w:val="2"/>
            <w:tcBorders>
              <w:top w:val="single" w:color="auto" w:sz="8" w:space="0"/>
              <w:left w:val="nil"/>
              <w:bottom w:val="single" w:color="auto" w:sz="8" w:space="0"/>
              <w:right w:val="single" w:color="000000" w:sz="8" w:space="0"/>
            </w:tcBorders>
            <w:shd w:val="clear" w:color="auto" w:fill="auto"/>
            <w:noWrap/>
            <w:tcMar>
              <w:left w:w="108" w:type="dxa"/>
              <w:right w:w="108" w:type="dxa"/>
            </w:tcMar>
            <w:vAlign w:val="center"/>
          </w:tcPr>
          <w:p>
            <w:pPr>
              <w:widowControl/>
              <w:spacing w:after="180" w:line="40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采购总金额</w:t>
            </w:r>
          </w:p>
        </w:tc>
      </w:tr>
      <w:tr>
        <w:tblPrEx>
          <w:tblCellMar>
            <w:top w:w="0" w:type="dxa"/>
            <w:left w:w="0" w:type="dxa"/>
            <w:bottom w:w="0" w:type="dxa"/>
            <w:right w:w="0" w:type="dxa"/>
          </w:tblCellMar>
        </w:tblPrEx>
        <w:trPr>
          <w:trHeight w:val="539" w:hRule="atLeast"/>
          <w:jc w:val="center"/>
        </w:trPr>
        <w:tc>
          <w:tcPr>
            <w:tcW w:w="2490" w:type="dxa"/>
            <w:tcBorders>
              <w:top w:val="nil"/>
              <w:left w:val="single" w:color="auto" w:sz="8" w:space="0"/>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政府集中采购</w:t>
            </w:r>
          </w:p>
        </w:tc>
        <w:tc>
          <w:tcPr>
            <w:tcW w:w="2079" w:type="dxa"/>
            <w:tcBorders>
              <w:top w:val="nil"/>
              <w:left w:val="nil"/>
              <w:bottom w:val="single" w:color="auto" w:sz="8" w:space="0"/>
              <w:right w:val="single" w:color="auto" w:sz="8" w:space="0"/>
            </w:tcBorders>
            <w:shd w:val="clear" w:color="auto" w:fill="auto"/>
            <w:noWrap/>
            <w:tcMar>
              <w:left w:w="108" w:type="dxa"/>
              <w:right w:w="108" w:type="dxa"/>
            </w:tcMar>
            <w:vAlign w:val="center"/>
          </w:tcPr>
          <w:p>
            <w:pPr>
              <w:widowControl/>
              <w:spacing w:after="180" w:line="400" w:lineRule="exact"/>
              <w:jc w:val="left"/>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3571" w:type="dxa"/>
            <w:gridSpan w:val="2"/>
            <w:tcBorders>
              <w:top w:val="nil"/>
              <w:left w:val="nil"/>
              <w:bottom w:val="single" w:color="auto" w:sz="8" w:space="0"/>
              <w:right w:val="single" w:color="000000" w:sz="8" w:space="0"/>
            </w:tcBorders>
            <w:shd w:val="clear" w:color="auto" w:fill="auto"/>
            <w:noWrap/>
            <w:tcMar>
              <w:left w:w="108" w:type="dxa"/>
              <w:right w:w="108" w:type="dxa"/>
            </w:tcMar>
            <w:vAlign w:val="center"/>
          </w:tcPr>
          <w:p>
            <w:pPr>
              <w:spacing w:line="40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pPr>
        <w:ind w:firstLine="640" w:firstLineChars="200"/>
        <w:rPr>
          <w:rFonts w:ascii="仿宋_GB2312" w:eastAsia="仿宋_GB2312"/>
          <w:sz w:val="32"/>
          <w:szCs w:val="32"/>
        </w:rPr>
      </w:pPr>
    </w:p>
    <w:p>
      <w:pPr>
        <w:ind w:firstLine="640" w:firstLineChars="200"/>
        <w:rPr>
          <w:rFonts w:ascii="黑体" w:hAnsi="黑体" w:eastAsia="黑体"/>
          <w:sz w:val="32"/>
          <w:szCs w:val="32"/>
        </w:rPr>
      </w:pPr>
      <w:r>
        <w:rPr>
          <w:rFonts w:hint="eastAsia" w:ascii="黑体" w:hAnsi="黑体" w:eastAsia="黑体"/>
          <w:sz w:val="32"/>
          <w:szCs w:val="32"/>
        </w:rPr>
        <w:t>三、收到和处理政府信息公开申请情况</w:t>
      </w:r>
    </w:p>
    <w:tbl>
      <w:tblPr>
        <w:tblStyle w:val="7"/>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494"/>
        <w:gridCol w:w="855"/>
        <w:gridCol w:w="2130"/>
        <w:gridCol w:w="825"/>
        <w:gridCol w:w="765"/>
        <w:gridCol w:w="765"/>
        <w:gridCol w:w="825"/>
        <w:gridCol w:w="990"/>
        <w:gridCol w:w="720"/>
        <w:gridCol w:w="702"/>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restart"/>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（本列数据的勾稽关系为：第一项加第二项之和，等于第三项加第四项之和）</w:t>
            </w:r>
          </w:p>
        </w:tc>
        <w:tc>
          <w:tcPr>
            <w:tcW w:w="5592" w:type="dxa"/>
            <w:gridSpan w:val="7"/>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申请人情况</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2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自然人</w:t>
            </w:r>
          </w:p>
        </w:tc>
        <w:tc>
          <w:tcPr>
            <w:tcW w:w="4065"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法人或其他组织</w:t>
            </w:r>
          </w:p>
        </w:tc>
        <w:tc>
          <w:tcPr>
            <w:tcW w:w="702"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trHeight w:val="1871" w:hRule="atLeast"/>
          <w:jc w:val="center"/>
        </w:trPr>
        <w:tc>
          <w:tcPr>
            <w:tcW w:w="3479" w:type="dxa"/>
            <w:gridSpan w:val="3"/>
            <w:vMerge w:val="continue"/>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2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商业企业</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科研机构</w:t>
            </w:r>
          </w:p>
        </w:tc>
        <w:tc>
          <w:tcPr>
            <w:tcW w:w="82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社会公益组织</w:t>
            </w:r>
          </w:p>
        </w:tc>
        <w:tc>
          <w:tcPr>
            <w:tcW w:w="99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法律服务机构</w:t>
            </w:r>
          </w:p>
        </w:tc>
        <w:tc>
          <w:tcPr>
            <w:tcW w:w="720"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其他</w:t>
            </w:r>
          </w:p>
        </w:tc>
        <w:tc>
          <w:tcPr>
            <w:tcW w:w="702"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一、本年新收政府信息公开申请数量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2 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二、上年结转政府信息公开申请数量</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三、本年度办理结果</w:t>
            </w: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（一）予以公开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（二）部分公开（区分处理的，只计这一情形，不计其他情形）</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（三）不予公开</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1.属于国家秘密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2.其他法律行政法规禁止公开</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3.危及“三安全一稳定”</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4.保护第三方合法权益</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5.属于三类内部事务信息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6.属于四类过程性信息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7.属于行政执法案卷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8.属于行政查询事项</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（四）无法提供</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1.本机关不掌握相关政府信息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2.没有现成信息需要另行制作</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3.补正后申请内容仍不明确</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（五）不予处理</w:t>
            </w: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1.信访举报投诉类申请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2.重复申请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3.要求提供公开出版物</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4.无正当理由大量反复申请</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855"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13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5.要求行政机关确认或重新出具已获取信息</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（六）其他处理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2</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49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2985" w:type="dxa"/>
            <w:gridSpan w:val="2"/>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（七）总计</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2</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2</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479" w:type="dxa"/>
            <w:gridSpan w:val="3"/>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left"/>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四、结转下年度继续办理</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76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82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0</w:t>
            </w:r>
            <w:r>
              <w:rPr>
                <w:rFonts w:hint="eastAsia" w:ascii="宋体" w:hAnsi="宋体" w:eastAsia="宋体" w:cs="宋体"/>
                <w:kern w:val="0"/>
                <w:sz w:val="32"/>
                <w:szCs w:val="32"/>
              </w:rPr>
              <w:t> </w:t>
            </w:r>
          </w:p>
        </w:tc>
        <w:tc>
          <w:tcPr>
            <w:tcW w:w="99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2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c>
          <w:tcPr>
            <w:tcW w:w="702"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w:t>
            </w:r>
            <w:r>
              <w:rPr>
                <w:rFonts w:hint="eastAsia" w:ascii="仿宋_GB2312" w:hAnsi="仿宋_GB2312" w:eastAsia="仿宋_GB2312" w:cs="仿宋_GB2312"/>
                <w:kern w:val="0"/>
                <w:sz w:val="32"/>
                <w:szCs w:val="32"/>
              </w:rPr>
              <w:t>0</w:t>
            </w:r>
          </w:p>
        </w:tc>
      </w:tr>
    </w:tbl>
    <w:p>
      <w:pPr>
        <w:ind w:firstLine="640" w:firstLineChars="200"/>
        <w:rPr>
          <w:rFonts w:ascii="仿宋_GB2312" w:eastAsia="仿宋_GB2312"/>
          <w:sz w:val="32"/>
          <w:szCs w:val="32"/>
        </w:rPr>
      </w:pPr>
    </w:p>
    <w:p>
      <w:pPr>
        <w:ind w:firstLine="640" w:firstLineChars="200"/>
        <w:rPr>
          <w:rFonts w:ascii="仿宋_GB2312" w:eastAsia="仿宋_GB2312" w:hAnsiTheme="minorEastAsia"/>
          <w:sz w:val="32"/>
          <w:szCs w:val="32"/>
        </w:rPr>
      </w:pPr>
      <w:r>
        <w:rPr>
          <w:rFonts w:hint="eastAsia" w:ascii="黑体" w:hAnsi="黑体" w:eastAsia="黑体"/>
          <w:sz w:val="32"/>
          <w:szCs w:val="32"/>
        </w:rPr>
        <w:t>四、因政府信息公开工作被申请行政复议、提起行政诉讼情况。</w:t>
      </w:r>
    </w:p>
    <w:p>
      <w:pPr>
        <w:ind w:firstLine="640" w:firstLineChars="200"/>
        <w:rPr>
          <w:rFonts w:ascii="仿宋_GB2312" w:eastAsia="仿宋_GB2312"/>
          <w:sz w:val="32"/>
          <w:szCs w:val="32"/>
        </w:rPr>
      </w:pPr>
      <w:r>
        <w:rPr>
          <w:rFonts w:hint="eastAsia" w:ascii="仿宋_GB2312" w:eastAsia="仿宋_GB2312"/>
          <w:sz w:val="32"/>
          <w:szCs w:val="32"/>
        </w:rPr>
        <w:t>2019年度，经济开发区管委会涉及信息公开引起的行政复议2项，我们已根据《条例》要求进行了答复，区政府已出具相关行政复议决定书。</w:t>
      </w:r>
    </w:p>
    <w:tbl>
      <w:tblPr>
        <w:tblStyle w:val="7"/>
        <w:tblW w:w="9071" w:type="dxa"/>
        <w:jc w:val="center"/>
        <w:tblBorders>
          <w:top w:val="none" w:color="auto" w:sz="6" w:space="0"/>
          <w:left w:val="none" w:color="auto" w:sz="6" w:space="0"/>
          <w:bottom w:val="none" w:color="auto" w:sz="6" w:space="0"/>
          <w:right w:val="none" w:color="auto" w:sz="6" w:space="0"/>
          <w:insideH w:val="outset" w:color="auto" w:sz="6" w:space="0"/>
          <w:insideV w:val="outset" w:color="auto" w:sz="6" w:space="0"/>
        </w:tblBorders>
        <w:tblLayout w:type="fixed"/>
        <w:tblCellMar>
          <w:top w:w="0" w:type="dxa"/>
          <w:left w:w="0" w:type="dxa"/>
          <w:bottom w:w="0" w:type="dxa"/>
          <w:right w:w="0" w:type="dxa"/>
        </w:tblCellMar>
      </w:tblPr>
      <w:tblGrid>
        <w:gridCol w:w="604"/>
        <w:gridCol w:w="604"/>
        <w:gridCol w:w="604"/>
        <w:gridCol w:w="604"/>
        <w:gridCol w:w="658"/>
        <w:gridCol w:w="550"/>
        <w:gridCol w:w="605"/>
        <w:gridCol w:w="605"/>
        <w:gridCol w:w="605"/>
        <w:gridCol w:w="605"/>
        <w:gridCol w:w="605"/>
        <w:gridCol w:w="605"/>
        <w:gridCol w:w="605"/>
        <w:gridCol w:w="606"/>
        <w:gridCol w:w="606"/>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3074" w:type="dxa"/>
            <w:gridSpan w:val="5"/>
            <w:tcBorders>
              <w:top w:val="single" w:color="auto" w:sz="8" w:space="0"/>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行政复议</w:t>
            </w:r>
          </w:p>
        </w:tc>
        <w:tc>
          <w:tcPr>
            <w:tcW w:w="5997" w:type="dxa"/>
            <w:gridSpan w:val="10"/>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行政诉讼</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restart"/>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结果维持</w:t>
            </w:r>
          </w:p>
        </w:tc>
        <w:tc>
          <w:tcPr>
            <w:tcW w:w="604" w:type="dxa"/>
            <w:vMerge w:val="restart"/>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结果纠正</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其他结果</w:t>
            </w:r>
          </w:p>
        </w:tc>
        <w:tc>
          <w:tcPr>
            <w:tcW w:w="604"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尚未审结</w:t>
            </w:r>
          </w:p>
        </w:tc>
        <w:tc>
          <w:tcPr>
            <w:tcW w:w="658" w:type="dxa"/>
            <w:vMerge w:val="restart"/>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总计</w:t>
            </w:r>
          </w:p>
        </w:tc>
        <w:tc>
          <w:tcPr>
            <w:tcW w:w="2970"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未经复议直接起诉</w:t>
            </w:r>
          </w:p>
        </w:tc>
        <w:tc>
          <w:tcPr>
            <w:tcW w:w="3027" w:type="dxa"/>
            <w:gridSpan w:val="5"/>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复议后起诉</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vMerge w:val="continue"/>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604" w:type="dxa"/>
            <w:vMerge w:val="continue"/>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604"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658" w:type="dxa"/>
            <w:vMerge w:val="continue"/>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结果维持</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其他结果</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尚未审结</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总计</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结果维持</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结果纠正</w:t>
            </w:r>
          </w:p>
        </w:tc>
        <w:tc>
          <w:tcPr>
            <w:tcW w:w="605"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其他结果</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尚未审结</w:t>
            </w:r>
          </w:p>
        </w:tc>
        <w:tc>
          <w:tcPr>
            <w:tcW w:w="606" w:type="dxa"/>
            <w:tcBorders>
              <w:top w:val="single" w:color="auto" w:sz="8" w:space="0"/>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总计</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tblCellMar>
            <w:top w:w="0" w:type="dxa"/>
            <w:left w:w="0" w:type="dxa"/>
            <w:bottom w:w="0" w:type="dxa"/>
            <w:right w:w="0" w:type="dxa"/>
          </w:tblCellMar>
        </w:tblPrEx>
        <w:trPr>
          <w:jc w:val="center"/>
        </w:trPr>
        <w:tc>
          <w:tcPr>
            <w:tcW w:w="604" w:type="dxa"/>
            <w:tcBorders>
              <w:top w:val="nil"/>
              <w:left w:val="single" w:color="auto" w:sz="8" w:space="0"/>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宋体" w:hAnsi="宋体" w:eastAsia="宋体" w:cs="宋体"/>
                <w:kern w:val="0"/>
                <w:sz w:val="32"/>
                <w:szCs w:val="32"/>
              </w:rPr>
              <w:t> 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2</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604"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658"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2</w:t>
            </w:r>
          </w:p>
        </w:tc>
        <w:tc>
          <w:tcPr>
            <w:tcW w:w="550"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605"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color w:val="000000"/>
                <w:kern w:val="0"/>
                <w:sz w:val="32"/>
                <w:szCs w:val="32"/>
              </w:rPr>
              <w:t> 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widowControl/>
              <w:spacing w:after="180" w:line="360" w:lineRule="exact"/>
              <w:jc w:val="center"/>
              <w:rPr>
                <w:rFonts w:ascii="仿宋_GB2312" w:hAnsi="仿宋_GB2312" w:eastAsia="仿宋_GB2312" w:cs="仿宋_GB2312"/>
                <w:sz w:val="32"/>
                <w:szCs w:val="32"/>
              </w:rPr>
            </w:pPr>
            <w:r>
              <w:rPr>
                <w:rFonts w:hint="eastAsia" w:ascii="仿宋_GB2312" w:hAnsi="仿宋_GB2312" w:eastAsia="仿宋_GB2312" w:cs="仿宋_GB2312"/>
                <w:kern w:val="0"/>
                <w:sz w:val="32"/>
                <w:szCs w:val="32"/>
              </w:rPr>
              <w:t> 0</w:t>
            </w:r>
          </w:p>
        </w:tc>
        <w:tc>
          <w:tcPr>
            <w:tcW w:w="606" w:type="dxa"/>
            <w:tcBorders>
              <w:top w:val="nil"/>
              <w:left w:val="nil"/>
              <w:bottom w:val="single" w:color="auto" w:sz="8" w:space="0"/>
              <w:right w:val="single" w:color="auto" w:sz="8" w:space="0"/>
            </w:tcBorders>
            <w:shd w:val="clear" w:color="auto" w:fill="auto"/>
            <w:tcMar>
              <w:left w:w="108" w:type="dxa"/>
              <w:right w:w="108" w:type="dxa"/>
            </w:tcMar>
            <w:vAlign w:val="center"/>
          </w:tcPr>
          <w:p>
            <w:pPr>
              <w:spacing w:line="360" w:lineRule="exact"/>
              <w:rPr>
                <w:rFonts w:ascii="仿宋_GB2312" w:hAnsi="仿宋_GB2312" w:eastAsia="仿宋_GB2312" w:cs="仿宋_GB2312"/>
                <w:sz w:val="32"/>
                <w:szCs w:val="32"/>
              </w:rPr>
            </w:pPr>
            <w:r>
              <w:rPr>
                <w:rFonts w:hint="eastAsia" w:ascii="仿宋_GB2312" w:hAnsi="仿宋_GB2312" w:eastAsia="仿宋_GB2312" w:cs="仿宋_GB2312"/>
                <w:sz w:val="32"/>
                <w:szCs w:val="32"/>
              </w:rPr>
              <w:t>0</w:t>
            </w:r>
          </w:p>
        </w:tc>
      </w:tr>
    </w:tbl>
    <w:p>
      <w:pPr>
        <w:ind w:firstLine="640" w:firstLineChars="200"/>
        <w:rPr>
          <w:rFonts w:ascii="仿宋_GB2312" w:eastAsia="仿宋_GB2312"/>
          <w:sz w:val="32"/>
          <w:szCs w:val="32"/>
        </w:rPr>
      </w:pPr>
    </w:p>
    <w:p>
      <w:pPr>
        <w:ind w:firstLine="640" w:firstLineChars="200"/>
        <w:rPr>
          <w:rFonts w:ascii="黑体" w:hAnsi="黑体" w:eastAsia="黑体"/>
          <w:sz w:val="32"/>
          <w:szCs w:val="32"/>
        </w:rPr>
      </w:pPr>
      <w:r>
        <w:rPr>
          <w:rFonts w:hint="eastAsia" w:ascii="黑体" w:hAnsi="黑体" w:eastAsia="黑体"/>
          <w:sz w:val="32"/>
          <w:szCs w:val="32"/>
        </w:rPr>
        <w:t>五、政府信息公开工作存在的主要问题及改进情况</w:t>
      </w:r>
    </w:p>
    <w:p>
      <w:pPr>
        <w:ind w:firstLine="640" w:firstLineChars="200"/>
        <w:rPr>
          <w:rFonts w:ascii="仿宋_GB2312" w:eastAsia="仿宋_GB2312"/>
          <w:sz w:val="32"/>
          <w:szCs w:val="32"/>
        </w:rPr>
      </w:pPr>
      <w:r>
        <w:rPr>
          <w:rFonts w:hint="eastAsia" w:ascii="仿宋_GB2312" w:eastAsia="仿宋_GB2312"/>
          <w:sz w:val="32"/>
          <w:szCs w:val="32"/>
        </w:rPr>
        <w:t>2019年，经济开发区管委会全力推进政务公开工作，取得了一些成效，但也存在一些问题，如:仍有部分信息制作部门公开意识有待加强、工作人员对政府信息的公开属性把握不准等。</w:t>
      </w:r>
    </w:p>
    <w:p>
      <w:pPr>
        <w:ind w:firstLine="640" w:firstLineChars="200"/>
        <w:rPr>
          <w:rFonts w:ascii="仿宋_GB2312" w:eastAsia="仿宋_GB2312"/>
          <w:sz w:val="32"/>
          <w:szCs w:val="32"/>
        </w:rPr>
      </w:pPr>
      <w:r>
        <w:rPr>
          <w:rFonts w:hint="eastAsia" w:ascii="仿宋_GB2312" w:eastAsia="仿宋_GB2312"/>
          <w:sz w:val="32"/>
          <w:szCs w:val="32"/>
        </w:rPr>
        <w:t>下一步，我们将遵循区委、区政府关于政务公开工作的统一部署，持续全面推进政务公开，深化重点领域信息公开，加强监督指导，提高工作实效，确保经济开发区政务公开工作稳步有序开展。</w:t>
      </w:r>
    </w:p>
    <w:p>
      <w:pPr>
        <w:ind w:firstLine="640" w:firstLineChars="200"/>
        <w:rPr>
          <w:rFonts w:ascii="黑体" w:hAnsi="黑体" w:eastAsia="黑体"/>
          <w:sz w:val="32"/>
          <w:szCs w:val="32"/>
        </w:rPr>
      </w:pPr>
      <w:r>
        <w:rPr>
          <w:rFonts w:hint="eastAsia" w:ascii="黑体" w:hAnsi="黑体" w:eastAsia="黑体"/>
          <w:sz w:val="32"/>
          <w:szCs w:val="32"/>
        </w:rPr>
        <w:t>六、其他需要报告的事项</w:t>
      </w:r>
    </w:p>
    <w:p>
      <w:pPr>
        <w:ind w:firstLine="640" w:firstLineChars="200"/>
        <w:rPr>
          <w:rFonts w:ascii="仿宋_GB2312" w:eastAsia="仿宋_GB2312"/>
          <w:sz w:val="32"/>
          <w:szCs w:val="32"/>
        </w:rPr>
      </w:pPr>
      <w:r>
        <w:rPr>
          <w:rFonts w:hint="eastAsia" w:ascii="仿宋_GB2312" w:eastAsia="仿宋_GB2312"/>
          <w:sz w:val="32"/>
          <w:szCs w:val="32"/>
        </w:rPr>
        <w:t>经济开发区管委会2019年度政府信息公开工作无其他需要报告的事项。</w:t>
      </w:r>
    </w:p>
    <w:p>
      <w:pPr>
        <w:ind w:firstLine="640" w:firstLineChars="200"/>
        <w:rPr>
          <w:rFonts w:ascii="仿宋_GB2312" w:eastAsia="仿宋_GB2312"/>
          <w:sz w:val="32"/>
          <w:szCs w:val="32"/>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方正舒体"/>
    <w:panose1 w:val="02010601030101010101"/>
    <w:charset w:val="86"/>
    <w:family w:val="auto"/>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楷体">
    <w:panose1 w:val="02010609060101010101"/>
    <w:charset w:val="86"/>
    <w:family w:val="modern"/>
    <w:pitch w:val="default"/>
    <w:sig w:usb0="800002BF" w:usb1="38CF7CFA" w:usb2="00000016" w:usb3="00000000" w:csb0="00040001" w:csb1="00000000"/>
  </w:font>
  <w:font w:name="方正舒体">
    <w:panose1 w:val="02010601030101010101"/>
    <w:charset w:val="86"/>
    <w:family w:val="auto"/>
    <w:pitch w:val="default"/>
    <w:sig w:usb0="00000003"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OTM3NmI3ZTE1ZTYyNTljN2NjOTVmNGFiZmYyMDkyMWEifQ=="/>
  </w:docVars>
  <w:rsids>
    <w:rsidRoot w:val="002D6851"/>
    <w:rsid w:val="000C7E1E"/>
    <w:rsid w:val="0019541F"/>
    <w:rsid w:val="002A1BA2"/>
    <w:rsid w:val="002B7960"/>
    <w:rsid w:val="002D6851"/>
    <w:rsid w:val="002E6DF2"/>
    <w:rsid w:val="0033146C"/>
    <w:rsid w:val="00411CEA"/>
    <w:rsid w:val="005569FD"/>
    <w:rsid w:val="005A3AB2"/>
    <w:rsid w:val="005E1684"/>
    <w:rsid w:val="006246AA"/>
    <w:rsid w:val="006325E8"/>
    <w:rsid w:val="006342D8"/>
    <w:rsid w:val="006450A4"/>
    <w:rsid w:val="0066059F"/>
    <w:rsid w:val="006B5DE6"/>
    <w:rsid w:val="006F0E8A"/>
    <w:rsid w:val="00712C0F"/>
    <w:rsid w:val="00737BCB"/>
    <w:rsid w:val="007A63BC"/>
    <w:rsid w:val="008E3B27"/>
    <w:rsid w:val="009515D8"/>
    <w:rsid w:val="0099672A"/>
    <w:rsid w:val="00A51090"/>
    <w:rsid w:val="00AA6EF7"/>
    <w:rsid w:val="00B66700"/>
    <w:rsid w:val="00C6714E"/>
    <w:rsid w:val="00D73C48"/>
    <w:rsid w:val="00E5110E"/>
    <w:rsid w:val="00EA4282"/>
    <w:rsid w:val="00EA5146"/>
    <w:rsid w:val="3E041F2A"/>
    <w:rsid w:val="487C61C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9"/>
    <w:qFormat/>
    <w:uiPriority w:val="9"/>
    <w:pPr>
      <w:widowControl/>
      <w:spacing w:before="100" w:beforeAutospacing="1" w:after="100" w:afterAutospacing="1"/>
      <w:jc w:val="left"/>
      <w:outlineLvl w:val="0"/>
    </w:pPr>
    <w:rPr>
      <w:rFonts w:ascii="宋体" w:hAnsi="宋体" w:eastAsia="宋体" w:cs="宋体"/>
      <w:b/>
      <w:bCs/>
      <w:kern w:val="36"/>
      <w:sz w:val="48"/>
      <w:szCs w:val="48"/>
    </w:rPr>
  </w:style>
  <w:style w:type="character" w:default="1" w:styleId="8">
    <w:name w:val="Default Paragraph Font"/>
    <w:semiHidden/>
    <w:unhideWhenUsed/>
    <w:uiPriority w:val="1"/>
  </w:style>
  <w:style w:type="table" w:default="1" w:styleId="7">
    <w:name w:val="Normal Table"/>
    <w:semiHidden/>
    <w:unhideWhenUsed/>
    <w:uiPriority w:val="99"/>
    <w:tblPr>
      <w:tblCellMar>
        <w:top w:w="0" w:type="dxa"/>
        <w:left w:w="108" w:type="dxa"/>
        <w:bottom w:w="0" w:type="dxa"/>
        <w:right w:w="108" w:type="dxa"/>
      </w:tblCellMar>
    </w:tblPr>
  </w:style>
  <w:style w:type="paragraph" w:styleId="3">
    <w:name w:val="footer"/>
    <w:basedOn w:val="1"/>
    <w:link w:val="12"/>
    <w:unhideWhenUsed/>
    <w:uiPriority w:val="99"/>
    <w:pPr>
      <w:tabs>
        <w:tab w:val="center" w:pos="4153"/>
        <w:tab w:val="right" w:pos="8306"/>
      </w:tabs>
      <w:snapToGrid w:val="0"/>
      <w:jc w:val="left"/>
    </w:pPr>
    <w:rPr>
      <w:sz w:val="18"/>
      <w:szCs w:val="18"/>
    </w:rPr>
  </w:style>
  <w:style w:type="paragraph" w:styleId="4">
    <w:name w:val="header"/>
    <w:basedOn w:val="1"/>
    <w:link w:val="11"/>
    <w:unhideWhenUsed/>
    <w:uiPriority w:val="99"/>
    <w:pPr>
      <w:pBdr>
        <w:bottom w:val="single" w:color="auto" w:sz="6" w:space="1"/>
      </w:pBdr>
      <w:tabs>
        <w:tab w:val="center" w:pos="4153"/>
        <w:tab w:val="right" w:pos="8306"/>
      </w:tabs>
      <w:snapToGrid w:val="0"/>
      <w:jc w:val="center"/>
    </w:pPr>
    <w:rPr>
      <w:sz w:val="18"/>
      <w:szCs w:val="18"/>
    </w:rPr>
  </w:style>
  <w:style w:type="paragraph" w:styleId="5">
    <w:name w:val="HTML Preformatted"/>
    <w:basedOn w:val="1"/>
    <w:link w:val="10"/>
    <w:semiHidden/>
    <w:unhideWhenUsed/>
    <w:qFormat/>
    <w:uiPriority w:val="99"/>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eastAsia="宋体" w:cs="宋体"/>
      <w:kern w:val="0"/>
      <w:sz w:val="24"/>
      <w:szCs w:val="24"/>
    </w:rPr>
  </w:style>
  <w:style w:type="paragraph" w:styleId="6">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customStyle="1" w:styleId="9">
    <w:name w:val="标题 1 Char"/>
    <w:basedOn w:val="8"/>
    <w:link w:val="2"/>
    <w:uiPriority w:val="9"/>
    <w:rPr>
      <w:rFonts w:ascii="宋体" w:hAnsi="宋体" w:eastAsia="宋体" w:cs="宋体"/>
      <w:b/>
      <w:bCs/>
      <w:kern w:val="36"/>
      <w:sz w:val="48"/>
      <w:szCs w:val="48"/>
    </w:rPr>
  </w:style>
  <w:style w:type="character" w:customStyle="1" w:styleId="10">
    <w:name w:val="HTML 预设格式 Char"/>
    <w:basedOn w:val="8"/>
    <w:link w:val="5"/>
    <w:semiHidden/>
    <w:qFormat/>
    <w:uiPriority w:val="99"/>
    <w:rPr>
      <w:rFonts w:ascii="宋体" w:hAnsi="宋体" w:eastAsia="宋体" w:cs="宋体"/>
      <w:kern w:val="0"/>
      <w:sz w:val="24"/>
      <w:szCs w:val="24"/>
    </w:rPr>
  </w:style>
  <w:style w:type="character" w:customStyle="1" w:styleId="11">
    <w:name w:val="页眉 Char"/>
    <w:basedOn w:val="8"/>
    <w:link w:val="4"/>
    <w:qFormat/>
    <w:uiPriority w:val="99"/>
    <w:rPr>
      <w:sz w:val="18"/>
      <w:szCs w:val="18"/>
    </w:rPr>
  </w:style>
  <w:style w:type="character" w:customStyle="1" w:styleId="12">
    <w:name w:val="页脚 Char"/>
    <w:basedOn w:val="8"/>
    <w:link w:val="3"/>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Microsoft</Company>
  <Pages>6</Pages>
  <Words>367</Words>
  <Characters>2097</Characters>
  <Lines>17</Lines>
  <Paragraphs>4</Paragraphs>
  <TotalTime>222</TotalTime>
  <ScaleCrop>false</ScaleCrop>
  <LinksUpToDate>false</LinksUpToDate>
  <CharactersWithSpaces>2460</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2020-01-15T07:11:00Z</dcterms:created>
  <dc:creator>Administrator</dc:creator>
  <cp:lastModifiedBy>Otomi</cp:lastModifiedBy>
  <cp:lastPrinted>2020-01-16T07:53:00Z</cp:lastPrinted>
  <dcterms:modified xsi:type="dcterms:W3CDTF">2023-07-31T08:11:01Z</dcterms:modified>
  <cp:revision>11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E7B5067BC27D438CB5A6755C9D1E628D_12</vt:lpwstr>
  </property>
</Properties>
</file>