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sz w:val="28"/>
          <w:szCs w:val="28"/>
        </w:rPr>
      </w:pPr>
    </w:p>
    <w:p>
      <w:pPr>
        <w:jc w:val="left"/>
        <w:rPr>
          <w:rFonts w:ascii="宋体" w:hAnsi="宋体" w:cs="宋体"/>
          <w:b/>
          <w:bCs/>
          <w:u w:val="single"/>
        </w:rPr>
      </w:pPr>
      <w:r>
        <w:rPr>
          <w:rFonts w:hint="eastAsia" w:ascii="宋体" w:hAnsi="宋体"/>
          <w:b/>
          <w:bCs/>
          <w:sz w:val="28"/>
          <w:szCs w:val="28"/>
        </w:rPr>
        <w:t>招标编号：CZBXA21013</w:t>
      </w:r>
    </w:p>
    <w:p>
      <w:pPr>
        <w:pStyle w:val="28"/>
        <w:ind w:firstLine="480"/>
      </w:pPr>
    </w:p>
    <w:p>
      <w:pPr>
        <w:jc w:val="center"/>
        <w:rPr>
          <w:rFonts w:ascii="宋体" w:hAnsi="宋体" w:cs="宋体"/>
          <w:u w:val="single"/>
        </w:rPr>
      </w:pPr>
    </w:p>
    <w:p>
      <w:pPr>
        <w:jc w:val="center"/>
        <w:rPr>
          <w:rFonts w:ascii="宋体" w:hAnsi="宋体" w:cs="宋体"/>
          <w:u w:val="single"/>
        </w:rPr>
      </w:pPr>
    </w:p>
    <w:p>
      <w:pPr>
        <w:pStyle w:val="2"/>
      </w:pPr>
    </w:p>
    <w:p>
      <w:pPr>
        <w:jc w:val="center"/>
        <w:rPr>
          <w:rFonts w:ascii="宋体" w:hAnsi="宋体" w:cs="宋体"/>
          <w:sz w:val="20"/>
          <w:szCs w:val="22"/>
        </w:rPr>
      </w:pPr>
      <w:r>
        <w:rPr>
          <w:rFonts w:hint="eastAsia" w:ascii="宋体" w:hAnsi="宋体" w:cs="宋体"/>
          <w:sz w:val="56"/>
          <w:szCs w:val="56"/>
        </w:rPr>
        <w:t>阎良区国家教育考试综合管理平台设备采购项目（二次）</w:t>
      </w:r>
    </w:p>
    <w:p>
      <w:pPr>
        <w:rPr>
          <w:rFonts w:ascii="宋体" w:hAnsi="宋体" w:cs="宋体"/>
        </w:rPr>
      </w:pPr>
    </w:p>
    <w:p>
      <w:pPr>
        <w:pStyle w:val="2"/>
        <w:rPr>
          <w:rFonts w:cs="宋体"/>
        </w:rPr>
      </w:pPr>
    </w:p>
    <w:p>
      <w:pPr>
        <w:rPr>
          <w:rFonts w:ascii="宋体" w:hAnsi="宋体" w:cs="宋体"/>
        </w:rPr>
      </w:pPr>
    </w:p>
    <w:p>
      <w:pPr>
        <w:pStyle w:val="2"/>
      </w:pPr>
    </w:p>
    <w:p>
      <w:pPr>
        <w:rPr>
          <w:rFonts w:ascii="宋体" w:hAnsi="宋体" w:cs="宋体"/>
        </w:rPr>
      </w:pPr>
    </w:p>
    <w:p>
      <w:pPr>
        <w:jc w:val="center"/>
        <w:rPr>
          <w:rFonts w:ascii="宋体" w:hAnsi="宋体" w:cs="宋体"/>
          <w:sz w:val="84"/>
          <w:szCs w:val="84"/>
        </w:rPr>
      </w:pPr>
      <w:r>
        <w:rPr>
          <w:rFonts w:hint="eastAsia" w:ascii="宋体" w:hAnsi="宋体" w:cs="宋体"/>
          <w:sz w:val="84"/>
          <w:szCs w:val="84"/>
        </w:rPr>
        <w:t>招标文件</w:t>
      </w:r>
    </w:p>
    <w:p>
      <w:pPr>
        <w:rPr>
          <w:rFonts w:ascii="宋体" w:hAnsi="宋体" w:cs="宋体"/>
        </w:rPr>
      </w:pPr>
    </w:p>
    <w:p>
      <w:pPr>
        <w:rPr>
          <w:rFonts w:ascii="宋体" w:hAnsi="宋体" w:cs="宋体"/>
        </w:rPr>
      </w:pPr>
    </w:p>
    <w:p>
      <w:pPr>
        <w:rPr>
          <w:rFonts w:ascii="宋体" w:hAnsi="宋体" w:cs="宋体"/>
        </w:rPr>
      </w:pPr>
    </w:p>
    <w:p>
      <w:pPr>
        <w:pStyle w:val="2"/>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jc w:val="center"/>
        <w:rPr>
          <w:rFonts w:ascii="宋体" w:hAnsi="宋体" w:cs="宋体"/>
          <w:b/>
          <w:sz w:val="32"/>
          <w:szCs w:val="32"/>
        </w:rPr>
      </w:pPr>
      <w:r>
        <w:rPr>
          <w:rFonts w:hint="eastAsia" w:ascii="宋体" w:hAnsi="宋体" w:cs="宋体"/>
          <w:b/>
          <w:sz w:val="32"/>
          <w:szCs w:val="32"/>
        </w:rPr>
        <w:t>招标人：西安市阎良区教育局</w:t>
      </w:r>
    </w:p>
    <w:p>
      <w:pP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代理公司：华诚博远工程咨询有限公司</w:t>
      </w: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二〇二一年二月</w:t>
      </w:r>
    </w:p>
    <w:p>
      <w:pPr>
        <w:pBdr>
          <w:bottom w:val="thinThickSmallGap" w:color="auto" w:sz="24" w:space="1"/>
        </w:pBdr>
        <w:jc w:val="center"/>
        <w:rPr>
          <w:rFonts w:ascii="宋体" w:hAnsi="宋体" w:cs="宋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134" w:right="1304" w:bottom="1134" w:left="1304" w:header="851" w:footer="851" w:gutter="0"/>
          <w:cols w:space="720" w:num="1"/>
          <w:titlePg/>
          <w:docGrid w:type="linesAndChars" w:linePitch="312" w:charSpace="0"/>
        </w:sectPr>
      </w:pPr>
    </w:p>
    <w:p>
      <w:pPr>
        <w:pBdr>
          <w:bottom w:val="thinThickSmallGap" w:color="auto" w:sz="24" w:space="1"/>
        </w:pBdr>
        <w:jc w:val="center"/>
        <w:rPr>
          <w:rFonts w:ascii="宋体" w:hAnsi="宋体" w:cs="宋体"/>
          <w:b/>
          <w:sz w:val="36"/>
          <w:szCs w:val="36"/>
        </w:rPr>
      </w:pPr>
      <w:r>
        <w:rPr>
          <w:rFonts w:hint="eastAsia" w:ascii="宋体" w:hAnsi="宋体" w:cs="宋体"/>
          <w:b/>
          <w:sz w:val="36"/>
          <w:szCs w:val="36"/>
        </w:rPr>
        <w:t>目    录</w:t>
      </w:r>
    </w:p>
    <w:p>
      <w:pPr>
        <w:spacing w:line="360" w:lineRule="auto"/>
        <w:rPr>
          <w:rFonts w:ascii="宋体" w:hAnsi="宋体" w:cs="宋体"/>
          <w:szCs w:val="21"/>
        </w:rPr>
      </w:pPr>
    </w:p>
    <w:p>
      <w:pPr>
        <w:pStyle w:val="14"/>
        <w:tabs>
          <w:tab w:val="right" w:leader="dot" w:pos="8777"/>
        </w:tabs>
        <w:spacing w:line="480" w:lineRule="auto"/>
        <w:rPr>
          <w:rFonts w:ascii="宋体" w:hAnsi="宋体" w:cs="宋体"/>
          <w:sz w:val="28"/>
          <w:szCs w:val="28"/>
        </w:rPr>
      </w:pPr>
      <w:r>
        <w:rPr>
          <w:rFonts w:hint="eastAsia" w:ascii="宋体" w:hAnsi="宋体" w:cs="宋体"/>
          <w:b/>
          <w:bCs/>
          <w:sz w:val="30"/>
          <w:szCs w:val="30"/>
        </w:rPr>
        <w:fldChar w:fldCharType="begin"/>
      </w:r>
      <w:r>
        <w:rPr>
          <w:rFonts w:hint="eastAsia" w:ascii="宋体" w:hAnsi="宋体" w:cs="宋体"/>
          <w:b/>
          <w:bCs/>
          <w:sz w:val="30"/>
          <w:szCs w:val="30"/>
        </w:rPr>
        <w:instrText xml:space="preserve"> TOC \o "1-3" \h \z \u </w:instrText>
      </w:r>
      <w:r>
        <w:rPr>
          <w:rFonts w:hint="eastAsia" w:ascii="宋体" w:hAnsi="宋体" w:cs="宋体"/>
          <w:b/>
          <w:bCs/>
          <w:sz w:val="30"/>
          <w:szCs w:val="30"/>
        </w:rPr>
        <w:fldChar w:fldCharType="separate"/>
      </w:r>
      <w:r>
        <w:fldChar w:fldCharType="begin"/>
      </w:r>
      <w:r>
        <w:instrText xml:space="preserve"> HYPERLINK \l "_Toc448265593" </w:instrText>
      </w:r>
      <w:r>
        <w:fldChar w:fldCharType="separate"/>
      </w:r>
      <w:r>
        <w:rPr>
          <w:rStyle w:val="26"/>
          <w:rFonts w:hint="eastAsia" w:ascii="宋体" w:hAnsi="宋体" w:cs="宋体"/>
          <w:sz w:val="28"/>
          <w:szCs w:val="28"/>
        </w:rPr>
        <w:t>第一章  招标公告</w:t>
      </w:r>
      <w:r>
        <w:rPr>
          <w:rStyle w:val="26"/>
          <w:rFonts w:hint="eastAsia" w:ascii="宋体" w:hAnsi="宋体" w:cs="宋体"/>
          <w:sz w:val="28"/>
          <w:szCs w:val="28"/>
        </w:rPr>
        <w:fldChar w:fldCharType="end"/>
      </w:r>
    </w:p>
    <w:p>
      <w:pPr>
        <w:pStyle w:val="14"/>
        <w:tabs>
          <w:tab w:val="right" w:leader="dot" w:pos="8777"/>
        </w:tabs>
        <w:spacing w:line="480" w:lineRule="auto"/>
        <w:rPr>
          <w:rFonts w:ascii="宋体" w:hAnsi="宋体" w:cs="宋体"/>
          <w:sz w:val="28"/>
          <w:szCs w:val="28"/>
        </w:rPr>
      </w:pPr>
      <w:r>
        <w:fldChar w:fldCharType="begin"/>
      </w:r>
      <w:r>
        <w:instrText xml:space="preserve"> HYPERLINK \l "_Toc448265594" </w:instrText>
      </w:r>
      <w:r>
        <w:fldChar w:fldCharType="separate"/>
      </w:r>
      <w:r>
        <w:rPr>
          <w:rStyle w:val="26"/>
          <w:rFonts w:hint="eastAsia" w:ascii="宋体" w:hAnsi="宋体" w:cs="宋体"/>
          <w:sz w:val="28"/>
          <w:szCs w:val="28"/>
        </w:rPr>
        <w:t>第二章  正文</w:t>
      </w:r>
      <w:r>
        <w:rPr>
          <w:rStyle w:val="26"/>
          <w:rFonts w:hint="eastAsia" w:ascii="宋体" w:hAnsi="宋体" w:cs="宋体"/>
          <w:sz w:val="28"/>
          <w:szCs w:val="28"/>
        </w:rPr>
        <w:fldChar w:fldCharType="end"/>
      </w:r>
    </w:p>
    <w:p>
      <w:pPr>
        <w:pStyle w:val="14"/>
        <w:tabs>
          <w:tab w:val="right" w:leader="dot" w:pos="8777"/>
        </w:tabs>
        <w:spacing w:line="480" w:lineRule="auto"/>
        <w:rPr>
          <w:rFonts w:ascii="宋体" w:hAnsi="宋体" w:cs="宋体"/>
        </w:rPr>
      </w:pPr>
      <w:r>
        <w:fldChar w:fldCharType="begin"/>
      </w:r>
      <w:r>
        <w:instrText xml:space="preserve"> HYPERLINK \l "_Toc448265595" </w:instrText>
      </w:r>
      <w:r>
        <w:fldChar w:fldCharType="separate"/>
      </w:r>
      <w:r>
        <w:rPr>
          <w:rStyle w:val="26"/>
          <w:rFonts w:hint="eastAsia" w:ascii="宋体" w:hAnsi="宋体" w:cs="宋体"/>
          <w:sz w:val="28"/>
          <w:szCs w:val="28"/>
        </w:rPr>
        <w:t>第三章  评标办法（综合评估法）</w:t>
      </w:r>
      <w:r>
        <w:rPr>
          <w:rStyle w:val="26"/>
          <w:rFonts w:hint="eastAsia" w:ascii="宋体" w:hAnsi="宋体" w:cs="宋体"/>
          <w:sz w:val="28"/>
          <w:szCs w:val="28"/>
        </w:rPr>
        <w:fldChar w:fldCharType="end"/>
      </w:r>
    </w:p>
    <w:p>
      <w:pPr>
        <w:pStyle w:val="14"/>
        <w:tabs>
          <w:tab w:val="right" w:leader="dot" w:pos="8777"/>
        </w:tabs>
        <w:spacing w:line="480" w:lineRule="auto"/>
        <w:rPr>
          <w:rStyle w:val="26"/>
          <w:rFonts w:ascii="宋体" w:hAnsi="宋体" w:cs="宋体"/>
          <w:sz w:val="28"/>
          <w:szCs w:val="28"/>
        </w:rPr>
      </w:pPr>
      <w:r>
        <w:rPr>
          <w:rStyle w:val="26"/>
          <w:rFonts w:hint="eastAsia" w:ascii="宋体" w:hAnsi="宋体" w:cs="宋体"/>
          <w:sz w:val="28"/>
          <w:szCs w:val="28"/>
        </w:rPr>
        <w:t>第四章  服务内容及要求</w:t>
      </w:r>
    </w:p>
    <w:p>
      <w:pPr>
        <w:pStyle w:val="14"/>
        <w:tabs>
          <w:tab w:val="right" w:leader="dot" w:pos="8777"/>
        </w:tabs>
        <w:spacing w:line="480" w:lineRule="auto"/>
        <w:rPr>
          <w:rStyle w:val="26"/>
          <w:rFonts w:ascii="宋体" w:hAnsi="宋体" w:cs="宋体"/>
          <w:sz w:val="28"/>
          <w:szCs w:val="28"/>
        </w:rPr>
      </w:pPr>
      <w:r>
        <w:rPr>
          <w:rStyle w:val="26"/>
          <w:rFonts w:hint="eastAsia" w:ascii="宋体" w:hAnsi="宋体" w:cs="宋体"/>
          <w:sz w:val="28"/>
          <w:szCs w:val="28"/>
        </w:rPr>
        <w:t>第五章  商务要求及合同主要条款</w:t>
      </w:r>
    </w:p>
    <w:p>
      <w:pPr>
        <w:pStyle w:val="14"/>
        <w:tabs>
          <w:tab w:val="right" w:leader="dot" w:pos="8777"/>
        </w:tabs>
        <w:spacing w:line="480" w:lineRule="auto"/>
        <w:rPr>
          <w:rStyle w:val="26"/>
          <w:rFonts w:ascii="宋体" w:hAnsi="宋体" w:cs="宋体"/>
          <w:sz w:val="28"/>
          <w:szCs w:val="28"/>
        </w:rPr>
      </w:pPr>
      <w:r>
        <w:fldChar w:fldCharType="begin"/>
      </w:r>
      <w:r>
        <w:instrText xml:space="preserve"> HYPERLINK \l "_Toc448265597" </w:instrText>
      </w:r>
      <w:r>
        <w:fldChar w:fldCharType="separate"/>
      </w:r>
      <w:r>
        <w:rPr>
          <w:rStyle w:val="26"/>
          <w:rFonts w:hint="eastAsia" w:ascii="宋体" w:hAnsi="宋体" w:cs="宋体"/>
          <w:sz w:val="28"/>
          <w:szCs w:val="28"/>
        </w:rPr>
        <w:t>第六章  投标文件格式</w:t>
      </w:r>
      <w:r>
        <w:rPr>
          <w:rStyle w:val="26"/>
          <w:rFonts w:hint="eastAsia" w:ascii="宋体" w:hAnsi="宋体" w:cs="宋体"/>
          <w:sz w:val="28"/>
          <w:szCs w:val="28"/>
        </w:rPr>
        <w:fldChar w:fldCharType="end"/>
      </w:r>
    </w:p>
    <w:p>
      <w:pPr>
        <w:pStyle w:val="4"/>
        <w:spacing w:line="480" w:lineRule="auto"/>
        <w:jc w:val="center"/>
        <w:rPr>
          <w:rFonts w:ascii="宋体" w:hAnsi="宋体" w:eastAsia="宋体" w:cs="宋体"/>
        </w:rPr>
      </w:pPr>
      <w:r>
        <w:rPr>
          <w:rFonts w:hint="eastAsia" w:ascii="宋体" w:hAnsi="宋体" w:eastAsia="宋体" w:cs="宋体"/>
          <w:b w:val="0"/>
          <w:bCs w:val="0"/>
          <w:sz w:val="30"/>
          <w:szCs w:val="30"/>
        </w:rPr>
        <w:fldChar w:fldCharType="end"/>
      </w:r>
      <w:r>
        <w:rPr>
          <w:rFonts w:hint="eastAsia" w:ascii="宋体" w:hAnsi="宋体" w:eastAsia="宋体" w:cs="宋体"/>
        </w:rPr>
        <w:br w:type="page"/>
      </w:r>
      <w:bookmarkStart w:id="0" w:name="_Toc447868718"/>
      <w:bookmarkStart w:id="1" w:name="_Toc448265593"/>
      <w:r>
        <w:rPr>
          <w:rFonts w:hint="eastAsia" w:ascii="宋体" w:hAnsi="宋体" w:eastAsia="宋体" w:cs="宋体"/>
        </w:rPr>
        <w:t>第一章招标公告</w:t>
      </w:r>
      <w:bookmarkEnd w:id="0"/>
      <w:bookmarkEnd w:id="1"/>
    </w:p>
    <w:p>
      <w:pPr>
        <w:pStyle w:val="48"/>
      </w:pPr>
      <w:r>
        <w:rPr>
          <w:rFonts w:ascii="微软雅黑" w:hAnsi="微软雅黑" w:eastAsia="微软雅黑" w:cs="微软雅黑"/>
          <w:color w:val="333333"/>
        </w:rPr>
        <w:t>     </w:t>
      </w:r>
      <w:r>
        <w:rPr>
          <w:rFonts w:hint="eastAsia" w:ascii="微软雅黑" w:hAnsi="微软雅黑" w:eastAsia="微软雅黑" w:cs="微软雅黑"/>
          <w:color w:val="333333"/>
        </w:rPr>
        <w:t xml:space="preserve">   阎良区国家教育考试综合管理平台设备采购项目（二次）</w:t>
      </w:r>
      <w:r>
        <w:rPr>
          <w:rFonts w:ascii="微软雅黑" w:hAnsi="微软雅黑" w:eastAsia="微软雅黑" w:cs="微软雅黑"/>
          <w:color w:val="333333"/>
        </w:rPr>
        <w:t>招标项目潜在的投标人可在西安市未央区凤城七路明丰国际22层（望景汇购物中心北面高层）获取招标文件，并于2021-0</w:t>
      </w:r>
      <w:r>
        <w:rPr>
          <w:rFonts w:hint="eastAsia" w:ascii="微软雅黑" w:hAnsi="微软雅黑" w:eastAsia="微软雅黑" w:cs="微软雅黑"/>
          <w:color w:val="333333"/>
        </w:rPr>
        <w:t>3</w:t>
      </w:r>
      <w:r>
        <w:rPr>
          <w:rFonts w:ascii="微软雅黑" w:hAnsi="微软雅黑" w:eastAsia="微软雅黑" w:cs="微软雅黑"/>
          <w:color w:val="333333"/>
        </w:rPr>
        <w:t>-2</w:t>
      </w:r>
      <w:r>
        <w:rPr>
          <w:rFonts w:hint="eastAsia" w:ascii="微软雅黑" w:hAnsi="微软雅黑" w:eastAsia="微软雅黑" w:cs="微软雅黑"/>
          <w:color w:val="333333"/>
        </w:rPr>
        <w:t>2</w:t>
      </w:r>
      <w:r>
        <w:rPr>
          <w:rFonts w:ascii="微软雅黑" w:hAnsi="微软雅黑" w:eastAsia="微软雅黑" w:cs="微软雅黑"/>
          <w:color w:val="333333"/>
        </w:rPr>
        <w:t xml:space="preserve"> 09:30:00前递交投标文件。 </w:t>
      </w:r>
    </w:p>
    <w:p>
      <w:pPr>
        <w:pStyle w:val="48"/>
      </w:pPr>
      <w:r>
        <w:rPr>
          <w:rFonts w:hint="eastAsia" w:ascii="微软雅黑" w:hAnsi="微软雅黑" w:eastAsia="微软雅黑" w:cs="微软雅黑"/>
          <w:color w:val="333333"/>
        </w:rPr>
        <w:t>一、项目基本情况：</w:t>
      </w:r>
    </w:p>
    <w:p>
      <w:pPr>
        <w:pStyle w:val="16"/>
        <w:widowControl/>
        <w:spacing w:line="510" w:lineRule="atLeast"/>
        <w:ind w:firstLine="420"/>
      </w:pPr>
      <w:r>
        <w:rPr>
          <w:rFonts w:hint="eastAsia" w:ascii="微软雅黑" w:hAnsi="微软雅黑" w:eastAsia="微软雅黑" w:cs="微软雅黑"/>
          <w:color w:val="333333"/>
          <w:sz w:val="21"/>
          <w:szCs w:val="21"/>
        </w:rPr>
        <w:t>1、项目编号：CZBXA21013</w:t>
      </w:r>
    </w:p>
    <w:p>
      <w:pPr>
        <w:pStyle w:val="16"/>
        <w:widowControl/>
        <w:spacing w:line="510" w:lineRule="atLeast"/>
        <w:ind w:firstLine="420"/>
        <w:rPr>
          <w:rFonts w:eastAsia="微软雅黑"/>
        </w:rPr>
      </w:pPr>
      <w:r>
        <w:rPr>
          <w:rFonts w:hint="eastAsia" w:ascii="微软雅黑" w:hAnsi="微软雅黑" w:eastAsia="微软雅黑" w:cs="微软雅黑"/>
          <w:color w:val="333333"/>
          <w:sz w:val="21"/>
          <w:szCs w:val="21"/>
        </w:rPr>
        <w:t>2、项目名称：阎良区国家教育考试综合管理平台设备采购项目（二次）</w:t>
      </w:r>
    </w:p>
    <w:p>
      <w:pPr>
        <w:pStyle w:val="16"/>
        <w:widowControl/>
        <w:spacing w:line="510" w:lineRule="atLeast"/>
        <w:ind w:firstLine="420"/>
      </w:pPr>
      <w:r>
        <w:rPr>
          <w:rFonts w:hint="eastAsia" w:ascii="微软雅黑" w:hAnsi="微软雅黑" w:eastAsia="微软雅黑" w:cs="微软雅黑"/>
          <w:color w:val="333333"/>
          <w:sz w:val="21"/>
          <w:szCs w:val="21"/>
        </w:rPr>
        <w:t>3、预算金额：4,547,870.00元</w:t>
      </w:r>
    </w:p>
    <w:p>
      <w:pPr>
        <w:pStyle w:val="16"/>
        <w:widowControl/>
        <w:spacing w:line="510" w:lineRule="atLeast"/>
        <w:ind w:firstLine="420"/>
      </w:pPr>
      <w:r>
        <w:rPr>
          <w:rFonts w:hint="eastAsia" w:ascii="微软雅黑" w:hAnsi="微软雅黑" w:eastAsia="微软雅黑" w:cs="微软雅黑"/>
          <w:color w:val="333333"/>
          <w:sz w:val="21"/>
          <w:szCs w:val="21"/>
        </w:rPr>
        <w:t xml:space="preserve">4、最高限价： 4,547,870.00元 </w:t>
      </w:r>
    </w:p>
    <w:p>
      <w:pPr>
        <w:pStyle w:val="16"/>
        <w:widowControl/>
        <w:spacing w:line="510" w:lineRule="atLeast"/>
        <w:ind w:firstLine="420"/>
      </w:pPr>
      <w:r>
        <w:rPr>
          <w:rFonts w:hint="eastAsia" w:ascii="微软雅黑" w:hAnsi="微软雅黑" w:eastAsia="微软雅黑" w:cs="微软雅黑"/>
          <w:color w:val="333333"/>
          <w:sz w:val="21"/>
          <w:szCs w:val="21"/>
        </w:rPr>
        <w:t xml:space="preserve">5、采购需求： 阎良区国家教育考试综合管理平台设备采购项目（二次），1批， 采购预算： 4,547,870.00元， 项目概况： 阎良区国家教育考试综合管理平台设备采购项目（二次）， 简要技术要求、用途： 自用 </w:t>
      </w:r>
    </w:p>
    <w:p>
      <w:pPr>
        <w:pStyle w:val="16"/>
        <w:widowControl/>
        <w:spacing w:line="510" w:lineRule="atLeast"/>
        <w:ind w:firstLine="420"/>
      </w:pPr>
      <w:r>
        <w:rPr>
          <w:rFonts w:hint="eastAsia" w:ascii="微软雅黑" w:hAnsi="微软雅黑" w:eastAsia="微软雅黑" w:cs="微软雅黑"/>
          <w:color w:val="333333"/>
          <w:sz w:val="21"/>
          <w:szCs w:val="21"/>
        </w:rPr>
        <w:t>6、合同履行期限：2021-0</w:t>
      </w:r>
      <w:r>
        <w:rPr>
          <w:rFonts w:hint="eastAsia" w:ascii="微软雅黑" w:hAnsi="微软雅黑" w:eastAsia="微软雅黑" w:cs="微软雅黑"/>
          <w:color w:val="333333"/>
          <w:sz w:val="21"/>
          <w:szCs w:val="21"/>
          <w:lang w:val="en-US" w:eastAsia="zh-CN"/>
        </w:rPr>
        <w:t>3</w:t>
      </w:r>
      <w:r>
        <w:rPr>
          <w:rFonts w:hint="eastAsia" w:ascii="微软雅黑" w:hAnsi="微软雅黑" w:eastAsia="微软雅黑" w:cs="微软雅黑"/>
          <w:color w:val="333333"/>
          <w:sz w:val="21"/>
          <w:szCs w:val="21"/>
        </w:rPr>
        <w:t>-2</w:t>
      </w:r>
      <w:r>
        <w:rPr>
          <w:rFonts w:hint="eastAsia" w:ascii="微软雅黑" w:hAnsi="微软雅黑" w:eastAsia="微软雅黑" w:cs="微软雅黑"/>
          <w:color w:val="333333"/>
          <w:sz w:val="21"/>
          <w:szCs w:val="21"/>
          <w:lang w:val="en-US" w:eastAsia="zh-CN"/>
        </w:rPr>
        <w:t>4</w:t>
      </w:r>
      <w:r>
        <w:rPr>
          <w:rFonts w:hint="eastAsia" w:ascii="微软雅黑" w:hAnsi="微软雅黑" w:eastAsia="微软雅黑" w:cs="微软雅黑"/>
          <w:color w:val="333333"/>
          <w:sz w:val="21"/>
          <w:szCs w:val="21"/>
        </w:rPr>
        <w:t xml:space="preserve"> 00:00:00 至 2021-0</w:t>
      </w:r>
      <w:r>
        <w:rPr>
          <w:rFonts w:hint="eastAsia" w:ascii="微软雅黑" w:hAnsi="微软雅黑" w:eastAsia="微软雅黑" w:cs="微软雅黑"/>
          <w:color w:val="333333"/>
          <w:sz w:val="21"/>
          <w:szCs w:val="21"/>
          <w:lang w:val="en-US" w:eastAsia="zh-CN"/>
        </w:rPr>
        <w:t>4</w:t>
      </w:r>
      <w:r>
        <w:rPr>
          <w:rFonts w:hint="eastAsia" w:ascii="微软雅黑" w:hAnsi="微软雅黑" w:eastAsia="微软雅黑" w:cs="微软雅黑"/>
          <w:color w:val="333333"/>
          <w:sz w:val="21"/>
          <w:szCs w:val="21"/>
        </w:rPr>
        <w:t>-1</w:t>
      </w:r>
      <w:r>
        <w:rPr>
          <w:rFonts w:hint="eastAsia" w:ascii="微软雅黑" w:hAnsi="微软雅黑" w:eastAsia="微软雅黑" w:cs="微软雅黑"/>
          <w:color w:val="333333"/>
          <w:sz w:val="21"/>
          <w:szCs w:val="21"/>
          <w:lang w:val="en-US" w:eastAsia="zh-CN"/>
        </w:rPr>
        <w:t>3</w:t>
      </w:r>
      <w:r>
        <w:rPr>
          <w:rFonts w:hint="eastAsia" w:ascii="微软雅黑" w:hAnsi="微软雅黑" w:eastAsia="微软雅黑" w:cs="微软雅黑"/>
          <w:color w:val="333333"/>
          <w:sz w:val="21"/>
          <w:szCs w:val="21"/>
        </w:rPr>
        <w:t xml:space="preserve"> 00:00:00（具体服务起止日期可随合同签订时间相应顺延）</w:t>
      </w:r>
    </w:p>
    <w:p>
      <w:pPr>
        <w:pStyle w:val="16"/>
        <w:widowControl/>
        <w:spacing w:line="510" w:lineRule="atLeast"/>
        <w:ind w:firstLine="420"/>
      </w:pPr>
      <w:r>
        <w:rPr>
          <w:rFonts w:hint="eastAsia" w:ascii="微软雅黑" w:hAnsi="微软雅黑" w:eastAsia="微软雅黑" w:cs="微软雅黑"/>
          <w:color w:val="333333"/>
          <w:sz w:val="21"/>
          <w:szCs w:val="21"/>
        </w:rPr>
        <w:t>7、本项目是否接受联合体投标：否</w:t>
      </w:r>
    </w:p>
    <w:p>
      <w:pPr>
        <w:pStyle w:val="48"/>
      </w:pPr>
      <w:r>
        <w:rPr>
          <w:rFonts w:hint="eastAsia" w:ascii="微软雅黑" w:hAnsi="微软雅黑" w:eastAsia="微软雅黑" w:cs="微软雅黑"/>
          <w:color w:val="333333"/>
        </w:rPr>
        <w:t xml:space="preserve">二、 投标人的资格要求 </w:t>
      </w:r>
    </w:p>
    <w:p>
      <w:pPr>
        <w:pStyle w:val="16"/>
        <w:widowControl/>
        <w:spacing w:line="510" w:lineRule="atLeast"/>
        <w:ind w:firstLine="420"/>
      </w:pPr>
      <w:r>
        <w:rPr>
          <w:rFonts w:hint="eastAsia" w:ascii="微软雅黑" w:hAnsi="微软雅黑" w:eastAsia="微软雅黑" w:cs="微软雅黑"/>
          <w:color w:val="333333"/>
          <w:sz w:val="21"/>
          <w:szCs w:val="21"/>
        </w:rPr>
        <w:t>1、满足《中华人民共和国政府采购法》第二十二条规定</w:t>
      </w:r>
    </w:p>
    <w:p>
      <w:pPr>
        <w:pStyle w:val="16"/>
        <w:widowControl/>
        <w:spacing w:line="510" w:lineRule="atLeast"/>
        <w:ind w:firstLine="420"/>
      </w:pPr>
      <w:r>
        <w:rPr>
          <w:rFonts w:hint="eastAsia" w:ascii="微软雅黑" w:hAnsi="微软雅黑" w:eastAsia="微软雅黑" w:cs="微软雅黑"/>
          <w:color w:val="333333"/>
          <w:sz w:val="21"/>
          <w:szCs w:val="21"/>
        </w:rPr>
        <w:t>2、落实政府采购政策需满足的资格要求：1、《政府采购促进中小企业发展暂行办法》（财库〔2011〕181号）； 2、《财政部司法部关于政府采购支持监狱企业发展有关问题的通知》（财库〔2014〕68号）； 3、《国务院办公厅关于建立政府强制采购节能产品制度的通知》（国办发〔2007〕51号）； 4、《节能产品政府采购实施意见》--（财库[2004]185号）； 5、《环境标志产品政府采购实施的意见》--财库[2006]90号； 6、《关于促进残疾人就业政府采购政策的通知》--财库〔2017〕141号。 7、《财政部 国务院扶贫办关于运用政府采购政策支持脱贫攻坚的通知》--（财库〔2019〕27号）</w:t>
      </w:r>
    </w:p>
    <w:p>
      <w:pPr>
        <w:pStyle w:val="16"/>
        <w:widowControl/>
        <w:spacing w:line="510" w:lineRule="atLeast"/>
        <w:ind w:firstLine="420"/>
      </w:pPr>
      <w:r>
        <w:rPr>
          <w:rFonts w:hint="eastAsia" w:ascii="微软雅黑" w:hAnsi="微软雅黑" w:eastAsia="微软雅黑" w:cs="微软雅黑"/>
          <w:color w:val="333333"/>
          <w:sz w:val="21"/>
          <w:szCs w:val="21"/>
        </w:rPr>
        <w:t>3、本项目的特定资格要求：1、具有独立承担民事责任能力的法人或其他组织，并出具有效的营业执照/事业单位法人证书/非企业专业服务机构执业许可证/民办非企业单位登记证书； 2、法定代表人直接参加投标的，须出具法人身份证；法定代表人授权代表参加投标的，须出具法定代表人授权书及授权代表身份证、授权代表本单位证明（投标截止前三个月的养老保险缴纳证明或劳动合同）。招标文件中凡是需要法定代表人签字或盖章之处，非法人单位的负责人均参照执行； 3、财务状况报告：提供具有财务审计资质单位出具的2019年度财务报告或开标前六个月内其基本账户银行出具的资信证明或政府采购信用担保机构出具的投标担保函； 4、提供具有履行本合同所必需的设备和专业技术能力的说明及承诺； 5、社会保障资金缴纳证明：提供2020年1月份以来已缴纳的至少一个月的缴纳单据或社保机构开具的社会保险参保缴费情况证明，单据或证明上应有社保机构或代收机构的公章； 6、税收缴纳证明：提供2020年1月份以来已缴纳的至少一个月的缴税凭证； 7、出具参加本次政府采购活动前三年内在经营活动中没有重大违法记录的书面声明； 8、提供所投产品的合法来源渠道； 9、本项目不接受联合体。</w:t>
      </w:r>
    </w:p>
    <w:p>
      <w:pPr>
        <w:pStyle w:val="48"/>
      </w:pPr>
      <w:r>
        <w:rPr>
          <w:rFonts w:hint="eastAsia" w:ascii="微软雅黑" w:hAnsi="微软雅黑" w:eastAsia="微软雅黑" w:cs="微软雅黑"/>
          <w:color w:val="333333"/>
        </w:rPr>
        <w:t xml:space="preserve">三、 招标文件的获取方式 </w:t>
      </w:r>
    </w:p>
    <w:p>
      <w:pPr>
        <w:pStyle w:val="16"/>
        <w:widowControl/>
        <w:spacing w:line="510" w:lineRule="atLeast"/>
        <w:ind w:firstLine="420"/>
      </w:pPr>
      <w:r>
        <w:rPr>
          <w:rFonts w:hint="eastAsia" w:ascii="微软雅黑" w:hAnsi="微软雅黑" w:eastAsia="微软雅黑" w:cs="微软雅黑"/>
          <w:color w:val="333333"/>
          <w:sz w:val="21"/>
          <w:szCs w:val="21"/>
        </w:rPr>
        <w:t>时间：即日起至2021-03-0</w:t>
      </w:r>
      <w:r>
        <w:rPr>
          <w:rFonts w:hint="eastAsia" w:ascii="微软雅黑" w:hAnsi="微软雅黑" w:eastAsia="微软雅黑" w:cs="微软雅黑"/>
          <w:color w:val="333333"/>
          <w:sz w:val="21"/>
          <w:szCs w:val="21"/>
          <w:lang w:val="en-US" w:eastAsia="zh-CN"/>
        </w:rPr>
        <w:t>8</w:t>
      </w:r>
      <w:r>
        <w:rPr>
          <w:rFonts w:hint="eastAsia" w:ascii="微软雅黑" w:hAnsi="微软雅黑" w:eastAsia="微软雅黑" w:cs="微软雅黑"/>
          <w:color w:val="333333"/>
          <w:sz w:val="21"/>
          <w:szCs w:val="21"/>
        </w:rPr>
        <w:t xml:space="preserve"> 17:00:00 止</w:t>
      </w:r>
    </w:p>
    <w:p>
      <w:pPr>
        <w:pStyle w:val="16"/>
        <w:widowControl/>
        <w:spacing w:line="510" w:lineRule="atLeast"/>
        <w:ind w:firstLine="420"/>
      </w:pPr>
      <w:r>
        <w:rPr>
          <w:rFonts w:hint="eastAsia" w:ascii="微软雅黑" w:hAnsi="微软雅黑" w:eastAsia="微软雅黑" w:cs="微软雅黑"/>
          <w:color w:val="333333"/>
          <w:sz w:val="21"/>
          <w:szCs w:val="21"/>
        </w:rPr>
        <w:t>地点：西安市未央区凤城七路明丰国际22层（望景汇购物中心北面高层）</w:t>
      </w:r>
    </w:p>
    <w:p>
      <w:pPr>
        <w:pStyle w:val="16"/>
        <w:widowControl/>
        <w:spacing w:line="510" w:lineRule="atLeast"/>
        <w:ind w:firstLine="420"/>
      </w:pPr>
      <w:r>
        <w:rPr>
          <w:rFonts w:hint="eastAsia" w:ascii="微软雅黑" w:hAnsi="微软雅黑" w:eastAsia="微软雅黑" w:cs="微软雅黑"/>
          <w:color w:val="333333"/>
          <w:sz w:val="21"/>
          <w:szCs w:val="21"/>
        </w:rPr>
        <w:t>方式：现场购买/邮寄</w:t>
      </w:r>
    </w:p>
    <w:p>
      <w:pPr>
        <w:pStyle w:val="16"/>
        <w:widowControl/>
        <w:spacing w:line="510" w:lineRule="atLeast"/>
        <w:ind w:firstLine="420"/>
      </w:pPr>
      <w:r>
        <w:rPr>
          <w:rFonts w:hint="eastAsia" w:ascii="微软雅黑" w:hAnsi="微软雅黑" w:eastAsia="微软雅黑" w:cs="微软雅黑"/>
          <w:color w:val="333333"/>
          <w:sz w:val="21"/>
          <w:szCs w:val="21"/>
        </w:rPr>
        <w:t xml:space="preserve">售价： 免费 </w:t>
      </w:r>
    </w:p>
    <w:p>
      <w:pPr>
        <w:pStyle w:val="16"/>
        <w:widowControl/>
        <w:spacing w:line="510" w:lineRule="atLeast"/>
        <w:ind w:firstLine="420"/>
      </w:pPr>
      <w:r>
        <w:rPr>
          <w:rStyle w:val="22"/>
          <w:rFonts w:hint="eastAsia" w:ascii="微软雅黑" w:hAnsi="微软雅黑" w:eastAsia="微软雅黑" w:cs="微软雅黑"/>
          <w:color w:val="333333"/>
          <w:sz w:val="21"/>
          <w:szCs w:val="21"/>
        </w:rPr>
        <w:t>注：注：（1）请于每日上午9:00时至11:30时，下午14:00时至17:00时（双休日及法定节假日除外），携带单位介绍信、经办人身份证（原件及加盖投标人原色印章的复印件）购买招标文件，文件售后不退；（2）请投标人按照陕西省财政厅关于政府采购供应商注册登记有关事项的通知中的要求，通过陕西省政府采购网（http://www.ccgp-shaanxi.gov.cn/）注册登记加入陕西省政府采购供应商库。</w:t>
      </w:r>
    </w:p>
    <w:p>
      <w:pPr>
        <w:pStyle w:val="48"/>
      </w:pPr>
      <w:r>
        <w:rPr>
          <w:rFonts w:hint="eastAsia" w:ascii="微软雅黑" w:hAnsi="微软雅黑" w:eastAsia="微软雅黑" w:cs="微软雅黑"/>
          <w:color w:val="333333"/>
        </w:rPr>
        <w:t xml:space="preserve">四、 投标文件递交 </w:t>
      </w:r>
    </w:p>
    <w:p>
      <w:pPr>
        <w:pStyle w:val="16"/>
        <w:widowControl/>
        <w:spacing w:line="510" w:lineRule="atLeast"/>
        <w:ind w:firstLine="420"/>
      </w:pPr>
      <w:r>
        <w:rPr>
          <w:rFonts w:hint="eastAsia" w:ascii="微软雅黑" w:hAnsi="微软雅黑" w:eastAsia="微软雅黑" w:cs="微软雅黑"/>
          <w:color w:val="333333"/>
          <w:sz w:val="21"/>
          <w:szCs w:val="21"/>
        </w:rPr>
        <w:t xml:space="preserve">截止时间： 2021-03-2209:30:00 </w:t>
      </w:r>
    </w:p>
    <w:p>
      <w:pPr>
        <w:pStyle w:val="16"/>
        <w:widowControl/>
        <w:spacing w:line="510" w:lineRule="atLeast"/>
        <w:ind w:firstLine="420"/>
      </w:pPr>
      <w:r>
        <w:rPr>
          <w:rFonts w:hint="eastAsia" w:ascii="微软雅黑" w:hAnsi="微软雅黑" w:eastAsia="微软雅黑" w:cs="微软雅黑"/>
          <w:color w:val="333333"/>
          <w:sz w:val="21"/>
          <w:szCs w:val="21"/>
        </w:rPr>
        <w:t xml:space="preserve">地点：西安市未央区凤城七路明丰国际22层（望景汇购物中心北面高层）会议室 </w:t>
      </w:r>
    </w:p>
    <w:p>
      <w:pPr>
        <w:pStyle w:val="48"/>
      </w:pPr>
      <w:r>
        <w:rPr>
          <w:rFonts w:hint="eastAsia" w:ascii="微软雅黑" w:hAnsi="微软雅黑" w:eastAsia="微软雅黑" w:cs="微软雅黑"/>
          <w:color w:val="333333"/>
        </w:rPr>
        <w:t>五、公告期限</w:t>
      </w:r>
    </w:p>
    <w:p>
      <w:pPr>
        <w:pStyle w:val="16"/>
        <w:widowControl/>
        <w:spacing w:line="510" w:lineRule="atLeast"/>
        <w:ind w:firstLine="420"/>
      </w:pPr>
      <w:r>
        <w:rPr>
          <w:rFonts w:hint="eastAsia" w:ascii="微软雅黑" w:hAnsi="微软雅黑" w:eastAsia="微软雅黑" w:cs="微软雅黑"/>
          <w:color w:val="333333"/>
          <w:sz w:val="21"/>
          <w:szCs w:val="21"/>
        </w:rPr>
        <w:t>自本公告发布之日起5个工作日。</w:t>
      </w:r>
    </w:p>
    <w:p>
      <w:pPr>
        <w:pStyle w:val="48"/>
      </w:pPr>
      <w:r>
        <w:rPr>
          <w:rFonts w:hint="eastAsia" w:ascii="微软雅黑" w:hAnsi="微软雅黑" w:eastAsia="微软雅黑" w:cs="微软雅黑"/>
          <w:color w:val="333333"/>
        </w:rPr>
        <w:t>六、其他补充事宜</w:t>
      </w:r>
    </w:p>
    <w:p>
      <w:pPr>
        <w:pStyle w:val="48"/>
      </w:pPr>
      <w:r>
        <w:rPr>
          <w:rFonts w:hint="eastAsia" w:ascii="微软雅黑" w:hAnsi="微软雅黑" w:eastAsia="微软雅黑" w:cs="微软雅黑"/>
          <w:color w:val="333333"/>
        </w:rPr>
        <w:t xml:space="preserve">七、对本次招标提出询问，请按以下方式联系。 </w:t>
      </w:r>
    </w:p>
    <w:p>
      <w:pPr>
        <w:pStyle w:val="16"/>
        <w:widowControl/>
        <w:spacing w:line="510" w:lineRule="atLeast"/>
        <w:ind w:firstLine="420"/>
      </w:pPr>
      <w:r>
        <w:rPr>
          <w:rFonts w:hint="eastAsia" w:ascii="微软雅黑" w:hAnsi="微软雅黑" w:eastAsia="微软雅黑" w:cs="微软雅黑"/>
          <w:color w:val="333333"/>
          <w:sz w:val="21"/>
          <w:szCs w:val="21"/>
        </w:rPr>
        <w:t>1、采购人信息：西安市阎良区教育局</w:t>
      </w:r>
    </w:p>
    <w:p>
      <w:pPr>
        <w:pStyle w:val="16"/>
        <w:widowControl/>
        <w:spacing w:line="510" w:lineRule="atLeast"/>
        <w:ind w:firstLine="420"/>
      </w:pPr>
      <w:r>
        <w:rPr>
          <w:rFonts w:hint="eastAsia" w:ascii="微软雅黑" w:hAnsi="微软雅黑" w:eastAsia="微软雅黑" w:cs="微软雅黑"/>
          <w:color w:val="333333"/>
          <w:sz w:val="21"/>
          <w:szCs w:val="21"/>
        </w:rPr>
        <w:t>联系人：西安市阎良区教育局经办</w:t>
      </w:r>
    </w:p>
    <w:p>
      <w:pPr>
        <w:pStyle w:val="16"/>
        <w:widowControl/>
        <w:spacing w:line="510" w:lineRule="atLeast"/>
        <w:ind w:firstLine="420"/>
      </w:pPr>
      <w:r>
        <w:rPr>
          <w:rFonts w:hint="eastAsia" w:ascii="微软雅黑" w:hAnsi="微软雅黑" w:eastAsia="微软雅黑" w:cs="微软雅黑"/>
          <w:color w:val="333333"/>
          <w:sz w:val="21"/>
          <w:szCs w:val="21"/>
        </w:rPr>
        <w:t>联系地址：西安市阎良区凤凰北街5号</w:t>
      </w:r>
    </w:p>
    <w:p>
      <w:pPr>
        <w:pStyle w:val="16"/>
        <w:widowControl/>
        <w:spacing w:line="510" w:lineRule="atLeast"/>
        <w:ind w:firstLine="420"/>
      </w:pPr>
      <w:r>
        <w:rPr>
          <w:rFonts w:hint="eastAsia" w:ascii="微软雅黑" w:hAnsi="微软雅黑" w:eastAsia="微软雅黑" w:cs="微软雅黑"/>
          <w:color w:val="333333"/>
          <w:sz w:val="21"/>
          <w:szCs w:val="21"/>
        </w:rPr>
        <w:t>联系电话：029-86866076</w:t>
      </w:r>
    </w:p>
    <w:p>
      <w:pPr>
        <w:pStyle w:val="16"/>
        <w:widowControl/>
        <w:spacing w:line="510" w:lineRule="atLeast"/>
        <w:ind w:firstLine="420"/>
      </w:pPr>
      <w:r>
        <w:rPr>
          <w:rFonts w:hint="eastAsia" w:ascii="微软雅黑" w:hAnsi="微软雅黑" w:eastAsia="微软雅黑" w:cs="微软雅黑"/>
          <w:color w:val="333333"/>
          <w:sz w:val="21"/>
          <w:szCs w:val="21"/>
        </w:rPr>
        <w:t>2、项目联系方式</w:t>
      </w:r>
    </w:p>
    <w:p>
      <w:pPr>
        <w:pStyle w:val="16"/>
        <w:widowControl/>
        <w:spacing w:line="510" w:lineRule="atLeast"/>
        <w:ind w:firstLine="420"/>
      </w:pPr>
      <w:r>
        <w:rPr>
          <w:rFonts w:hint="eastAsia" w:ascii="微软雅黑" w:hAnsi="微软雅黑" w:eastAsia="微软雅黑" w:cs="微软雅黑"/>
          <w:color w:val="333333"/>
          <w:sz w:val="21"/>
          <w:szCs w:val="21"/>
        </w:rPr>
        <w:t>项目联系人：雷工</w:t>
      </w:r>
    </w:p>
    <w:p>
      <w:pPr>
        <w:pStyle w:val="16"/>
        <w:widowControl/>
        <w:spacing w:line="510" w:lineRule="atLeast"/>
        <w:ind w:firstLine="420"/>
      </w:pPr>
      <w:r>
        <w:rPr>
          <w:rFonts w:hint="eastAsia" w:ascii="微软雅黑" w:hAnsi="微软雅黑" w:eastAsia="微软雅黑" w:cs="微软雅黑"/>
          <w:color w:val="333333"/>
          <w:sz w:val="21"/>
          <w:szCs w:val="21"/>
        </w:rPr>
        <w:t>电 话：029-86674688</w:t>
      </w:r>
    </w:p>
    <w:p>
      <w:pPr>
        <w:pStyle w:val="16"/>
        <w:widowControl/>
        <w:spacing w:line="510" w:lineRule="atLeast"/>
        <w:ind w:firstLine="420"/>
      </w:pPr>
      <w:r>
        <w:rPr>
          <w:rFonts w:hint="eastAsia" w:ascii="微软雅黑" w:hAnsi="微软雅黑" w:eastAsia="微软雅黑" w:cs="微软雅黑"/>
          <w:color w:val="333333"/>
          <w:sz w:val="21"/>
          <w:szCs w:val="21"/>
        </w:rPr>
        <w:t>传 真：029-86674688</w:t>
      </w:r>
    </w:p>
    <w:p>
      <w:pPr>
        <w:pStyle w:val="16"/>
        <w:widowControl/>
        <w:spacing w:line="510" w:lineRule="atLeast"/>
        <w:ind w:firstLine="420"/>
      </w:pPr>
      <w:r>
        <w:rPr>
          <w:rFonts w:hint="eastAsia" w:ascii="微软雅黑" w:hAnsi="微软雅黑" w:eastAsia="微软雅黑" w:cs="微软雅黑"/>
          <w:color w:val="333333"/>
          <w:sz w:val="21"/>
          <w:szCs w:val="21"/>
        </w:rPr>
        <w:t>3、采购代理机构信息</w:t>
      </w:r>
    </w:p>
    <w:p>
      <w:pPr>
        <w:pStyle w:val="16"/>
        <w:widowControl/>
        <w:spacing w:line="510" w:lineRule="atLeast"/>
        <w:ind w:firstLine="420"/>
      </w:pPr>
      <w:r>
        <w:rPr>
          <w:rFonts w:hint="eastAsia" w:ascii="微软雅黑" w:hAnsi="微软雅黑" w:eastAsia="微软雅黑" w:cs="微软雅黑"/>
          <w:color w:val="333333"/>
          <w:sz w:val="21"/>
          <w:szCs w:val="21"/>
        </w:rPr>
        <w:t>名称：华诚博远工程咨询有限公司</w:t>
      </w:r>
    </w:p>
    <w:p>
      <w:pPr>
        <w:pStyle w:val="16"/>
        <w:widowControl/>
        <w:spacing w:line="510" w:lineRule="atLeast"/>
        <w:ind w:firstLine="420"/>
      </w:pPr>
      <w:r>
        <w:rPr>
          <w:rFonts w:hint="eastAsia" w:ascii="微软雅黑" w:hAnsi="微软雅黑" w:eastAsia="微软雅黑" w:cs="微软雅黑"/>
          <w:color w:val="333333"/>
          <w:sz w:val="21"/>
          <w:szCs w:val="21"/>
        </w:rPr>
        <w:t>联系地址：西安市未央区凤城七路明丰国际22层</w:t>
      </w:r>
    </w:p>
    <w:p>
      <w:pPr>
        <w:pStyle w:val="16"/>
        <w:widowControl/>
        <w:spacing w:line="510" w:lineRule="atLeast"/>
        <w:ind w:firstLine="420"/>
      </w:pPr>
      <w:r>
        <w:rPr>
          <w:rFonts w:hint="eastAsia" w:ascii="微软雅黑" w:hAnsi="微软雅黑" w:eastAsia="微软雅黑" w:cs="微软雅黑"/>
          <w:color w:val="333333"/>
          <w:sz w:val="21"/>
          <w:szCs w:val="21"/>
        </w:rPr>
        <w:t>联系方式：</w:t>
      </w:r>
      <w:r>
        <w:fldChar w:fldCharType="begin"/>
      </w:r>
      <w:r>
        <w:instrText xml:space="preserve"> HYPERLINK "http://www.ccgp.gov.cn/agency/a_agencylist.html" \t "_blank" </w:instrText>
      </w:r>
      <w:r>
        <w:fldChar w:fldCharType="separate"/>
      </w:r>
      <w:r>
        <w:rPr>
          <w:rStyle w:val="26"/>
          <w:rFonts w:hint="eastAsia" w:ascii="微软雅黑" w:hAnsi="微软雅黑" w:eastAsia="微软雅黑" w:cs="微软雅黑"/>
          <w:sz w:val="21"/>
          <w:szCs w:val="21"/>
        </w:rPr>
        <w:t>http://www.ccgp.gov.cn/agency/a_agencylist.html</w:t>
      </w:r>
      <w:r>
        <w:rPr>
          <w:rStyle w:val="26"/>
          <w:rFonts w:hint="eastAsia" w:ascii="微软雅黑" w:hAnsi="微软雅黑" w:eastAsia="微软雅黑" w:cs="微软雅黑"/>
          <w:sz w:val="21"/>
          <w:szCs w:val="21"/>
        </w:rPr>
        <w:fldChar w:fldCharType="end"/>
      </w:r>
    </w:p>
    <w:p>
      <w:pPr>
        <w:pStyle w:val="48"/>
      </w:pPr>
      <w:r>
        <w:rPr>
          <w:rFonts w:hint="eastAsia" w:ascii="微软雅黑" w:hAnsi="微软雅黑" w:eastAsia="微软雅黑" w:cs="微软雅黑"/>
          <w:color w:val="333333"/>
        </w:rPr>
        <w:t>八、附件：</w:t>
      </w:r>
    </w:p>
    <w:p>
      <w:pPr>
        <w:jc w:val="right"/>
        <w:rPr>
          <w:rFonts w:ascii="宋体" w:hAnsi="宋体" w:cs="宋体"/>
        </w:rPr>
      </w:pPr>
      <w:r>
        <w:rPr>
          <w:rFonts w:hint="eastAsia" w:ascii="宋体" w:hAnsi="宋体" w:cs="宋体"/>
          <w:b/>
          <w:sz w:val="32"/>
          <w:szCs w:val="32"/>
        </w:rPr>
        <w:br w:type="page"/>
      </w:r>
    </w:p>
    <w:p>
      <w:pPr>
        <w:pStyle w:val="4"/>
        <w:jc w:val="center"/>
        <w:rPr>
          <w:rFonts w:ascii="宋体" w:hAnsi="宋体" w:eastAsia="宋体" w:cs="宋体"/>
          <w:b w:val="0"/>
          <w:sz w:val="36"/>
          <w:szCs w:val="36"/>
        </w:rPr>
      </w:pPr>
      <w:bookmarkStart w:id="2" w:name="_Toc448265594"/>
      <w:r>
        <w:rPr>
          <w:rFonts w:hint="eastAsia" w:ascii="宋体" w:hAnsi="宋体" w:eastAsia="宋体" w:cs="宋体"/>
          <w:b w:val="0"/>
          <w:sz w:val="36"/>
          <w:szCs w:val="36"/>
        </w:rPr>
        <w:t>第二章正文</w:t>
      </w:r>
      <w:bookmarkEnd w:id="2"/>
    </w:p>
    <w:p>
      <w:pPr>
        <w:jc w:val="center"/>
        <w:rPr>
          <w:rFonts w:ascii="宋体" w:hAnsi="宋体" w:cs="宋体"/>
          <w:sz w:val="32"/>
          <w:szCs w:val="32"/>
        </w:rPr>
      </w:pPr>
      <w:r>
        <w:rPr>
          <w:rFonts w:hint="eastAsia" w:ascii="宋体" w:hAnsi="宋体" w:cs="宋体"/>
          <w:sz w:val="32"/>
          <w:szCs w:val="32"/>
        </w:rPr>
        <w:t>一、前附表</w:t>
      </w:r>
    </w:p>
    <w:tbl>
      <w:tblPr>
        <w:tblStyle w:val="19"/>
        <w:tblW w:w="9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0"/>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exact"/>
        </w:trPr>
        <w:tc>
          <w:tcPr>
            <w:tcW w:w="2300" w:type="dxa"/>
            <w:vAlign w:val="center"/>
          </w:tcPr>
          <w:p>
            <w:pPr>
              <w:jc w:val="center"/>
              <w:rPr>
                <w:rFonts w:ascii="宋体" w:hAnsi="宋体" w:cs="宋体"/>
                <w:sz w:val="24"/>
              </w:rPr>
            </w:pPr>
            <w:r>
              <w:rPr>
                <w:rFonts w:hint="eastAsia" w:ascii="宋体" w:hAnsi="宋体" w:cs="宋体"/>
                <w:sz w:val="24"/>
              </w:rPr>
              <w:t>项目名称</w:t>
            </w:r>
          </w:p>
        </w:tc>
        <w:tc>
          <w:tcPr>
            <w:tcW w:w="7088" w:type="dxa"/>
            <w:vAlign w:val="center"/>
          </w:tcPr>
          <w:p>
            <w:pPr>
              <w:jc w:val="left"/>
              <w:rPr>
                <w:rFonts w:ascii="宋体" w:hAnsi="宋体" w:cs="宋体"/>
                <w:sz w:val="22"/>
                <w:szCs w:val="22"/>
              </w:rPr>
            </w:pPr>
            <w:r>
              <w:rPr>
                <w:rFonts w:hint="eastAsia" w:ascii="宋体" w:hAnsi="宋体" w:cs="宋体"/>
                <w:sz w:val="24"/>
              </w:rPr>
              <w:t>阎良区国家教育考试综合管理平台设备采购项目（二次）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exact"/>
        </w:trPr>
        <w:tc>
          <w:tcPr>
            <w:tcW w:w="2300" w:type="dxa"/>
            <w:vAlign w:val="center"/>
          </w:tcPr>
          <w:p>
            <w:pPr>
              <w:jc w:val="center"/>
              <w:rPr>
                <w:rFonts w:ascii="宋体" w:hAnsi="宋体" w:cs="宋体"/>
                <w:kern w:val="0"/>
                <w:sz w:val="24"/>
              </w:rPr>
            </w:pPr>
            <w:r>
              <w:rPr>
                <w:rFonts w:hint="eastAsia" w:ascii="宋体" w:hAnsi="宋体" w:cs="宋体"/>
                <w:kern w:val="0"/>
                <w:sz w:val="24"/>
              </w:rPr>
              <w:t>招标人</w:t>
            </w:r>
          </w:p>
        </w:tc>
        <w:tc>
          <w:tcPr>
            <w:tcW w:w="7088" w:type="dxa"/>
            <w:vAlign w:val="center"/>
          </w:tcPr>
          <w:p>
            <w:pPr>
              <w:spacing w:line="360" w:lineRule="auto"/>
              <w:rPr>
                <w:rFonts w:ascii="宋体" w:hAnsi="宋体" w:cs="宋体"/>
                <w:kern w:val="0"/>
                <w:sz w:val="24"/>
              </w:rPr>
            </w:pPr>
            <w:r>
              <w:rPr>
                <w:rFonts w:hint="eastAsia" w:ascii="宋体" w:hAnsi="宋体" w:cs="宋体"/>
                <w:kern w:val="0"/>
                <w:sz w:val="24"/>
              </w:rPr>
              <w:t>西安市阎良区教育局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exact"/>
        </w:trPr>
        <w:tc>
          <w:tcPr>
            <w:tcW w:w="2300" w:type="dxa"/>
            <w:vAlign w:val="center"/>
          </w:tcPr>
          <w:p>
            <w:pPr>
              <w:jc w:val="center"/>
              <w:rPr>
                <w:rFonts w:ascii="宋体" w:hAnsi="宋体" w:cs="宋体"/>
                <w:kern w:val="0"/>
                <w:sz w:val="24"/>
              </w:rPr>
            </w:pPr>
            <w:r>
              <w:rPr>
                <w:rFonts w:hint="eastAsia" w:ascii="宋体" w:hAnsi="宋体" w:cs="宋体"/>
                <w:kern w:val="0"/>
                <w:sz w:val="24"/>
              </w:rPr>
              <w:t>招标代理公司</w:t>
            </w:r>
          </w:p>
        </w:tc>
        <w:tc>
          <w:tcPr>
            <w:tcW w:w="7088" w:type="dxa"/>
            <w:vAlign w:val="center"/>
          </w:tcPr>
          <w:p>
            <w:pPr>
              <w:spacing w:line="360" w:lineRule="auto"/>
              <w:rPr>
                <w:rFonts w:ascii="宋体" w:hAnsi="宋体" w:cs="宋体"/>
                <w:kern w:val="0"/>
                <w:sz w:val="24"/>
              </w:rPr>
            </w:pPr>
            <w:r>
              <w:rPr>
                <w:rFonts w:hint="eastAsia" w:ascii="宋体" w:hAnsi="宋体" w:cs="宋体"/>
                <w:kern w:val="0"/>
                <w:sz w:val="24"/>
              </w:rPr>
              <w:t>华诚博远工程咨询有限公司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exact"/>
        </w:trPr>
        <w:tc>
          <w:tcPr>
            <w:tcW w:w="2300" w:type="dxa"/>
            <w:vAlign w:val="center"/>
          </w:tcPr>
          <w:p>
            <w:pPr>
              <w:jc w:val="center"/>
              <w:rPr>
                <w:rFonts w:ascii="宋体" w:hAnsi="宋体" w:cs="宋体"/>
                <w:kern w:val="0"/>
                <w:sz w:val="24"/>
              </w:rPr>
            </w:pPr>
            <w:r>
              <w:rPr>
                <w:rFonts w:hint="eastAsia" w:ascii="宋体" w:hAnsi="宋体" w:cs="宋体"/>
                <w:kern w:val="0"/>
                <w:sz w:val="24"/>
              </w:rPr>
              <w:t>投标人</w:t>
            </w:r>
          </w:p>
        </w:tc>
        <w:tc>
          <w:tcPr>
            <w:tcW w:w="7088" w:type="dxa"/>
            <w:vAlign w:val="center"/>
          </w:tcPr>
          <w:p>
            <w:pPr>
              <w:spacing w:line="360" w:lineRule="auto"/>
              <w:rPr>
                <w:rFonts w:ascii="宋体" w:hAnsi="宋体" w:cs="宋体"/>
                <w:kern w:val="0"/>
                <w:sz w:val="24"/>
              </w:rPr>
            </w:pPr>
            <w:r>
              <w:rPr>
                <w:rFonts w:hint="eastAsia" w:ascii="宋体" w:hAnsi="宋体" w:cs="宋体"/>
                <w:kern w:val="0"/>
                <w:sz w:val="24"/>
              </w:rPr>
              <w:t>递交了投标文件的潜在投标人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1" w:hRule="exact"/>
        </w:trPr>
        <w:tc>
          <w:tcPr>
            <w:tcW w:w="2300" w:type="dxa"/>
            <w:vAlign w:val="center"/>
          </w:tcPr>
          <w:p>
            <w:pPr>
              <w:ind w:left="240" w:hanging="240" w:hangingChars="100"/>
              <w:jc w:val="center"/>
              <w:rPr>
                <w:rFonts w:ascii="宋体" w:hAnsi="宋体" w:cs="宋体"/>
                <w:sz w:val="24"/>
              </w:rPr>
            </w:pPr>
            <w:r>
              <w:rPr>
                <w:rFonts w:hint="eastAsia" w:ascii="宋体" w:hAnsi="宋体" w:cs="宋体"/>
                <w:sz w:val="24"/>
              </w:rPr>
              <w:t>投标人资格</w:t>
            </w:r>
          </w:p>
        </w:tc>
        <w:tc>
          <w:tcPr>
            <w:tcW w:w="7088" w:type="dxa"/>
            <w:vAlign w:val="center"/>
          </w:tcPr>
          <w:p>
            <w:pPr>
              <w:numPr>
                <w:ilvl w:val="0"/>
                <w:numId w:val="1"/>
              </w:numPr>
              <w:spacing w:line="360" w:lineRule="auto"/>
              <w:rPr>
                <w:rFonts w:ascii="宋体" w:hAnsi="宋体"/>
                <w:sz w:val="24"/>
              </w:rPr>
            </w:pPr>
            <w:r>
              <w:rPr>
                <w:rFonts w:hint="eastAsia" w:ascii="宋体" w:hAnsi="宋体"/>
                <w:sz w:val="24"/>
              </w:rPr>
              <w:t xml:space="preserve">具有独立承担民事责任能力的法人或其他组织，并出具有效的营业执照/事业单位法人证书/非企业专业服务机构执业许可证/民办非企业单位登记证书； </w:t>
            </w:r>
          </w:p>
          <w:p>
            <w:pPr>
              <w:numPr>
                <w:ilvl w:val="0"/>
                <w:numId w:val="1"/>
              </w:numPr>
              <w:spacing w:line="360" w:lineRule="auto"/>
              <w:rPr>
                <w:rFonts w:ascii="宋体" w:hAnsi="宋体"/>
                <w:sz w:val="24"/>
              </w:rPr>
            </w:pPr>
            <w:r>
              <w:rPr>
                <w:rFonts w:hint="eastAsia" w:ascii="宋体" w:hAnsi="宋体"/>
                <w:sz w:val="24"/>
              </w:rPr>
              <w:t>法定代表人直接参加投标的，须出具法人身份证；法定代表人授权代表参加投标的，须出具法定代表人授权书及授权代表身份证、授权代表本单位证明（投标截止前三个月的养老保险缴纳证明或劳动合同）。招标文件中凡是需要法定代表人签字或盖章之处，非法人单位的负责人均参照执行；</w:t>
            </w:r>
          </w:p>
          <w:p>
            <w:pPr>
              <w:numPr>
                <w:ilvl w:val="0"/>
                <w:numId w:val="1"/>
              </w:numPr>
              <w:spacing w:line="360" w:lineRule="auto"/>
              <w:rPr>
                <w:rFonts w:ascii="宋体" w:hAnsi="宋体"/>
                <w:sz w:val="24"/>
              </w:rPr>
            </w:pPr>
            <w:r>
              <w:rPr>
                <w:rFonts w:hint="eastAsia" w:ascii="宋体" w:hAnsi="宋体"/>
                <w:sz w:val="24"/>
              </w:rPr>
              <w:t xml:space="preserve">财务状况报告：提供具有财务审计资质单位出具的2019年度财务报告或开标前六个月内其基本账户银行出具的资信证明或政府采购信用担保机构出具的投标担保函； </w:t>
            </w:r>
          </w:p>
          <w:p>
            <w:pPr>
              <w:numPr>
                <w:ilvl w:val="0"/>
                <w:numId w:val="1"/>
              </w:numPr>
              <w:spacing w:line="360" w:lineRule="auto"/>
              <w:rPr>
                <w:rFonts w:ascii="宋体" w:hAnsi="宋体"/>
                <w:sz w:val="24"/>
              </w:rPr>
            </w:pPr>
            <w:r>
              <w:rPr>
                <w:rFonts w:hint="eastAsia" w:ascii="宋体" w:hAnsi="宋体"/>
                <w:sz w:val="24"/>
              </w:rPr>
              <w:t>提供具有履行本合同所必需的设备和专业技术能力的说明及承诺；</w:t>
            </w:r>
          </w:p>
          <w:p>
            <w:pPr>
              <w:numPr>
                <w:ilvl w:val="0"/>
                <w:numId w:val="1"/>
              </w:numPr>
              <w:spacing w:line="360" w:lineRule="auto"/>
              <w:rPr>
                <w:rFonts w:ascii="宋体" w:hAnsi="宋体"/>
                <w:sz w:val="24"/>
              </w:rPr>
            </w:pPr>
            <w:r>
              <w:rPr>
                <w:rFonts w:hint="eastAsia" w:ascii="宋体" w:hAnsi="宋体"/>
                <w:sz w:val="24"/>
              </w:rPr>
              <w:t>社会保障资金缴纳证明：提供2020年1月份以来已缴纳的至少一个月的缴纳单据或社保机构开具的社会保险参保缴费情况证明，单据或证明上应有社保机构或代收机构的公章；</w:t>
            </w:r>
          </w:p>
          <w:p>
            <w:pPr>
              <w:numPr>
                <w:ilvl w:val="0"/>
                <w:numId w:val="1"/>
              </w:numPr>
              <w:spacing w:line="360" w:lineRule="auto"/>
              <w:rPr>
                <w:rFonts w:ascii="宋体" w:hAnsi="宋体"/>
                <w:sz w:val="24"/>
              </w:rPr>
            </w:pPr>
            <w:r>
              <w:rPr>
                <w:rFonts w:hint="eastAsia" w:ascii="宋体" w:hAnsi="宋体"/>
                <w:sz w:val="24"/>
              </w:rPr>
              <w:t xml:space="preserve">税收缴纳证明：提供2020年1月份以来已缴纳的至少一个月的缴税凭证； </w:t>
            </w:r>
          </w:p>
          <w:p>
            <w:pPr>
              <w:numPr>
                <w:ilvl w:val="0"/>
                <w:numId w:val="1"/>
              </w:numPr>
              <w:spacing w:line="360" w:lineRule="auto"/>
              <w:rPr>
                <w:rFonts w:ascii="宋体" w:hAnsi="宋体"/>
                <w:sz w:val="24"/>
              </w:rPr>
            </w:pPr>
            <w:r>
              <w:rPr>
                <w:rFonts w:hint="eastAsia" w:ascii="宋体" w:hAnsi="宋体"/>
                <w:sz w:val="24"/>
              </w:rPr>
              <w:t>出具参加本次政府采购活动前三年内在经营活动中没有重大违法记录的书面声明；</w:t>
            </w:r>
          </w:p>
          <w:p>
            <w:pPr>
              <w:spacing w:line="360" w:lineRule="auto"/>
              <w:rPr>
                <w:rFonts w:ascii="宋体" w:hAnsi="宋体"/>
                <w:sz w:val="24"/>
              </w:rPr>
            </w:pPr>
            <w:r>
              <w:rPr>
                <w:rFonts w:hint="eastAsia" w:ascii="宋体" w:hAnsi="宋体"/>
                <w:sz w:val="24"/>
              </w:rPr>
              <w:t>8、提供所投产品的合法来源渠道；</w:t>
            </w:r>
          </w:p>
          <w:p>
            <w:pPr>
              <w:spacing w:line="360" w:lineRule="auto"/>
              <w:rPr>
                <w:rFonts w:ascii="宋体" w:hAnsi="宋体"/>
                <w:sz w:val="24"/>
              </w:rPr>
            </w:pPr>
            <w:r>
              <w:rPr>
                <w:rFonts w:hint="eastAsia" w:ascii="宋体" w:hAnsi="宋体"/>
                <w:sz w:val="24"/>
              </w:rPr>
              <w:t>9、本项目不接受联合体。</w:t>
            </w:r>
          </w:p>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exact"/>
        </w:trPr>
        <w:tc>
          <w:tcPr>
            <w:tcW w:w="2300" w:type="dxa"/>
            <w:vAlign w:val="center"/>
          </w:tcPr>
          <w:p>
            <w:pPr>
              <w:jc w:val="center"/>
              <w:rPr>
                <w:rFonts w:ascii="宋体" w:hAnsi="宋体" w:cs="宋体"/>
                <w:sz w:val="24"/>
              </w:rPr>
            </w:pPr>
            <w:r>
              <w:rPr>
                <w:rFonts w:hint="eastAsia" w:ascii="宋体" w:hAnsi="宋体" w:cs="宋体"/>
                <w:sz w:val="24"/>
              </w:rPr>
              <w:t>是否接受联合体投标</w:t>
            </w:r>
          </w:p>
        </w:tc>
        <w:tc>
          <w:tcPr>
            <w:tcW w:w="7088" w:type="dxa"/>
            <w:vAlign w:val="center"/>
          </w:tcPr>
          <w:p>
            <w:pPr>
              <w:rPr>
                <w:rFonts w:ascii="宋体" w:hAnsi="宋体" w:cs="宋体"/>
                <w:sz w:val="24"/>
              </w:rPr>
            </w:pPr>
            <w:r>
              <w:rPr>
                <w:rFonts w:hint="eastAsia" w:ascii="宋体" w:hAnsi="宋体" w:cs="宋体"/>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exact"/>
        </w:trPr>
        <w:tc>
          <w:tcPr>
            <w:tcW w:w="2300" w:type="dxa"/>
            <w:vAlign w:val="center"/>
          </w:tcPr>
          <w:p>
            <w:pPr>
              <w:jc w:val="center"/>
              <w:rPr>
                <w:rFonts w:ascii="宋体" w:hAnsi="宋体" w:cs="宋体"/>
                <w:sz w:val="24"/>
              </w:rPr>
            </w:pPr>
            <w:r>
              <w:rPr>
                <w:rFonts w:hint="eastAsia" w:ascii="宋体" w:hAnsi="宋体" w:cs="宋体"/>
                <w:sz w:val="24"/>
              </w:rPr>
              <w:t>投标预备会</w:t>
            </w:r>
          </w:p>
        </w:tc>
        <w:tc>
          <w:tcPr>
            <w:tcW w:w="7088" w:type="dxa"/>
            <w:vAlign w:val="center"/>
          </w:tcPr>
          <w:p>
            <w:pPr>
              <w:rPr>
                <w:rFonts w:ascii="宋体" w:hAnsi="宋体" w:cs="宋体"/>
                <w:sz w:val="24"/>
              </w:rPr>
            </w:pPr>
            <w:r>
              <w:rPr>
                <w:rFonts w:hint="eastAsia" w:ascii="宋体" w:hAnsi="宋体" w:cs="宋体"/>
                <w:sz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exact"/>
        </w:trPr>
        <w:tc>
          <w:tcPr>
            <w:tcW w:w="2300" w:type="dxa"/>
            <w:vAlign w:val="center"/>
          </w:tcPr>
          <w:p>
            <w:pPr>
              <w:jc w:val="center"/>
              <w:rPr>
                <w:rFonts w:ascii="宋体" w:hAnsi="宋体" w:cs="宋体"/>
                <w:sz w:val="24"/>
              </w:rPr>
            </w:pPr>
            <w:r>
              <w:rPr>
                <w:rFonts w:hint="eastAsia" w:ascii="宋体" w:hAnsi="宋体" w:cs="宋体"/>
                <w:sz w:val="24"/>
              </w:rPr>
              <w:t>分包或转包</w:t>
            </w:r>
          </w:p>
        </w:tc>
        <w:tc>
          <w:tcPr>
            <w:tcW w:w="7088" w:type="dxa"/>
            <w:vAlign w:val="center"/>
          </w:tcPr>
          <w:p>
            <w:pPr>
              <w:rPr>
                <w:rFonts w:ascii="宋体" w:hAnsi="宋体" w:cs="宋体"/>
                <w:sz w:val="24"/>
              </w:rPr>
            </w:pPr>
            <w:r>
              <w:rPr>
                <w:rFonts w:hint="eastAsia" w:ascii="宋体" w:hAnsi="宋体" w:cs="宋体"/>
                <w:sz w:val="24"/>
              </w:rPr>
              <w:t>不允许分包或转包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exact"/>
        </w:trPr>
        <w:tc>
          <w:tcPr>
            <w:tcW w:w="2300" w:type="dxa"/>
            <w:vAlign w:val="center"/>
          </w:tcPr>
          <w:p>
            <w:pPr>
              <w:jc w:val="center"/>
              <w:rPr>
                <w:rFonts w:ascii="宋体" w:hAnsi="宋体" w:cs="宋体"/>
                <w:sz w:val="24"/>
              </w:rPr>
            </w:pPr>
            <w:r>
              <w:rPr>
                <w:rFonts w:hint="eastAsia" w:ascii="宋体" w:hAnsi="宋体" w:cs="宋体"/>
                <w:sz w:val="24"/>
              </w:rPr>
              <w:t>投标人提出问题的截止时间</w:t>
            </w:r>
          </w:p>
        </w:tc>
        <w:tc>
          <w:tcPr>
            <w:tcW w:w="7088" w:type="dxa"/>
            <w:vAlign w:val="center"/>
          </w:tcPr>
          <w:p>
            <w:pPr>
              <w:rPr>
                <w:rFonts w:ascii="宋体" w:hAnsi="宋体" w:cs="宋体"/>
                <w:sz w:val="24"/>
              </w:rPr>
            </w:pPr>
            <w:r>
              <w:rPr>
                <w:rFonts w:hint="eastAsia" w:ascii="宋体" w:hAnsi="宋体" w:cs="宋体"/>
                <w:sz w:val="24"/>
              </w:rPr>
              <w:t>投标截止时间10日前提出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exact"/>
        </w:trPr>
        <w:tc>
          <w:tcPr>
            <w:tcW w:w="2300" w:type="dxa"/>
            <w:vAlign w:val="center"/>
          </w:tcPr>
          <w:p>
            <w:pPr>
              <w:jc w:val="center"/>
              <w:rPr>
                <w:rFonts w:ascii="宋体" w:hAnsi="宋体" w:cs="宋体"/>
                <w:sz w:val="24"/>
              </w:rPr>
            </w:pPr>
            <w:r>
              <w:rPr>
                <w:rFonts w:hint="eastAsia" w:ascii="宋体" w:hAnsi="宋体" w:cs="宋体"/>
                <w:sz w:val="24"/>
              </w:rPr>
              <w:t>招标人书面澄清的时间</w:t>
            </w:r>
          </w:p>
        </w:tc>
        <w:tc>
          <w:tcPr>
            <w:tcW w:w="7088" w:type="dxa"/>
            <w:vAlign w:val="center"/>
          </w:tcPr>
          <w:p>
            <w:pPr>
              <w:rPr>
                <w:rFonts w:ascii="宋体" w:hAnsi="宋体" w:cs="宋体"/>
                <w:sz w:val="24"/>
              </w:rPr>
            </w:pPr>
            <w:r>
              <w:rPr>
                <w:rFonts w:hint="eastAsia" w:ascii="宋体" w:hAnsi="宋体" w:cs="宋体"/>
                <w:sz w:val="24"/>
              </w:rPr>
              <w:t>收到异议之日起3日内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exact"/>
        </w:trPr>
        <w:tc>
          <w:tcPr>
            <w:tcW w:w="2300" w:type="dxa"/>
            <w:vAlign w:val="center"/>
          </w:tcPr>
          <w:p>
            <w:pPr>
              <w:jc w:val="center"/>
              <w:rPr>
                <w:rFonts w:ascii="宋体" w:hAnsi="宋体" w:cs="宋体"/>
                <w:sz w:val="24"/>
              </w:rPr>
            </w:pPr>
            <w:r>
              <w:rPr>
                <w:rFonts w:hint="eastAsia" w:ascii="宋体" w:hAnsi="宋体" w:cs="宋体"/>
                <w:sz w:val="24"/>
              </w:rPr>
              <w:t>保证金</w:t>
            </w:r>
          </w:p>
        </w:tc>
        <w:tc>
          <w:tcPr>
            <w:tcW w:w="7088" w:type="dxa"/>
            <w:vAlign w:val="center"/>
          </w:tcPr>
          <w:p>
            <w:pPr>
              <w:pStyle w:val="2"/>
            </w:pPr>
            <w:r>
              <w:rPr>
                <w:rFonts w:hint="eastAsia"/>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jc w:val="center"/>
              <w:rPr>
                <w:rFonts w:ascii="宋体" w:hAnsi="宋体" w:cs="宋体"/>
                <w:sz w:val="24"/>
              </w:rPr>
            </w:pPr>
            <w:r>
              <w:rPr>
                <w:rFonts w:hint="eastAsia" w:ascii="宋体" w:hAnsi="宋体" w:cs="宋体"/>
                <w:sz w:val="24"/>
              </w:rPr>
              <w:t>投标文件有效期</w:t>
            </w:r>
          </w:p>
        </w:tc>
        <w:tc>
          <w:tcPr>
            <w:tcW w:w="7088" w:type="dxa"/>
            <w:vAlign w:val="center"/>
          </w:tcPr>
          <w:p>
            <w:pPr>
              <w:rPr>
                <w:rFonts w:ascii="宋体" w:hAnsi="宋体" w:cs="宋体"/>
                <w:sz w:val="24"/>
              </w:rPr>
            </w:pPr>
            <w:r>
              <w:rPr>
                <w:rFonts w:hint="eastAsia" w:ascii="宋体" w:hAnsi="宋体" w:cs="宋体"/>
                <w:sz w:val="24"/>
              </w:rPr>
              <w:t>招标截止日后90天内有效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spacing w:line="360" w:lineRule="auto"/>
              <w:jc w:val="center"/>
              <w:rPr>
                <w:rFonts w:ascii="宋体" w:hAnsi="宋体" w:cs="宋体"/>
                <w:sz w:val="24"/>
              </w:rPr>
            </w:pPr>
            <w:r>
              <w:rPr>
                <w:rFonts w:hint="eastAsia" w:ascii="宋体" w:hAnsi="宋体" w:cs="宋体"/>
                <w:sz w:val="24"/>
              </w:rPr>
              <w:t>交货期</w:t>
            </w:r>
          </w:p>
        </w:tc>
        <w:tc>
          <w:tcPr>
            <w:tcW w:w="7088" w:type="dxa"/>
            <w:vAlign w:val="center"/>
          </w:tcPr>
          <w:p>
            <w:pPr>
              <w:rPr>
                <w:rFonts w:ascii="宋体" w:hAnsi="宋体" w:cs="宋体"/>
                <w:sz w:val="24"/>
              </w:rPr>
            </w:pPr>
            <w:r>
              <w:rPr>
                <w:rFonts w:hint="eastAsia" w:ascii="宋体" w:hAnsi="宋体" w:cs="宋体"/>
                <w:sz w:val="24"/>
              </w:rPr>
              <w:t>20日历天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spacing w:line="360" w:lineRule="auto"/>
              <w:jc w:val="center"/>
              <w:rPr>
                <w:rFonts w:ascii="宋体" w:hAnsi="宋体" w:cs="宋体"/>
                <w:sz w:val="24"/>
              </w:rPr>
            </w:pPr>
            <w:r>
              <w:rPr>
                <w:rFonts w:hint="eastAsia" w:ascii="宋体" w:hAnsi="宋体" w:cs="宋体"/>
                <w:sz w:val="24"/>
              </w:rPr>
              <w:t>货物质量</w:t>
            </w:r>
          </w:p>
        </w:tc>
        <w:tc>
          <w:tcPr>
            <w:tcW w:w="7088" w:type="dxa"/>
            <w:vAlign w:val="center"/>
          </w:tcPr>
          <w:p>
            <w:pPr>
              <w:rPr>
                <w:rFonts w:ascii="宋体" w:hAnsi="宋体" w:cs="宋体"/>
                <w:sz w:val="24"/>
              </w:rPr>
            </w:pPr>
            <w:r>
              <w:rPr>
                <w:rFonts w:hint="eastAsia" w:ascii="宋体" w:hAnsi="宋体" w:cs="宋体"/>
                <w:sz w:val="24"/>
              </w:rPr>
              <w:t>符合规范要求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7" w:hRule="exact"/>
        </w:trPr>
        <w:tc>
          <w:tcPr>
            <w:tcW w:w="2300" w:type="dxa"/>
            <w:vAlign w:val="center"/>
          </w:tcPr>
          <w:p>
            <w:pPr>
              <w:jc w:val="center"/>
              <w:rPr>
                <w:rFonts w:ascii="宋体" w:hAnsi="宋体" w:cs="宋体"/>
                <w:sz w:val="24"/>
              </w:rPr>
            </w:pPr>
            <w:r>
              <w:rPr>
                <w:rFonts w:hint="eastAsia" w:ascii="宋体" w:hAnsi="宋体" w:cs="宋体"/>
                <w:sz w:val="24"/>
              </w:rPr>
              <w:t>近三年完成的项目的年份要求</w:t>
            </w:r>
          </w:p>
        </w:tc>
        <w:tc>
          <w:tcPr>
            <w:tcW w:w="7088" w:type="dxa"/>
            <w:vAlign w:val="center"/>
          </w:tcPr>
          <w:p>
            <w:pPr>
              <w:rPr>
                <w:rFonts w:ascii="宋体" w:hAnsi="宋体" w:cs="宋体"/>
                <w:sz w:val="24"/>
              </w:rPr>
            </w:pPr>
            <w:r>
              <w:rPr>
                <w:rFonts w:hint="eastAsia" w:ascii="宋体" w:hAnsi="宋体" w:cs="宋体"/>
                <w:sz w:val="24"/>
              </w:rPr>
              <w:t>2018年～至今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8" w:hRule="exact"/>
        </w:trPr>
        <w:tc>
          <w:tcPr>
            <w:tcW w:w="2300" w:type="dxa"/>
            <w:vAlign w:val="center"/>
          </w:tcPr>
          <w:p>
            <w:pPr>
              <w:autoSpaceDE w:val="0"/>
              <w:autoSpaceDN w:val="0"/>
              <w:jc w:val="center"/>
              <w:rPr>
                <w:rFonts w:ascii="宋体" w:hAnsi="宋体" w:cs="宋体"/>
                <w:kern w:val="0"/>
                <w:sz w:val="24"/>
              </w:rPr>
            </w:pPr>
            <w:r>
              <w:rPr>
                <w:rFonts w:hint="eastAsia" w:ascii="宋体" w:hAnsi="宋体" w:cs="宋体"/>
                <w:kern w:val="0"/>
                <w:sz w:val="24"/>
              </w:rPr>
              <w:t>装订要求</w:t>
            </w:r>
          </w:p>
        </w:tc>
        <w:tc>
          <w:tcPr>
            <w:tcW w:w="7088" w:type="dxa"/>
            <w:vAlign w:val="center"/>
          </w:tcPr>
          <w:p>
            <w:pPr>
              <w:autoSpaceDE w:val="0"/>
              <w:autoSpaceDN w:val="0"/>
              <w:rPr>
                <w:rFonts w:ascii="宋体" w:hAnsi="宋体" w:cs="宋体"/>
                <w:kern w:val="0"/>
                <w:sz w:val="24"/>
              </w:rPr>
            </w:pPr>
            <w:r>
              <w:rPr>
                <w:rFonts w:hint="eastAsia" w:ascii="宋体" w:hAnsi="宋体" w:cs="宋体"/>
                <w:kern w:val="0"/>
                <w:sz w:val="24"/>
              </w:rPr>
              <w:t>投标文件正本装订成册（胶装），一律采用A4纸张，并逐页连续标注页码，并在书脊处注明项目名称及投标人名称。投标人不允许活页夹装订，由于装订原因造成投标文件的散落、丢失等，责任自负。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jc w:val="center"/>
              <w:rPr>
                <w:rFonts w:ascii="宋体" w:hAnsi="宋体" w:cs="宋体"/>
                <w:sz w:val="24"/>
              </w:rPr>
            </w:pPr>
            <w:r>
              <w:rPr>
                <w:rFonts w:hint="eastAsia" w:ascii="宋体" w:hAnsi="宋体" w:cs="宋体"/>
                <w:sz w:val="24"/>
              </w:rPr>
              <w:t>投标文件份数</w:t>
            </w:r>
          </w:p>
        </w:tc>
        <w:tc>
          <w:tcPr>
            <w:tcW w:w="7088" w:type="dxa"/>
            <w:vAlign w:val="center"/>
          </w:tcPr>
          <w:p>
            <w:pPr>
              <w:rPr>
                <w:rFonts w:ascii="宋体" w:hAnsi="宋体" w:cs="宋体"/>
                <w:sz w:val="24"/>
              </w:rPr>
            </w:pPr>
            <w:r>
              <w:rPr>
                <w:rFonts w:hint="eastAsia" w:ascii="宋体" w:hAnsi="宋体" w:cs="宋体"/>
                <w:sz w:val="24"/>
              </w:rPr>
              <w:t>正本壹份、副本贰份、电子版贰份（U盘）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exact"/>
        </w:trPr>
        <w:tc>
          <w:tcPr>
            <w:tcW w:w="2300" w:type="dxa"/>
            <w:vAlign w:val="center"/>
          </w:tcPr>
          <w:p>
            <w:pPr>
              <w:jc w:val="center"/>
              <w:rPr>
                <w:rFonts w:ascii="宋体" w:hAnsi="宋体" w:cs="宋体"/>
                <w:sz w:val="24"/>
              </w:rPr>
            </w:pPr>
            <w:r>
              <w:rPr>
                <w:rFonts w:hint="eastAsia" w:ascii="宋体" w:hAnsi="宋体" w:cs="宋体"/>
                <w:sz w:val="24"/>
              </w:rPr>
              <w:t>是否允许递交备选投标方案</w:t>
            </w:r>
          </w:p>
        </w:tc>
        <w:tc>
          <w:tcPr>
            <w:tcW w:w="7088" w:type="dxa"/>
            <w:vAlign w:val="center"/>
          </w:tcPr>
          <w:p>
            <w:pPr>
              <w:jc w:val="left"/>
              <w:rPr>
                <w:rFonts w:ascii="宋体" w:hAnsi="宋体" w:cs="宋体"/>
                <w:sz w:val="24"/>
              </w:rPr>
            </w:pPr>
            <w:r>
              <w:rPr>
                <w:rFonts w:hint="eastAsia" w:ascii="宋体" w:hAnsi="宋体" w:cs="宋体"/>
                <w:sz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exact"/>
        </w:trPr>
        <w:tc>
          <w:tcPr>
            <w:tcW w:w="2300" w:type="dxa"/>
            <w:vAlign w:val="center"/>
          </w:tcPr>
          <w:p>
            <w:pPr>
              <w:jc w:val="center"/>
              <w:rPr>
                <w:rFonts w:ascii="宋体" w:hAnsi="宋体" w:cs="宋体"/>
                <w:sz w:val="24"/>
              </w:rPr>
            </w:pPr>
            <w:r>
              <w:rPr>
                <w:rFonts w:hint="eastAsia" w:ascii="宋体" w:hAnsi="宋体" w:cs="宋体"/>
                <w:sz w:val="24"/>
              </w:rPr>
              <w:t>递交投标文件地点</w:t>
            </w:r>
          </w:p>
        </w:tc>
        <w:tc>
          <w:tcPr>
            <w:tcW w:w="7088" w:type="dxa"/>
            <w:vAlign w:val="center"/>
          </w:tcPr>
          <w:p>
            <w:pPr>
              <w:rPr>
                <w:rFonts w:ascii="宋体" w:hAnsi="宋体" w:cs="宋体"/>
                <w:sz w:val="24"/>
                <w:u w:val="single"/>
              </w:rPr>
            </w:pPr>
            <w:r>
              <w:rPr>
                <w:rFonts w:hint="eastAsia" w:ascii="宋体" w:hAnsi="宋体" w:cs="宋体"/>
                <w:sz w:val="24"/>
              </w:rPr>
              <w:t>西安市未央区凤城七路明丰国际22层华诚博远工程咨询有限公司会议室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exact"/>
        </w:trPr>
        <w:tc>
          <w:tcPr>
            <w:tcW w:w="2300" w:type="dxa"/>
            <w:vAlign w:val="center"/>
          </w:tcPr>
          <w:p>
            <w:pPr>
              <w:ind w:left="1200" w:hanging="1200" w:hangingChars="500"/>
              <w:jc w:val="left"/>
              <w:rPr>
                <w:rFonts w:ascii="宋体" w:hAnsi="宋体" w:cs="宋体"/>
                <w:sz w:val="24"/>
              </w:rPr>
            </w:pPr>
            <w:r>
              <w:rPr>
                <w:rFonts w:hint="eastAsia" w:ascii="宋体" w:hAnsi="宋体" w:cs="宋体"/>
                <w:sz w:val="24"/>
              </w:rPr>
              <w:t>开标时间及地点</w:t>
            </w:r>
          </w:p>
        </w:tc>
        <w:tc>
          <w:tcPr>
            <w:tcW w:w="7088" w:type="dxa"/>
            <w:vAlign w:val="center"/>
          </w:tcPr>
          <w:p>
            <w:pPr>
              <w:ind w:left="1200" w:hanging="1200" w:hangingChars="500"/>
              <w:rPr>
                <w:rFonts w:ascii="宋体" w:hAnsi="宋体" w:cs="宋体"/>
                <w:sz w:val="24"/>
              </w:rPr>
            </w:pPr>
            <w:r>
              <w:rPr>
                <w:rFonts w:hint="eastAsia" w:ascii="宋体" w:hAnsi="宋体" w:cs="宋体"/>
                <w:sz w:val="24"/>
              </w:rPr>
              <w:t>开标地点：西安市未央区凤城七路明丰国际22层华诚博远工程咨询有限公司会议室</w:t>
            </w:r>
          </w:p>
          <w:p>
            <w:pPr>
              <w:ind w:left="1200" w:hanging="1200" w:hangingChars="500"/>
              <w:rPr>
                <w:rFonts w:ascii="宋体" w:hAnsi="宋体" w:cs="宋体"/>
                <w:sz w:val="24"/>
              </w:rPr>
            </w:pPr>
            <w:r>
              <w:rPr>
                <w:rFonts w:hint="eastAsia" w:ascii="宋体" w:hAnsi="宋体" w:cs="宋体"/>
                <w:sz w:val="24"/>
              </w:rPr>
              <w:t>开标时间：2021年03月22日上午 09时30分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2" w:hRule="exact"/>
        </w:trPr>
        <w:tc>
          <w:tcPr>
            <w:tcW w:w="2300" w:type="dxa"/>
            <w:vAlign w:val="center"/>
          </w:tcPr>
          <w:p>
            <w:pPr>
              <w:ind w:left="1200" w:hanging="1200" w:hangingChars="500"/>
              <w:jc w:val="left"/>
              <w:rPr>
                <w:rFonts w:ascii="宋体" w:hAnsi="宋体" w:cs="宋体"/>
                <w:sz w:val="24"/>
              </w:rPr>
            </w:pPr>
            <w:r>
              <w:rPr>
                <w:rFonts w:hint="eastAsia" w:ascii="宋体" w:hAnsi="宋体" w:cs="宋体"/>
                <w:sz w:val="24"/>
              </w:rPr>
              <w:t>是否退还投标文件</w:t>
            </w:r>
          </w:p>
        </w:tc>
        <w:tc>
          <w:tcPr>
            <w:tcW w:w="7088" w:type="dxa"/>
            <w:vAlign w:val="center"/>
          </w:tcPr>
          <w:p>
            <w:pPr>
              <w:ind w:left="1200" w:hanging="1200" w:hangingChars="500"/>
              <w:rPr>
                <w:rFonts w:ascii="宋体" w:hAnsi="宋体" w:cs="宋体"/>
                <w:sz w:val="24"/>
                <w:highlight w:val="yellow"/>
              </w:rPr>
            </w:pPr>
            <w:r>
              <w:rPr>
                <w:rFonts w:hint="eastAsia" w:ascii="宋体" w:hAnsi="宋体" w:cs="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exact"/>
        </w:trPr>
        <w:tc>
          <w:tcPr>
            <w:tcW w:w="2300" w:type="dxa"/>
            <w:vAlign w:val="center"/>
          </w:tcPr>
          <w:p>
            <w:pPr>
              <w:jc w:val="center"/>
              <w:rPr>
                <w:rFonts w:ascii="宋体" w:hAnsi="宋体" w:cs="宋体"/>
                <w:sz w:val="24"/>
              </w:rPr>
            </w:pPr>
            <w:r>
              <w:rPr>
                <w:rFonts w:hint="eastAsia" w:ascii="宋体" w:hAnsi="宋体" w:cs="宋体"/>
                <w:sz w:val="24"/>
              </w:rPr>
              <w:t>评标委员会</w:t>
            </w:r>
          </w:p>
        </w:tc>
        <w:tc>
          <w:tcPr>
            <w:tcW w:w="7088" w:type="dxa"/>
            <w:vAlign w:val="center"/>
          </w:tcPr>
          <w:p>
            <w:pPr>
              <w:rPr>
                <w:rFonts w:ascii="宋体" w:hAnsi="宋体" w:cs="宋体"/>
                <w:sz w:val="24"/>
              </w:rPr>
            </w:pPr>
            <w:r>
              <w:rPr>
                <w:rFonts w:hint="eastAsia" w:ascii="宋体" w:hAnsi="宋体" w:cs="宋体"/>
                <w:sz w:val="24"/>
              </w:rPr>
              <w:t>评标委员会构成：5人，其中招标人代表1人，专家4人；</w:t>
            </w:r>
          </w:p>
          <w:p>
            <w:pPr>
              <w:rPr>
                <w:rFonts w:ascii="宋体" w:hAnsi="宋体" w:cs="宋体"/>
                <w:sz w:val="24"/>
              </w:rPr>
            </w:pPr>
            <w:r>
              <w:rPr>
                <w:rFonts w:hint="eastAsia" w:ascii="宋体" w:hAnsi="宋体" w:cs="宋体"/>
                <w:sz w:val="24"/>
              </w:rPr>
              <w:t>评标专家确定方式：由招标人在专家库中随机抽取相关方面的技术、经济专家。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300" w:type="dxa"/>
            <w:vAlign w:val="center"/>
          </w:tcPr>
          <w:p>
            <w:pPr>
              <w:jc w:val="center"/>
              <w:rPr>
                <w:rFonts w:ascii="宋体" w:hAnsi="宋体" w:cs="宋体"/>
                <w:sz w:val="24"/>
              </w:rPr>
            </w:pPr>
            <w:r>
              <w:rPr>
                <w:rFonts w:hint="eastAsia" w:ascii="宋体" w:hAnsi="宋体" w:cs="宋体"/>
                <w:sz w:val="24"/>
              </w:rPr>
              <w:t>评标办法</w:t>
            </w:r>
          </w:p>
        </w:tc>
        <w:tc>
          <w:tcPr>
            <w:tcW w:w="7088" w:type="dxa"/>
            <w:vAlign w:val="center"/>
          </w:tcPr>
          <w:p>
            <w:pPr>
              <w:rPr>
                <w:rFonts w:ascii="宋体" w:hAnsi="宋体" w:cs="宋体"/>
                <w:sz w:val="24"/>
              </w:rPr>
            </w:pPr>
            <w:r>
              <w:rPr>
                <w:rFonts w:hint="eastAsia" w:ascii="宋体" w:hAnsi="宋体" w:cs="宋体"/>
                <w:sz w:val="24"/>
              </w:rPr>
              <w:t>综合评估法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8" w:hRule="exact"/>
        </w:trPr>
        <w:tc>
          <w:tcPr>
            <w:tcW w:w="2300" w:type="dxa"/>
            <w:vAlign w:val="center"/>
          </w:tcPr>
          <w:p>
            <w:pPr>
              <w:jc w:val="center"/>
              <w:rPr>
                <w:rFonts w:ascii="宋体" w:hAnsi="宋体" w:cs="宋体"/>
                <w:sz w:val="24"/>
              </w:rPr>
            </w:pPr>
            <w:r>
              <w:rPr>
                <w:rFonts w:hint="eastAsia" w:ascii="宋体" w:hAnsi="宋体" w:cs="宋体"/>
                <w:sz w:val="24"/>
              </w:rPr>
              <w:t>公示</w:t>
            </w:r>
          </w:p>
        </w:tc>
        <w:tc>
          <w:tcPr>
            <w:tcW w:w="7088" w:type="dxa"/>
            <w:vAlign w:val="center"/>
          </w:tcPr>
          <w:p>
            <w:pPr>
              <w:rPr>
                <w:rFonts w:ascii="宋体" w:hAnsi="宋体" w:cs="宋体"/>
                <w:sz w:val="24"/>
              </w:rPr>
            </w:pPr>
            <w:r>
              <w:rPr>
                <w:rFonts w:hint="eastAsia" w:ascii="宋体" w:hAnsi="宋体" w:cs="宋体"/>
                <w:sz w:val="24"/>
              </w:rPr>
              <w:t>陕西省政府采购网进行公示，公示期1个工作日.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exact"/>
        </w:trPr>
        <w:tc>
          <w:tcPr>
            <w:tcW w:w="2300" w:type="dxa"/>
            <w:vAlign w:val="center"/>
          </w:tcPr>
          <w:p>
            <w:pPr>
              <w:jc w:val="center"/>
              <w:rPr>
                <w:rFonts w:ascii="宋体" w:hAnsi="宋体" w:cs="宋体"/>
                <w:b/>
                <w:bCs/>
                <w:sz w:val="24"/>
              </w:rPr>
            </w:pPr>
            <w:r>
              <w:rPr>
                <w:rFonts w:hint="eastAsia" w:ascii="宋体" w:hAnsi="宋体" w:cs="宋体"/>
                <w:b/>
                <w:bCs/>
                <w:sz w:val="24"/>
              </w:rPr>
              <w:t>开标需要携带原件</w:t>
            </w:r>
          </w:p>
        </w:tc>
        <w:tc>
          <w:tcPr>
            <w:tcW w:w="7088" w:type="dxa"/>
            <w:vAlign w:val="center"/>
          </w:tcPr>
          <w:p>
            <w:pPr>
              <w:rPr>
                <w:rFonts w:ascii="宋体" w:hAnsi="宋体" w:cs="宋体"/>
                <w:b/>
                <w:bCs/>
                <w:sz w:val="24"/>
              </w:rPr>
            </w:pPr>
            <w:r>
              <w:rPr>
                <w:rFonts w:hint="eastAsia" w:ascii="宋体" w:hAnsi="宋体" w:cs="宋体"/>
                <w:b/>
                <w:bCs/>
                <w:sz w:val="24"/>
              </w:rPr>
              <w:t>法定代表人身份证原件或其授权委托人的身份证原件及授权委托书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3" w:hRule="exact"/>
        </w:trPr>
        <w:tc>
          <w:tcPr>
            <w:tcW w:w="2300" w:type="dxa"/>
            <w:vAlign w:val="center"/>
          </w:tcPr>
          <w:p>
            <w:pPr>
              <w:jc w:val="center"/>
              <w:rPr>
                <w:rFonts w:ascii="宋体" w:hAnsi="宋体" w:cs="宋体"/>
                <w:sz w:val="24"/>
              </w:rPr>
            </w:pPr>
            <w:r>
              <w:rPr>
                <w:rFonts w:hint="eastAsia" w:ascii="宋体" w:hAnsi="宋体" w:cs="宋体"/>
                <w:sz w:val="24"/>
              </w:rPr>
              <w:t>招标代理服务费</w:t>
            </w:r>
          </w:p>
        </w:tc>
        <w:tc>
          <w:tcPr>
            <w:tcW w:w="7088" w:type="dxa"/>
            <w:vAlign w:val="center"/>
          </w:tcPr>
          <w:p>
            <w:pPr>
              <w:rPr>
                <w:rFonts w:ascii="宋体" w:hAnsi="宋体" w:cs="宋体"/>
                <w:sz w:val="24"/>
              </w:rPr>
            </w:pPr>
            <w:r>
              <w:rPr>
                <w:rFonts w:hint="eastAsia" w:ascii="宋体" w:hAnsi="宋体" w:cs="宋体"/>
                <w:sz w:val="24"/>
              </w:rPr>
              <w:t>本项目招标代理服务费由中标人向采购代理机构支付，中标服务费按国家发展</w:t>
            </w:r>
            <w:r>
              <w:rPr>
                <w:rFonts w:hint="eastAsia" w:ascii="宋体" w:hAnsi="宋体" w:cs="宋体"/>
                <w:sz w:val="24"/>
                <w:lang w:val="en-US" w:eastAsia="zh-CN"/>
              </w:rPr>
              <w:t>和</w:t>
            </w:r>
            <w:bookmarkStart w:id="7" w:name="_GoBack"/>
            <w:bookmarkEnd w:id="7"/>
            <w:r>
              <w:rPr>
                <w:rFonts w:hint="eastAsia" w:ascii="宋体" w:hAnsi="宋体" w:cs="宋体"/>
                <w:sz w:val="24"/>
              </w:rPr>
              <w:t>改革委员会《招标代理服务收费暂行办法》（计价格[2002]1980号）文件规定标准计取。</w:t>
            </w:r>
          </w:p>
        </w:tc>
      </w:tr>
    </w:tbl>
    <w:p>
      <w:pPr>
        <w:rPr>
          <w:rFonts w:ascii="宋体" w:hAnsi="宋体" w:cs="宋体"/>
          <w:sz w:val="28"/>
          <w:szCs w:val="28"/>
        </w:rPr>
      </w:pPr>
    </w:p>
    <w:p>
      <w:pPr>
        <w:spacing w:line="360" w:lineRule="auto"/>
        <w:jc w:val="center"/>
        <w:rPr>
          <w:rFonts w:ascii="宋体" w:hAnsi="宋体" w:cs="宋体"/>
          <w:sz w:val="32"/>
          <w:szCs w:val="32"/>
        </w:rPr>
      </w:pPr>
      <w:r>
        <w:rPr>
          <w:rFonts w:hint="eastAsia" w:ascii="宋体" w:hAnsi="宋体" w:cs="宋体"/>
          <w:sz w:val="28"/>
          <w:szCs w:val="28"/>
        </w:rPr>
        <w:br w:type="page"/>
      </w:r>
      <w:r>
        <w:rPr>
          <w:rFonts w:hint="eastAsia" w:ascii="宋体" w:hAnsi="宋体" w:cs="宋体"/>
          <w:sz w:val="32"/>
          <w:szCs w:val="32"/>
        </w:rPr>
        <w:t>二、总则</w:t>
      </w:r>
    </w:p>
    <w:p>
      <w:pPr>
        <w:spacing w:line="360" w:lineRule="auto"/>
        <w:rPr>
          <w:rFonts w:ascii="宋体" w:hAnsi="宋体" w:cs="宋体"/>
          <w:sz w:val="24"/>
        </w:rPr>
      </w:pPr>
      <w:r>
        <w:rPr>
          <w:rFonts w:hint="eastAsia" w:ascii="宋体" w:hAnsi="宋体" w:cs="宋体"/>
          <w:sz w:val="24"/>
        </w:rPr>
        <w:t>1. 项目名称：阎良区振兴聚宝小学教育教学设备采购项目</w:t>
      </w:r>
    </w:p>
    <w:p>
      <w:pPr>
        <w:spacing w:line="360" w:lineRule="auto"/>
        <w:rPr>
          <w:rFonts w:ascii="宋体" w:hAnsi="宋体" w:cs="宋体"/>
          <w:sz w:val="24"/>
        </w:rPr>
      </w:pPr>
      <w:r>
        <w:rPr>
          <w:rFonts w:hint="eastAsia" w:ascii="宋体" w:hAnsi="宋体" w:cs="宋体"/>
          <w:sz w:val="24"/>
        </w:rPr>
        <w:t>2. 招标人：西安市阎良区教育局</w:t>
      </w:r>
    </w:p>
    <w:p>
      <w:pPr>
        <w:spacing w:line="360" w:lineRule="auto"/>
        <w:rPr>
          <w:rFonts w:ascii="宋体" w:hAnsi="宋体" w:cs="宋体"/>
          <w:sz w:val="24"/>
        </w:rPr>
      </w:pPr>
      <w:r>
        <w:rPr>
          <w:rFonts w:hint="eastAsia" w:ascii="宋体" w:hAnsi="宋体" w:cs="宋体"/>
          <w:sz w:val="24"/>
        </w:rPr>
        <w:t>3.资格审查：本项目实行资格后审，在投标文件递交截止时间后，将对各投标人进行资格审查，资格审查采用合格制。在资格审查过程中，若需要各投标人提供原件进行查询，各投标人须无条件响应。</w:t>
      </w:r>
    </w:p>
    <w:p>
      <w:pPr>
        <w:spacing w:line="360" w:lineRule="auto"/>
        <w:rPr>
          <w:rFonts w:ascii="宋体" w:hAnsi="宋体" w:cs="宋体"/>
          <w:sz w:val="24"/>
        </w:rPr>
      </w:pPr>
      <w:r>
        <w:rPr>
          <w:rFonts w:hint="eastAsia" w:ascii="宋体" w:hAnsi="宋体" w:cs="宋体"/>
          <w:sz w:val="24"/>
        </w:rPr>
        <w:t>4. 投标费用：投标人应承担其编制投标文件与递交投标文件所涉及的一切费用，不管招标结果如何，招标人对上述费用不负任何责任。</w:t>
      </w:r>
    </w:p>
    <w:p>
      <w:pPr>
        <w:spacing w:line="360" w:lineRule="auto"/>
        <w:jc w:val="center"/>
        <w:rPr>
          <w:rFonts w:ascii="宋体" w:hAnsi="宋体" w:cs="宋体"/>
          <w:sz w:val="24"/>
        </w:rPr>
      </w:pPr>
    </w:p>
    <w:p>
      <w:pPr>
        <w:spacing w:line="360" w:lineRule="auto"/>
        <w:jc w:val="center"/>
        <w:rPr>
          <w:rFonts w:ascii="宋体" w:hAnsi="宋体" w:cs="宋体"/>
          <w:sz w:val="32"/>
          <w:szCs w:val="32"/>
        </w:rPr>
      </w:pPr>
      <w:r>
        <w:rPr>
          <w:rFonts w:hint="eastAsia" w:ascii="宋体" w:hAnsi="宋体" w:cs="宋体"/>
          <w:sz w:val="32"/>
          <w:szCs w:val="32"/>
        </w:rPr>
        <w:t>三、招标文件</w:t>
      </w:r>
    </w:p>
    <w:p>
      <w:pPr>
        <w:spacing w:line="360" w:lineRule="auto"/>
        <w:rPr>
          <w:rFonts w:ascii="宋体" w:hAnsi="宋体" w:cs="宋体"/>
          <w:sz w:val="24"/>
        </w:rPr>
      </w:pPr>
      <w:r>
        <w:rPr>
          <w:rFonts w:hint="eastAsia" w:ascii="宋体" w:hAnsi="宋体" w:cs="宋体"/>
          <w:sz w:val="24"/>
        </w:rPr>
        <w:t>5. 招标文件的组成</w:t>
      </w:r>
    </w:p>
    <w:p>
      <w:pPr>
        <w:spacing w:line="360" w:lineRule="auto"/>
        <w:ind w:firstLine="480" w:firstLineChars="200"/>
        <w:rPr>
          <w:rFonts w:ascii="宋体" w:hAnsi="宋体" w:cs="宋体"/>
          <w:sz w:val="24"/>
        </w:rPr>
      </w:pPr>
      <w:r>
        <w:rPr>
          <w:rFonts w:hint="eastAsia" w:ascii="宋体" w:hAnsi="宋体" w:cs="宋体"/>
          <w:sz w:val="24"/>
        </w:rPr>
        <w:t>5.1 招标文件包括本文件及所有修改澄清通知。</w:t>
      </w:r>
    </w:p>
    <w:p>
      <w:pPr>
        <w:spacing w:line="360" w:lineRule="auto"/>
        <w:ind w:firstLine="480" w:firstLineChars="200"/>
        <w:rPr>
          <w:rFonts w:ascii="宋体" w:hAnsi="宋体" w:cs="宋体"/>
          <w:sz w:val="24"/>
        </w:rPr>
      </w:pPr>
      <w:r>
        <w:rPr>
          <w:rFonts w:hint="eastAsia" w:ascii="宋体" w:hAnsi="宋体" w:cs="宋体"/>
          <w:sz w:val="24"/>
        </w:rPr>
        <w:t>5.2 投标人应认真审阅招标文件所有的内容，如果投标人的投标文件不能实质性地响应招标文件要求，责任由投标人自负。</w:t>
      </w:r>
    </w:p>
    <w:p>
      <w:pPr>
        <w:spacing w:line="360" w:lineRule="auto"/>
        <w:rPr>
          <w:rFonts w:ascii="宋体" w:hAnsi="宋体" w:cs="宋体"/>
          <w:sz w:val="24"/>
        </w:rPr>
      </w:pPr>
      <w:r>
        <w:rPr>
          <w:rFonts w:hint="eastAsia" w:ascii="宋体" w:hAnsi="宋体" w:cs="宋体"/>
          <w:sz w:val="24"/>
        </w:rPr>
        <w:t>6. 招标文件的澄清</w:t>
      </w:r>
    </w:p>
    <w:p>
      <w:pPr>
        <w:spacing w:line="360" w:lineRule="auto"/>
        <w:ind w:firstLine="480" w:firstLineChars="200"/>
        <w:rPr>
          <w:rFonts w:ascii="宋体" w:hAnsi="宋体" w:cs="宋体"/>
          <w:sz w:val="24"/>
        </w:rPr>
      </w:pPr>
      <w:r>
        <w:rPr>
          <w:rFonts w:hint="eastAsia" w:ascii="宋体" w:hAnsi="宋体" w:cs="宋体"/>
          <w:sz w:val="24"/>
        </w:rPr>
        <w:t>6.1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spacing w:line="360" w:lineRule="auto"/>
        <w:ind w:firstLine="480" w:firstLineChars="200"/>
        <w:rPr>
          <w:rFonts w:ascii="宋体" w:hAnsi="宋体" w:cs="宋体"/>
          <w:sz w:val="24"/>
        </w:rPr>
      </w:pPr>
      <w:r>
        <w:rPr>
          <w:rFonts w:hint="eastAsia" w:ascii="宋体" w:hAnsi="宋体" w:cs="宋体"/>
          <w:sz w:val="24"/>
        </w:rPr>
        <w:t xml:space="preserve">6.2 招标文件的澄清将以书面形式发给所有购买招标文件的投标人，但不指明澄清问题的来源。如果澄清发出的时间距投标人须知前附表规定的投标截止时间不足15天，并且澄清内容影响投标文件编制的，将相应延长投标截止时间。 </w:t>
      </w:r>
    </w:p>
    <w:p>
      <w:pPr>
        <w:spacing w:line="360" w:lineRule="auto"/>
        <w:rPr>
          <w:rFonts w:ascii="宋体" w:hAnsi="宋体" w:cs="宋体"/>
          <w:sz w:val="24"/>
        </w:rPr>
      </w:pPr>
      <w:r>
        <w:rPr>
          <w:rFonts w:hint="eastAsia" w:ascii="宋体" w:hAnsi="宋体" w:cs="宋体"/>
          <w:sz w:val="24"/>
        </w:rPr>
        <w:t>7. 招标文件的修改</w:t>
      </w:r>
    </w:p>
    <w:p>
      <w:pPr>
        <w:spacing w:line="360" w:lineRule="auto"/>
        <w:ind w:firstLine="480" w:firstLineChars="200"/>
        <w:rPr>
          <w:rFonts w:ascii="宋体" w:hAnsi="宋体" w:cs="宋体"/>
          <w:sz w:val="24"/>
        </w:rPr>
      </w:pPr>
      <w:r>
        <w:rPr>
          <w:rFonts w:hint="eastAsia" w:ascii="宋体" w:hAnsi="宋体" w:cs="宋体"/>
          <w:sz w:val="24"/>
        </w:rPr>
        <w:t>7.1 招标人可以书面形式修改招标文件，并通知所有已购买招标文件的投标人。但如果修改招标文件的时间距投标截止时间不足15天，并且修改内容影响投标文件编制的，将相应延长投标截止时间。</w:t>
      </w:r>
    </w:p>
    <w:p>
      <w:pPr>
        <w:spacing w:line="360" w:lineRule="auto"/>
        <w:ind w:firstLine="480" w:firstLineChars="200"/>
        <w:rPr>
          <w:rFonts w:ascii="宋体" w:hAnsi="宋体" w:cs="宋体"/>
          <w:sz w:val="24"/>
        </w:rPr>
      </w:pPr>
      <w:r>
        <w:rPr>
          <w:rFonts w:hint="eastAsia" w:ascii="宋体" w:hAnsi="宋体" w:cs="宋体"/>
          <w:sz w:val="24"/>
        </w:rPr>
        <w:t>7.2 招标文件、修改通知内容相互矛盾时，以最后发出的通知为准。</w:t>
      </w:r>
    </w:p>
    <w:p>
      <w:pPr>
        <w:spacing w:line="360" w:lineRule="auto"/>
        <w:rPr>
          <w:rFonts w:ascii="宋体" w:hAnsi="宋体" w:cs="宋体"/>
          <w:sz w:val="24"/>
        </w:rPr>
      </w:pPr>
    </w:p>
    <w:p>
      <w:pPr>
        <w:spacing w:line="360" w:lineRule="auto"/>
        <w:jc w:val="center"/>
        <w:rPr>
          <w:rFonts w:ascii="宋体" w:hAnsi="宋体" w:cs="宋体"/>
          <w:sz w:val="32"/>
          <w:szCs w:val="32"/>
        </w:rPr>
      </w:pPr>
      <w:r>
        <w:rPr>
          <w:rFonts w:hint="eastAsia" w:ascii="宋体" w:hAnsi="宋体" w:cs="宋体"/>
          <w:sz w:val="32"/>
          <w:szCs w:val="32"/>
        </w:rPr>
        <w:br w:type="page"/>
      </w:r>
      <w:r>
        <w:rPr>
          <w:rFonts w:hint="eastAsia" w:ascii="宋体" w:hAnsi="宋体" w:cs="宋体"/>
          <w:sz w:val="32"/>
          <w:szCs w:val="32"/>
        </w:rPr>
        <w:t>四、投标文件的编制</w:t>
      </w:r>
    </w:p>
    <w:p>
      <w:pPr>
        <w:spacing w:line="360" w:lineRule="auto"/>
        <w:rPr>
          <w:rFonts w:ascii="宋体" w:hAnsi="宋体" w:cs="宋体"/>
          <w:sz w:val="24"/>
        </w:rPr>
      </w:pPr>
      <w:r>
        <w:rPr>
          <w:rFonts w:hint="eastAsia" w:ascii="宋体" w:hAnsi="宋体" w:cs="宋体"/>
          <w:sz w:val="24"/>
        </w:rPr>
        <w:t>9. 投标文件的组成</w:t>
      </w:r>
    </w:p>
    <w:p>
      <w:pPr>
        <w:spacing w:line="360" w:lineRule="auto"/>
        <w:ind w:firstLine="480" w:firstLineChars="200"/>
        <w:rPr>
          <w:rFonts w:ascii="宋体" w:hAnsi="宋体" w:cs="宋体"/>
          <w:sz w:val="24"/>
        </w:rPr>
      </w:pPr>
      <w:r>
        <w:rPr>
          <w:rFonts w:hint="eastAsia" w:ascii="宋体" w:hAnsi="宋体" w:cs="宋体"/>
          <w:sz w:val="24"/>
        </w:rPr>
        <w:t>投标人的投标文件应包括下列内容；</w:t>
      </w:r>
    </w:p>
    <w:p>
      <w:pPr>
        <w:spacing w:line="360" w:lineRule="auto"/>
        <w:ind w:firstLine="480" w:firstLineChars="200"/>
        <w:rPr>
          <w:rFonts w:ascii="宋体" w:hAnsi="宋体" w:cs="宋体"/>
          <w:sz w:val="24"/>
        </w:rPr>
      </w:pPr>
      <w:r>
        <w:rPr>
          <w:rFonts w:hint="eastAsia" w:ascii="宋体" w:hAnsi="宋体" w:cs="宋体"/>
          <w:sz w:val="24"/>
        </w:rPr>
        <w:t>（1）投标函</w:t>
      </w:r>
    </w:p>
    <w:p>
      <w:pPr>
        <w:spacing w:line="360" w:lineRule="auto"/>
        <w:ind w:firstLine="480" w:firstLineChars="200"/>
        <w:rPr>
          <w:rFonts w:ascii="宋体" w:hAnsi="宋体" w:cs="宋体"/>
          <w:sz w:val="24"/>
        </w:rPr>
      </w:pPr>
      <w:r>
        <w:rPr>
          <w:rFonts w:hint="eastAsia" w:ascii="宋体" w:hAnsi="宋体" w:cs="宋体"/>
          <w:sz w:val="24"/>
        </w:rPr>
        <w:t>（2）法人委托授权书</w:t>
      </w:r>
    </w:p>
    <w:p>
      <w:pPr>
        <w:spacing w:line="360" w:lineRule="auto"/>
        <w:ind w:firstLine="480" w:firstLineChars="200"/>
        <w:rPr>
          <w:rFonts w:ascii="宋体" w:hAnsi="宋体" w:cs="宋体"/>
          <w:sz w:val="24"/>
        </w:rPr>
      </w:pPr>
      <w:r>
        <w:rPr>
          <w:rFonts w:hint="eastAsia" w:ascii="宋体" w:hAnsi="宋体" w:cs="宋体"/>
          <w:sz w:val="24"/>
        </w:rPr>
        <w:t>（3）开标一览表</w:t>
      </w:r>
    </w:p>
    <w:p>
      <w:pPr>
        <w:spacing w:line="360" w:lineRule="auto"/>
        <w:ind w:firstLine="480" w:firstLineChars="200"/>
        <w:rPr>
          <w:rFonts w:ascii="宋体" w:hAnsi="宋体" w:cs="宋体"/>
          <w:sz w:val="24"/>
        </w:rPr>
      </w:pPr>
      <w:r>
        <w:rPr>
          <w:rFonts w:hint="eastAsia" w:ascii="宋体" w:hAnsi="宋体" w:cs="宋体"/>
          <w:sz w:val="24"/>
        </w:rPr>
        <w:t>（4）企业基本情况简介</w:t>
      </w:r>
    </w:p>
    <w:p>
      <w:pPr>
        <w:spacing w:line="360" w:lineRule="auto"/>
        <w:ind w:firstLine="480" w:firstLineChars="200"/>
        <w:rPr>
          <w:rFonts w:ascii="宋体" w:hAnsi="宋体" w:cs="宋体"/>
          <w:sz w:val="24"/>
        </w:rPr>
      </w:pPr>
      <w:r>
        <w:rPr>
          <w:rFonts w:hint="eastAsia" w:ascii="宋体" w:hAnsi="宋体" w:cs="宋体"/>
          <w:sz w:val="24"/>
        </w:rPr>
        <w:t>（5）技术方案</w:t>
      </w:r>
    </w:p>
    <w:p>
      <w:pPr>
        <w:spacing w:line="360" w:lineRule="auto"/>
        <w:ind w:firstLine="480" w:firstLineChars="200"/>
        <w:rPr>
          <w:rFonts w:ascii="宋体" w:hAnsi="宋体" w:cs="宋体"/>
          <w:sz w:val="24"/>
        </w:rPr>
      </w:pPr>
      <w:r>
        <w:rPr>
          <w:rFonts w:hint="eastAsia" w:ascii="宋体" w:hAnsi="宋体" w:cs="宋体"/>
          <w:sz w:val="24"/>
        </w:rPr>
        <w:t>（6）具有履行本合同所必需的设备和专业技术能力的声明函</w:t>
      </w:r>
    </w:p>
    <w:p>
      <w:pPr>
        <w:spacing w:line="360" w:lineRule="auto"/>
        <w:ind w:firstLine="480" w:firstLineChars="200"/>
        <w:rPr>
          <w:rFonts w:ascii="宋体" w:hAnsi="宋体" w:cs="宋体"/>
          <w:sz w:val="24"/>
        </w:rPr>
      </w:pPr>
      <w:r>
        <w:rPr>
          <w:rFonts w:hint="eastAsia" w:ascii="宋体" w:hAnsi="宋体" w:cs="宋体"/>
          <w:sz w:val="24"/>
        </w:rPr>
        <w:t>（7）企业证明资料</w:t>
      </w:r>
    </w:p>
    <w:p>
      <w:pPr>
        <w:spacing w:line="360" w:lineRule="auto"/>
        <w:rPr>
          <w:rFonts w:ascii="宋体" w:hAnsi="宋体" w:cs="宋体"/>
          <w:sz w:val="24"/>
        </w:rPr>
      </w:pPr>
      <w:r>
        <w:rPr>
          <w:rFonts w:hint="eastAsia" w:ascii="宋体" w:hAnsi="宋体" w:cs="宋体"/>
          <w:sz w:val="24"/>
        </w:rPr>
        <w:t xml:space="preserve">    10.投标文件的编制</w:t>
      </w:r>
    </w:p>
    <w:p>
      <w:pPr>
        <w:spacing w:line="360" w:lineRule="auto"/>
        <w:ind w:firstLine="480"/>
        <w:rPr>
          <w:rFonts w:ascii="宋体" w:hAnsi="宋体" w:cs="宋体"/>
          <w:sz w:val="24"/>
        </w:rPr>
      </w:pPr>
      <w:r>
        <w:rPr>
          <w:rFonts w:hint="eastAsia" w:ascii="宋体" w:hAnsi="宋体" w:cs="宋体"/>
          <w:sz w:val="24"/>
        </w:rPr>
        <w:t>10.1投标文件应进行包装、加贴封条，并在封套的封口处加盖投标人单位公章。</w:t>
      </w:r>
    </w:p>
    <w:p>
      <w:pPr>
        <w:spacing w:line="360" w:lineRule="auto"/>
        <w:ind w:firstLine="480"/>
        <w:rPr>
          <w:rFonts w:ascii="宋体" w:hAnsi="宋体" w:cs="宋体"/>
          <w:sz w:val="24"/>
        </w:rPr>
      </w:pPr>
      <w:r>
        <w:rPr>
          <w:rFonts w:hint="eastAsia" w:ascii="宋体" w:hAnsi="宋体" w:cs="宋体"/>
          <w:sz w:val="24"/>
        </w:rPr>
        <w:t>10.2投标文件应按第六章“投标文件格式”进行编写，如有必要，可以增加附页，作为投标文件的组成部分。在满足招标文件实质性要求的基础上，可以提出比招标文件要求更有利于招标人的承诺。</w:t>
      </w:r>
    </w:p>
    <w:p>
      <w:pPr>
        <w:spacing w:line="360" w:lineRule="auto"/>
        <w:rPr>
          <w:rFonts w:ascii="宋体" w:hAnsi="宋体" w:cs="宋体"/>
          <w:sz w:val="24"/>
        </w:rPr>
      </w:pPr>
      <w:r>
        <w:rPr>
          <w:rFonts w:hint="eastAsia" w:ascii="宋体" w:hAnsi="宋体" w:cs="宋体"/>
          <w:sz w:val="24"/>
        </w:rPr>
        <w:t xml:space="preserve">    10.3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spacing w:line="360" w:lineRule="auto"/>
        <w:ind w:firstLine="480"/>
        <w:rPr>
          <w:rFonts w:ascii="宋体" w:hAnsi="宋体" w:cs="宋体"/>
          <w:sz w:val="24"/>
        </w:rPr>
      </w:pPr>
      <w:r>
        <w:rPr>
          <w:rFonts w:hint="eastAsia" w:ascii="宋体" w:hAnsi="宋体" w:cs="宋体"/>
          <w:sz w:val="24"/>
        </w:rPr>
        <w:t>10.4 投标文件正本一份,投标文件的正本与副本应分别装订成册，副本份数见投标人须知前附表。正本和副本的封面上应清楚地标记“正本”或“副本”的字样。当副本和正本不一致时，以正本为准。以电报、电话、传真、电子邮件等形式投标概不接受。</w:t>
      </w:r>
    </w:p>
    <w:p>
      <w:pPr>
        <w:spacing w:line="360" w:lineRule="auto"/>
        <w:ind w:firstLine="470" w:firstLineChars="196"/>
        <w:rPr>
          <w:rFonts w:ascii="宋体" w:hAnsi="宋体" w:cs="宋体"/>
          <w:sz w:val="24"/>
        </w:rPr>
      </w:pPr>
      <w:r>
        <w:rPr>
          <w:rFonts w:hint="eastAsia" w:ascii="宋体" w:hAnsi="宋体" w:cs="宋体"/>
          <w:sz w:val="24"/>
        </w:rPr>
        <w:t>11．投标保证金</w:t>
      </w:r>
    </w:p>
    <w:p>
      <w:pPr>
        <w:spacing w:line="360" w:lineRule="auto"/>
        <w:ind w:firstLine="470" w:firstLineChars="196"/>
        <w:rPr>
          <w:rFonts w:ascii="宋体" w:hAnsi="宋体" w:cs="宋体"/>
          <w:sz w:val="24"/>
        </w:rPr>
      </w:pPr>
      <w:r>
        <w:rPr>
          <w:rFonts w:hint="eastAsia" w:ascii="宋体" w:hAnsi="宋体" w:cs="宋体"/>
          <w:sz w:val="24"/>
        </w:rPr>
        <w:t>11.1投标保证金为投标文件的组成部分之一。</w:t>
      </w:r>
    </w:p>
    <w:p>
      <w:pPr>
        <w:spacing w:line="360" w:lineRule="auto"/>
        <w:ind w:firstLine="470" w:firstLineChars="196"/>
        <w:rPr>
          <w:rFonts w:ascii="宋体" w:hAnsi="宋体" w:cs="宋体"/>
          <w:sz w:val="24"/>
        </w:rPr>
      </w:pPr>
      <w:r>
        <w:rPr>
          <w:rFonts w:hint="eastAsia" w:ascii="宋体" w:hAnsi="宋体" w:cs="宋体"/>
          <w:sz w:val="24"/>
        </w:rPr>
        <w:t>11.2投标人应向招标人提交投标保证金：金额见投标人须知前附表。</w:t>
      </w:r>
    </w:p>
    <w:p>
      <w:pPr>
        <w:spacing w:line="360" w:lineRule="auto"/>
        <w:ind w:firstLine="470" w:firstLineChars="196"/>
        <w:rPr>
          <w:rFonts w:ascii="宋体" w:hAnsi="宋体" w:cs="宋体"/>
          <w:sz w:val="24"/>
        </w:rPr>
      </w:pPr>
      <w:r>
        <w:rPr>
          <w:rFonts w:hint="eastAsia" w:ascii="宋体" w:hAnsi="宋体" w:cs="宋体"/>
          <w:sz w:val="24"/>
        </w:rPr>
        <w:t>11.3投标保证金用于本次招标免受因投标人的行为而引起的风险。</w:t>
      </w:r>
    </w:p>
    <w:p>
      <w:pPr>
        <w:spacing w:line="360" w:lineRule="auto"/>
        <w:ind w:firstLine="470" w:firstLineChars="196"/>
        <w:rPr>
          <w:rFonts w:ascii="宋体" w:hAnsi="宋体" w:cs="宋体"/>
          <w:sz w:val="24"/>
        </w:rPr>
      </w:pPr>
      <w:r>
        <w:rPr>
          <w:rFonts w:hint="eastAsia" w:ascii="宋体" w:hAnsi="宋体" w:cs="宋体"/>
          <w:sz w:val="24"/>
        </w:rPr>
        <w:t>11.4未按前附表规定提交投标保证金的投标，将被视为投标无效。</w:t>
      </w:r>
    </w:p>
    <w:p>
      <w:pPr>
        <w:spacing w:line="360" w:lineRule="auto"/>
        <w:ind w:firstLine="470" w:firstLineChars="196"/>
        <w:rPr>
          <w:rFonts w:ascii="宋体" w:hAnsi="宋体" w:cs="宋体"/>
          <w:sz w:val="24"/>
        </w:rPr>
      </w:pPr>
      <w:r>
        <w:rPr>
          <w:rFonts w:hint="eastAsia" w:ascii="宋体" w:hAnsi="宋体" w:cs="宋体"/>
          <w:sz w:val="24"/>
        </w:rPr>
        <w:t>11.5投标保证金退回时间：招标人与中标人签订合同后五个工作日内。</w:t>
      </w:r>
    </w:p>
    <w:p>
      <w:pPr>
        <w:spacing w:line="360" w:lineRule="auto"/>
        <w:ind w:firstLine="470" w:firstLineChars="196"/>
        <w:rPr>
          <w:rFonts w:ascii="宋体" w:hAnsi="宋体" w:cs="宋体"/>
          <w:sz w:val="24"/>
        </w:rPr>
      </w:pPr>
      <w:r>
        <w:rPr>
          <w:rFonts w:hint="eastAsia" w:ascii="宋体" w:hAnsi="宋体" w:cs="宋体"/>
          <w:sz w:val="24"/>
        </w:rPr>
        <w:t>11.6正本和副本投标文件中所附缴纳投标保证金收据均须加盖投标人公章。</w:t>
      </w:r>
    </w:p>
    <w:p>
      <w:pPr>
        <w:spacing w:line="360" w:lineRule="auto"/>
        <w:ind w:firstLine="470" w:firstLineChars="196"/>
        <w:rPr>
          <w:rFonts w:ascii="宋体" w:hAnsi="宋体" w:cs="宋体"/>
          <w:sz w:val="24"/>
        </w:rPr>
      </w:pPr>
      <w:r>
        <w:rPr>
          <w:rFonts w:hint="eastAsia" w:ascii="宋体" w:hAnsi="宋体" w:cs="宋体"/>
          <w:sz w:val="24"/>
        </w:rPr>
        <w:t>11.7如投标人有下列情况之一，将不予退还投标保证金：</w:t>
      </w:r>
    </w:p>
    <w:p>
      <w:pPr>
        <w:spacing w:line="360" w:lineRule="auto"/>
        <w:ind w:firstLine="470" w:firstLineChars="196"/>
        <w:rPr>
          <w:rFonts w:ascii="宋体" w:hAnsi="宋体" w:cs="宋体"/>
          <w:sz w:val="24"/>
        </w:rPr>
      </w:pPr>
      <w:r>
        <w:rPr>
          <w:rFonts w:hint="eastAsia" w:ascii="宋体" w:hAnsi="宋体" w:cs="宋体"/>
          <w:sz w:val="24"/>
        </w:rPr>
        <w:t>11.7.1开标后投标人在投标有效期内撤回投标；</w:t>
      </w:r>
    </w:p>
    <w:p>
      <w:pPr>
        <w:spacing w:line="360" w:lineRule="auto"/>
        <w:ind w:firstLine="470" w:firstLineChars="196"/>
        <w:rPr>
          <w:rFonts w:ascii="宋体" w:hAnsi="宋体" w:cs="宋体"/>
          <w:sz w:val="24"/>
        </w:rPr>
      </w:pPr>
      <w:r>
        <w:rPr>
          <w:rFonts w:hint="eastAsia" w:ascii="宋体" w:hAnsi="宋体" w:cs="宋体"/>
          <w:sz w:val="24"/>
        </w:rPr>
        <w:t>11.7.2中标人未能按招标文件规定签订合同；</w:t>
      </w:r>
    </w:p>
    <w:p>
      <w:pPr>
        <w:spacing w:line="360" w:lineRule="auto"/>
        <w:ind w:firstLine="470" w:firstLineChars="196"/>
        <w:rPr>
          <w:rFonts w:ascii="宋体" w:hAnsi="宋体" w:cs="宋体"/>
          <w:sz w:val="24"/>
        </w:rPr>
      </w:pPr>
      <w:r>
        <w:rPr>
          <w:rFonts w:hint="eastAsia" w:ascii="宋体" w:hAnsi="宋体" w:cs="宋体"/>
          <w:sz w:val="24"/>
        </w:rPr>
        <w:t>11.7.3投标人弄虚作假、采取不正当等手段骗取中标的。</w:t>
      </w:r>
    </w:p>
    <w:p>
      <w:pPr>
        <w:spacing w:line="360" w:lineRule="auto"/>
        <w:jc w:val="center"/>
        <w:rPr>
          <w:rFonts w:ascii="宋体" w:hAnsi="宋体" w:cs="宋体"/>
          <w:sz w:val="32"/>
          <w:szCs w:val="32"/>
        </w:rPr>
      </w:pPr>
      <w:r>
        <w:rPr>
          <w:rFonts w:hint="eastAsia" w:ascii="宋体" w:hAnsi="宋体" w:cs="宋体"/>
          <w:sz w:val="32"/>
          <w:szCs w:val="32"/>
        </w:rPr>
        <w:t>五、投标文件的递交</w:t>
      </w:r>
    </w:p>
    <w:p>
      <w:pPr>
        <w:spacing w:line="360" w:lineRule="auto"/>
        <w:rPr>
          <w:rFonts w:ascii="宋体" w:hAnsi="宋体" w:cs="宋体"/>
          <w:sz w:val="24"/>
        </w:rPr>
      </w:pPr>
      <w:r>
        <w:rPr>
          <w:rFonts w:hint="eastAsia" w:ascii="宋体" w:hAnsi="宋体" w:cs="宋体"/>
          <w:sz w:val="24"/>
        </w:rPr>
        <w:t>12. 投标文件的密封与标志</w:t>
      </w:r>
    </w:p>
    <w:p>
      <w:pPr>
        <w:spacing w:line="360" w:lineRule="auto"/>
        <w:ind w:firstLine="480" w:firstLineChars="200"/>
        <w:rPr>
          <w:rFonts w:ascii="宋体" w:hAnsi="宋体" w:cs="宋体"/>
          <w:sz w:val="24"/>
        </w:rPr>
      </w:pPr>
      <w:r>
        <w:rPr>
          <w:rFonts w:hint="eastAsia" w:ascii="宋体" w:hAnsi="宋体" w:cs="宋体"/>
          <w:sz w:val="24"/>
        </w:rPr>
        <w:t>12.1 密封：投标人应将投标文件密封提交，正本与副本分开密封，电子版与正本装入一起，并在封口处加盖投标人公章。</w:t>
      </w:r>
    </w:p>
    <w:p>
      <w:pPr>
        <w:spacing w:line="360" w:lineRule="auto"/>
        <w:ind w:firstLine="480" w:firstLineChars="200"/>
        <w:rPr>
          <w:rFonts w:ascii="宋体" w:hAnsi="宋体" w:cs="宋体"/>
          <w:sz w:val="24"/>
        </w:rPr>
      </w:pPr>
      <w:r>
        <w:rPr>
          <w:rFonts w:hint="eastAsia" w:ascii="宋体" w:hAnsi="宋体" w:cs="宋体"/>
          <w:sz w:val="24"/>
        </w:rPr>
        <w:t>12.2 标志：封套上应清楚的标明本次招标的项目名称和投标人的名称。</w:t>
      </w:r>
    </w:p>
    <w:p>
      <w:pPr>
        <w:spacing w:line="360" w:lineRule="auto"/>
        <w:rPr>
          <w:rFonts w:ascii="宋体" w:hAnsi="宋体" w:cs="宋体"/>
          <w:sz w:val="24"/>
        </w:rPr>
      </w:pPr>
      <w:r>
        <w:rPr>
          <w:rFonts w:hint="eastAsia" w:ascii="宋体" w:hAnsi="宋体" w:cs="宋体"/>
          <w:sz w:val="24"/>
        </w:rPr>
        <w:t>13. 招标截止时间</w:t>
      </w:r>
    </w:p>
    <w:p>
      <w:pPr>
        <w:spacing w:line="360" w:lineRule="auto"/>
        <w:ind w:firstLine="480" w:firstLineChars="200"/>
        <w:rPr>
          <w:rFonts w:ascii="宋体" w:hAnsi="宋体" w:cs="宋体"/>
          <w:sz w:val="24"/>
        </w:rPr>
      </w:pPr>
      <w:r>
        <w:rPr>
          <w:rFonts w:hint="eastAsia" w:ascii="宋体" w:hAnsi="宋体" w:cs="宋体"/>
          <w:sz w:val="24"/>
        </w:rPr>
        <w:t>13.1投标人应在前附表中规定的招标截止时间之前将投标文件递交到指定地点。招标人在接收投标文件时注明收到的日期和时间。</w:t>
      </w:r>
    </w:p>
    <w:p>
      <w:pPr>
        <w:spacing w:line="360" w:lineRule="auto"/>
        <w:ind w:firstLine="480" w:firstLineChars="200"/>
        <w:rPr>
          <w:rFonts w:ascii="宋体" w:hAnsi="宋体" w:cs="宋体"/>
          <w:sz w:val="24"/>
        </w:rPr>
      </w:pPr>
      <w:r>
        <w:rPr>
          <w:rFonts w:hint="eastAsia" w:ascii="宋体" w:hAnsi="宋体" w:cs="宋体"/>
          <w:sz w:val="24"/>
        </w:rPr>
        <w:t>13.2 招标人可以以修改通知的方式，酌情延长递交投标文件的截止日期。在上述情况下，招标人与投标人全部权利、责任和义务，将适用于延长后新的招标截止时间。</w:t>
      </w:r>
    </w:p>
    <w:p>
      <w:pPr>
        <w:spacing w:line="360" w:lineRule="auto"/>
        <w:ind w:firstLine="480" w:firstLineChars="200"/>
        <w:rPr>
          <w:rFonts w:ascii="宋体" w:hAnsi="宋体" w:cs="宋体"/>
          <w:sz w:val="24"/>
        </w:rPr>
      </w:pPr>
      <w:r>
        <w:rPr>
          <w:rFonts w:hint="eastAsia" w:ascii="宋体" w:hAnsi="宋体" w:cs="宋体"/>
          <w:sz w:val="24"/>
        </w:rPr>
        <w:t>13.3招标截止时间后送达的投标文件将不予接收。</w:t>
      </w:r>
    </w:p>
    <w:p>
      <w:pPr>
        <w:spacing w:line="360" w:lineRule="auto"/>
        <w:rPr>
          <w:rFonts w:ascii="宋体" w:hAnsi="宋体" w:cs="宋体"/>
          <w:sz w:val="24"/>
        </w:rPr>
      </w:pPr>
      <w:r>
        <w:rPr>
          <w:rFonts w:hint="eastAsia" w:ascii="宋体" w:hAnsi="宋体" w:cs="宋体"/>
          <w:sz w:val="24"/>
        </w:rPr>
        <w:t xml:space="preserve">    14. 投标文件的修改与撤回</w:t>
      </w:r>
    </w:p>
    <w:p>
      <w:pPr>
        <w:spacing w:line="360" w:lineRule="auto"/>
        <w:ind w:firstLine="480" w:firstLineChars="200"/>
        <w:rPr>
          <w:rFonts w:ascii="宋体" w:hAnsi="宋体" w:cs="宋体"/>
          <w:sz w:val="24"/>
        </w:rPr>
      </w:pPr>
      <w:r>
        <w:rPr>
          <w:rFonts w:hint="eastAsia" w:ascii="宋体" w:hAnsi="宋体" w:cs="宋体"/>
          <w:sz w:val="24"/>
        </w:rPr>
        <w:t>招标截止时间后，在有效期内，投标人不得撤回投标文件。</w:t>
      </w:r>
    </w:p>
    <w:p>
      <w:pPr>
        <w:spacing w:line="360" w:lineRule="auto"/>
        <w:jc w:val="center"/>
        <w:rPr>
          <w:rFonts w:ascii="宋体" w:hAnsi="宋体" w:cs="宋体"/>
          <w:sz w:val="32"/>
          <w:szCs w:val="32"/>
        </w:rPr>
      </w:pPr>
      <w:r>
        <w:rPr>
          <w:rFonts w:hint="eastAsia" w:ascii="宋体" w:hAnsi="宋体" w:cs="宋体"/>
          <w:sz w:val="32"/>
          <w:szCs w:val="32"/>
        </w:rPr>
        <w:t>六、开标、评标</w:t>
      </w:r>
    </w:p>
    <w:p>
      <w:pPr>
        <w:spacing w:line="360" w:lineRule="auto"/>
        <w:ind w:firstLine="240" w:firstLineChars="100"/>
        <w:rPr>
          <w:rFonts w:ascii="宋体" w:hAnsi="宋体" w:cs="宋体"/>
          <w:sz w:val="24"/>
        </w:rPr>
      </w:pPr>
      <w:r>
        <w:rPr>
          <w:rFonts w:hint="eastAsia" w:ascii="宋体" w:hAnsi="宋体" w:cs="宋体"/>
          <w:sz w:val="24"/>
        </w:rPr>
        <w:t>15．开标</w:t>
      </w:r>
    </w:p>
    <w:p>
      <w:pPr>
        <w:spacing w:line="360" w:lineRule="auto"/>
        <w:ind w:firstLine="470" w:firstLineChars="196"/>
        <w:rPr>
          <w:rFonts w:ascii="宋体" w:hAnsi="宋体" w:cs="宋体"/>
          <w:sz w:val="24"/>
        </w:rPr>
      </w:pPr>
      <w:r>
        <w:rPr>
          <w:rFonts w:hint="eastAsia" w:ascii="宋体" w:hAnsi="宋体" w:cs="宋体"/>
          <w:sz w:val="24"/>
        </w:rPr>
        <w:t>15.1 开标会议在招标人监督下，由招标代理机构组织并主持。</w:t>
      </w:r>
    </w:p>
    <w:p>
      <w:pPr>
        <w:spacing w:line="360" w:lineRule="auto"/>
        <w:ind w:firstLine="470" w:firstLineChars="196"/>
        <w:rPr>
          <w:rFonts w:ascii="宋体" w:hAnsi="宋体" w:cs="宋体"/>
          <w:sz w:val="24"/>
        </w:rPr>
      </w:pPr>
      <w:r>
        <w:rPr>
          <w:rFonts w:hint="eastAsia" w:ascii="宋体" w:hAnsi="宋体" w:cs="宋体"/>
          <w:sz w:val="24"/>
        </w:rPr>
        <w:t>15.2开标时，由监标人查验法定代表人身份证原件或其授权委托人的身份证原件及授权委托书；由监标人审查和各投标人现场对投标文件密封情况共同查验确认后签字。投标文件密封审查不合格的，按废标处理。</w:t>
      </w:r>
    </w:p>
    <w:p>
      <w:pPr>
        <w:spacing w:line="360" w:lineRule="auto"/>
        <w:ind w:firstLine="470" w:firstLineChars="196"/>
        <w:rPr>
          <w:rFonts w:ascii="宋体" w:hAnsi="宋体" w:cs="宋体"/>
          <w:sz w:val="24"/>
        </w:rPr>
      </w:pPr>
      <w:r>
        <w:rPr>
          <w:rFonts w:hint="eastAsia" w:ascii="宋体" w:hAnsi="宋体" w:cs="宋体"/>
          <w:sz w:val="24"/>
        </w:rPr>
        <w:t>16．开标程序</w:t>
      </w:r>
    </w:p>
    <w:p>
      <w:pPr>
        <w:spacing w:line="360" w:lineRule="auto"/>
        <w:ind w:firstLine="470" w:firstLineChars="196"/>
        <w:rPr>
          <w:rFonts w:ascii="宋体" w:hAnsi="宋体" w:cs="宋体"/>
          <w:sz w:val="24"/>
        </w:rPr>
      </w:pPr>
      <w:r>
        <w:rPr>
          <w:rFonts w:hint="eastAsia" w:ascii="宋体" w:hAnsi="宋体" w:cs="宋体"/>
          <w:sz w:val="24"/>
        </w:rPr>
        <w:t>16.1 投标文件经确认无误后，当众拆封，唱标人宣读投标人名称和投标文件的其它主要内容。</w:t>
      </w:r>
    </w:p>
    <w:p>
      <w:pPr>
        <w:spacing w:line="360" w:lineRule="auto"/>
        <w:ind w:firstLine="470" w:firstLineChars="196"/>
        <w:rPr>
          <w:rFonts w:ascii="宋体" w:hAnsi="宋体" w:cs="宋体"/>
          <w:sz w:val="24"/>
        </w:rPr>
      </w:pPr>
      <w:r>
        <w:rPr>
          <w:rFonts w:hint="eastAsia" w:ascii="宋体" w:hAnsi="宋体" w:cs="宋体"/>
          <w:sz w:val="24"/>
        </w:rPr>
        <w:t>16.2 招标人在招标文件要求提交投标文件截止时间收到的被认为有效的投标文件，开标时都将当众予以拆封、唱标。</w:t>
      </w:r>
    </w:p>
    <w:p>
      <w:pPr>
        <w:spacing w:line="360" w:lineRule="auto"/>
        <w:ind w:firstLine="480"/>
        <w:rPr>
          <w:rFonts w:ascii="宋体" w:hAnsi="宋体" w:cs="宋体"/>
          <w:sz w:val="24"/>
        </w:rPr>
      </w:pPr>
      <w:r>
        <w:rPr>
          <w:rFonts w:hint="eastAsia" w:ascii="宋体" w:hAnsi="宋体" w:cs="宋体"/>
          <w:sz w:val="24"/>
        </w:rPr>
        <w:t>17.评标</w:t>
      </w:r>
    </w:p>
    <w:p>
      <w:pPr>
        <w:spacing w:line="360" w:lineRule="auto"/>
        <w:rPr>
          <w:rFonts w:ascii="宋体" w:hAnsi="宋体" w:cs="宋体"/>
          <w:sz w:val="24"/>
        </w:rPr>
      </w:pPr>
      <w:r>
        <w:rPr>
          <w:rFonts w:hint="eastAsia" w:ascii="宋体" w:hAnsi="宋体" w:cs="宋体"/>
          <w:sz w:val="24"/>
        </w:rPr>
        <w:t xml:space="preserve">    评标活动遵循公平、公正、科学和择优的原则。</w:t>
      </w:r>
    </w:p>
    <w:p>
      <w:pPr>
        <w:spacing w:line="360" w:lineRule="auto"/>
        <w:ind w:firstLine="480" w:firstLineChars="200"/>
        <w:rPr>
          <w:rFonts w:ascii="宋体" w:hAnsi="宋体" w:cs="宋体"/>
          <w:sz w:val="24"/>
        </w:rPr>
      </w:pPr>
      <w:r>
        <w:rPr>
          <w:rFonts w:hint="eastAsia" w:ascii="宋体" w:hAnsi="宋体" w:cs="宋体"/>
          <w:sz w:val="24"/>
        </w:rPr>
        <w:t>18、评标委员会</w:t>
      </w:r>
    </w:p>
    <w:p>
      <w:pPr>
        <w:spacing w:line="360" w:lineRule="auto"/>
        <w:ind w:firstLine="480"/>
        <w:rPr>
          <w:rFonts w:ascii="宋体" w:hAnsi="宋体" w:cs="宋体"/>
          <w:sz w:val="24"/>
        </w:rPr>
      </w:pPr>
      <w:r>
        <w:rPr>
          <w:rFonts w:hint="eastAsia" w:ascii="宋体" w:hAnsi="宋体" w:cs="宋体"/>
          <w:sz w:val="24"/>
        </w:rPr>
        <w:t>18.1招标人依法组建评标委员会，评标委员会由采购人代表及有关专家组成，专家人选在专家库中随机抽取。</w:t>
      </w:r>
    </w:p>
    <w:p>
      <w:pPr>
        <w:spacing w:line="360" w:lineRule="auto"/>
        <w:rPr>
          <w:rFonts w:ascii="宋体" w:hAnsi="宋体" w:cs="宋体"/>
          <w:sz w:val="24"/>
        </w:rPr>
      </w:pPr>
      <w:r>
        <w:rPr>
          <w:rFonts w:hint="eastAsia" w:ascii="宋体" w:hAnsi="宋体" w:cs="宋体"/>
          <w:sz w:val="24"/>
        </w:rPr>
        <w:t xml:space="preserve">    18.2评标委员会成员有下列情形之一的，应当回避：</w:t>
      </w:r>
    </w:p>
    <w:p>
      <w:pPr>
        <w:spacing w:line="360" w:lineRule="auto"/>
        <w:rPr>
          <w:rFonts w:ascii="宋体" w:hAnsi="宋体" w:cs="宋体"/>
          <w:sz w:val="24"/>
        </w:rPr>
      </w:pPr>
      <w:r>
        <w:rPr>
          <w:rFonts w:hint="eastAsia" w:ascii="宋体" w:hAnsi="宋体" w:cs="宋体"/>
          <w:sz w:val="24"/>
        </w:rPr>
        <w:t xml:space="preserve">   （1）投标人或投标人主要负责人的近亲属；</w:t>
      </w:r>
    </w:p>
    <w:p>
      <w:pPr>
        <w:spacing w:line="360" w:lineRule="auto"/>
        <w:rPr>
          <w:rFonts w:ascii="宋体" w:hAnsi="宋体" w:cs="宋体"/>
          <w:sz w:val="24"/>
        </w:rPr>
      </w:pPr>
      <w:r>
        <w:rPr>
          <w:rFonts w:hint="eastAsia" w:ascii="宋体" w:hAnsi="宋体" w:cs="宋体"/>
          <w:sz w:val="24"/>
        </w:rPr>
        <w:t xml:space="preserve">   （2）项目主管部门或者行政监督部门的人员；</w:t>
      </w:r>
    </w:p>
    <w:p>
      <w:pPr>
        <w:spacing w:line="360" w:lineRule="auto"/>
        <w:rPr>
          <w:rFonts w:ascii="宋体" w:hAnsi="宋体" w:cs="宋体"/>
          <w:sz w:val="24"/>
        </w:rPr>
      </w:pPr>
      <w:r>
        <w:rPr>
          <w:rFonts w:hint="eastAsia" w:ascii="宋体" w:hAnsi="宋体" w:cs="宋体"/>
          <w:sz w:val="24"/>
        </w:rPr>
        <w:t xml:space="preserve">   （3）与投标人有经济利益关系；</w:t>
      </w:r>
    </w:p>
    <w:p>
      <w:pPr>
        <w:spacing w:line="360" w:lineRule="auto"/>
        <w:rPr>
          <w:rFonts w:ascii="宋体" w:hAnsi="宋体" w:cs="宋体"/>
          <w:sz w:val="24"/>
        </w:rPr>
      </w:pPr>
      <w:r>
        <w:rPr>
          <w:rFonts w:hint="eastAsia" w:ascii="宋体" w:hAnsi="宋体" w:cs="宋体"/>
          <w:sz w:val="24"/>
        </w:rPr>
        <w:t xml:space="preserve">   （4）曾因在招标、评标以及其他与招标投标有关活动中从事违法行为而受过行政处罚或刑事处罚的；</w:t>
      </w:r>
    </w:p>
    <w:p>
      <w:pPr>
        <w:spacing w:line="360" w:lineRule="auto"/>
        <w:rPr>
          <w:rFonts w:ascii="宋体" w:hAnsi="宋体" w:cs="宋体"/>
          <w:sz w:val="24"/>
        </w:rPr>
      </w:pPr>
      <w:r>
        <w:rPr>
          <w:rFonts w:hint="eastAsia" w:ascii="宋体" w:hAnsi="宋体" w:cs="宋体"/>
          <w:sz w:val="24"/>
        </w:rPr>
        <w:t xml:space="preserve">   （5）与投标人有其他利害关系。</w:t>
      </w:r>
    </w:p>
    <w:p>
      <w:pPr>
        <w:spacing w:line="360" w:lineRule="auto"/>
        <w:ind w:firstLine="480" w:firstLineChars="200"/>
        <w:rPr>
          <w:rFonts w:ascii="宋体" w:hAnsi="宋体" w:cs="宋体"/>
          <w:sz w:val="24"/>
        </w:rPr>
      </w:pPr>
      <w:r>
        <w:rPr>
          <w:rFonts w:hint="eastAsia" w:ascii="宋体" w:hAnsi="宋体" w:cs="宋体"/>
          <w:sz w:val="24"/>
        </w:rPr>
        <w:t>19、投标文件初审</w:t>
      </w:r>
    </w:p>
    <w:p>
      <w:pPr>
        <w:spacing w:line="360" w:lineRule="auto"/>
        <w:ind w:firstLine="480" w:firstLineChars="200"/>
        <w:rPr>
          <w:rFonts w:ascii="宋体" w:hAnsi="宋体" w:cs="宋体"/>
          <w:sz w:val="24"/>
        </w:rPr>
      </w:pPr>
      <w:r>
        <w:rPr>
          <w:rFonts w:hint="eastAsia" w:ascii="宋体" w:hAnsi="宋体" w:cs="宋体"/>
          <w:sz w:val="24"/>
        </w:rPr>
        <w:t>19.1投标文件的资格审查：依据法律法规和招标文件的规定，对投标文件中的资质证明文件进行审查，以确保投标单位是否具备相应资格。资格性审查包括内容为招标文件“投标人资格”的全部内容。</w:t>
      </w:r>
    </w:p>
    <w:p>
      <w:pPr>
        <w:spacing w:line="360" w:lineRule="auto"/>
        <w:rPr>
          <w:rFonts w:ascii="宋体" w:hAnsi="宋体" w:cs="宋体"/>
          <w:sz w:val="24"/>
        </w:rPr>
      </w:pPr>
      <w:r>
        <w:rPr>
          <w:rFonts w:hint="eastAsia" w:ascii="宋体" w:hAnsi="宋体" w:cs="宋体"/>
          <w:sz w:val="24"/>
        </w:rPr>
        <w:t>20. 投标文件的澄清</w:t>
      </w:r>
    </w:p>
    <w:p>
      <w:pPr>
        <w:spacing w:line="360" w:lineRule="auto"/>
        <w:ind w:firstLine="480" w:firstLineChars="200"/>
        <w:rPr>
          <w:rFonts w:ascii="宋体" w:hAnsi="宋体" w:cs="宋体"/>
          <w:sz w:val="24"/>
        </w:rPr>
      </w:pPr>
      <w:r>
        <w:rPr>
          <w:rFonts w:hint="eastAsia" w:ascii="宋体" w:hAnsi="宋体" w:cs="宋体"/>
          <w:sz w:val="24"/>
        </w:rPr>
        <w:t>20.1 为了有助于投标文件的审查、评价和比较、招标人可以书面方式要求投标人对投标文件中含义不明确、对同类问题表述不一致或者有明显文字错误的内容作必要的澄清、说明或者补正。投标人的澄清、说明或者补正应以书面方式进行并不得超出投标文件的范围或者改变投标文件的实质性内容。</w:t>
      </w:r>
    </w:p>
    <w:p>
      <w:pPr>
        <w:spacing w:line="360" w:lineRule="auto"/>
        <w:ind w:firstLine="435"/>
        <w:rPr>
          <w:rFonts w:ascii="宋体" w:hAnsi="宋体" w:cs="宋体"/>
          <w:sz w:val="24"/>
        </w:rPr>
      </w:pPr>
      <w:r>
        <w:rPr>
          <w:rFonts w:hint="eastAsia" w:ascii="宋体" w:hAnsi="宋体" w:cs="宋体"/>
          <w:sz w:val="24"/>
        </w:rPr>
        <w:t>20.2 在招标过程中，招标人若发现投标人以他人的名义参与招标、与招标人或与投标人相互串通、以行贿手段谋取中标资格或者以其他弄虚作假方式参与招标的，该投标人的投标文件将作无效文件处理。</w:t>
      </w:r>
    </w:p>
    <w:p>
      <w:pPr>
        <w:spacing w:line="360" w:lineRule="auto"/>
        <w:ind w:firstLine="435"/>
        <w:rPr>
          <w:rFonts w:ascii="宋体" w:hAnsi="宋体" w:cs="宋体"/>
          <w:sz w:val="24"/>
        </w:rPr>
      </w:pPr>
      <w:r>
        <w:rPr>
          <w:rFonts w:hint="eastAsia" w:ascii="宋体" w:hAnsi="宋体" w:cs="宋体"/>
          <w:sz w:val="24"/>
        </w:rPr>
        <w:t>20.3 投标人资格条件不符合国家有关规定和招标文件要求的，或者拒不按照要求对投标文件进行澄清、说明或者补正的，招标人可以否决其投标文件。</w:t>
      </w:r>
    </w:p>
    <w:p>
      <w:pPr>
        <w:spacing w:line="360" w:lineRule="auto"/>
        <w:ind w:firstLine="435"/>
        <w:rPr>
          <w:rFonts w:ascii="宋体" w:hAnsi="宋体" w:cs="宋体"/>
          <w:sz w:val="24"/>
        </w:rPr>
      </w:pPr>
      <w:r>
        <w:rPr>
          <w:rFonts w:hint="eastAsia" w:ascii="宋体" w:hAnsi="宋体" w:cs="宋体"/>
          <w:sz w:val="24"/>
        </w:rPr>
        <w:t>20.4 招标人将审查每一投标文件是否对招标文件提出的所有实质性要求和条件作出响应。未能在实质上响应的文件，将作无效文件处理。</w:t>
      </w:r>
    </w:p>
    <w:p>
      <w:pPr>
        <w:spacing w:line="360" w:lineRule="auto"/>
        <w:ind w:firstLine="435"/>
        <w:rPr>
          <w:rFonts w:ascii="宋体" w:hAnsi="宋体" w:cs="宋体"/>
          <w:sz w:val="24"/>
        </w:rPr>
      </w:pPr>
      <w:r>
        <w:rPr>
          <w:rFonts w:hint="eastAsia" w:ascii="宋体" w:hAnsi="宋体" w:cs="宋体"/>
          <w:sz w:val="24"/>
        </w:rPr>
        <w:t>20.5 投标文件有下述情形之一的，属于重大偏差，视为未能对招标文件作出实质性响应，并按前条规定作无效文件处理：</w:t>
      </w:r>
    </w:p>
    <w:p>
      <w:pPr>
        <w:spacing w:line="360" w:lineRule="auto"/>
        <w:ind w:firstLine="480" w:firstLineChars="200"/>
        <w:rPr>
          <w:rFonts w:ascii="宋体" w:hAnsi="宋体" w:cs="宋体"/>
          <w:sz w:val="24"/>
        </w:rPr>
      </w:pPr>
      <w:r>
        <w:rPr>
          <w:rFonts w:hint="eastAsia" w:ascii="宋体" w:hAnsi="宋体" w:cs="宋体"/>
          <w:sz w:val="24"/>
        </w:rPr>
        <w:t>（1）投标文件中的投标函未加盖投标人的企业法人公章及企业法定代表人（负责人）印章的并无授权代理人签字或盖章的，企业法定代表人（负责人）授权代理人没有合法、有效的委托书的；</w:t>
      </w:r>
    </w:p>
    <w:p>
      <w:pPr>
        <w:spacing w:line="360" w:lineRule="auto"/>
        <w:ind w:firstLine="480" w:firstLineChars="200"/>
        <w:rPr>
          <w:rFonts w:ascii="宋体" w:hAnsi="宋体" w:cs="宋体"/>
          <w:sz w:val="24"/>
        </w:rPr>
      </w:pPr>
      <w:r>
        <w:rPr>
          <w:rFonts w:hint="eastAsia" w:ascii="宋体" w:hAnsi="宋体" w:cs="宋体"/>
          <w:sz w:val="24"/>
        </w:rPr>
        <w:t>（2）未按招标文件规定的格式填写，内容不全或关键字迹模糊、无法辨认的；</w:t>
      </w:r>
    </w:p>
    <w:p>
      <w:pPr>
        <w:spacing w:line="360" w:lineRule="auto"/>
        <w:ind w:firstLine="480" w:firstLineChars="200"/>
        <w:rPr>
          <w:rFonts w:ascii="宋体" w:hAnsi="宋体" w:cs="宋体"/>
          <w:sz w:val="24"/>
        </w:rPr>
      </w:pPr>
      <w:r>
        <w:rPr>
          <w:rFonts w:hint="eastAsia" w:ascii="宋体" w:hAnsi="宋体" w:cs="宋体"/>
          <w:sz w:val="24"/>
        </w:rPr>
        <w:t>（3）投标人名称与报名时不一致的；</w:t>
      </w:r>
    </w:p>
    <w:p>
      <w:pPr>
        <w:spacing w:line="360" w:lineRule="auto"/>
        <w:ind w:firstLine="480" w:firstLineChars="200"/>
        <w:rPr>
          <w:rFonts w:ascii="宋体" w:hAnsi="宋体" w:cs="宋体"/>
          <w:sz w:val="24"/>
        </w:rPr>
      </w:pPr>
      <w:r>
        <w:rPr>
          <w:rFonts w:hint="eastAsia" w:ascii="宋体" w:hAnsi="宋体" w:cs="宋体"/>
          <w:sz w:val="24"/>
        </w:rPr>
        <w:t>（4）至招标截止日止，投标人在本地区违反有关招投标规定的，或被有关行政监督部门取消在本地区承接投标资格的；</w:t>
      </w:r>
    </w:p>
    <w:p>
      <w:pPr>
        <w:spacing w:line="360" w:lineRule="auto"/>
        <w:ind w:firstLine="480" w:firstLineChars="200"/>
        <w:rPr>
          <w:rFonts w:ascii="宋体" w:hAnsi="宋体" w:cs="宋体"/>
          <w:sz w:val="24"/>
        </w:rPr>
      </w:pPr>
      <w:r>
        <w:rPr>
          <w:rFonts w:hint="eastAsia" w:ascii="宋体" w:hAnsi="宋体" w:cs="宋体"/>
          <w:sz w:val="24"/>
        </w:rPr>
        <w:t>（5）投标文件提出了不能满足招标文件要求或招标人不能接受的条件的；</w:t>
      </w:r>
    </w:p>
    <w:p>
      <w:pPr>
        <w:spacing w:line="360" w:lineRule="auto"/>
        <w:ind w:firstLine="480" w:firstLineChars="200"/>
        <w:rPr>
          <w:rFonts w:ascii="宋体" w:hAnsi="宋体" w:cs="宋体"/>
          <w:sz w:val="24"/>
        </w:rPr>
      </w:pPr>
      <w:r>
        <w:rPr>
          <w:rFonts w:hint="eastAsia" w:ascii="宋体" w:hAnsi="宋体" w:cs="宋体"/>
          <w:sz w:val="24"/>
        </w:rPr>
        <w:t>（6）以他人的名义参与招标、与招标人或与投标人相互串通、以行贿手段谋取中标资格或者以其他弄虚作假方式参与招标的；</w:t>
      </w:r>
    </w:p>
    <w:p>
      <w:pPr>
        <w:spacing w:line="360" w:lineRule="auto"/>
        <w:ind w:firstLine="480" w:firstLineChars="200"/>
        <w:rPr>
          <w:rFonts w:ascii="宋体" w:hAnsi="宋体" w:cs="宋体"/>
          <w:sz w:val="24"/>
        </w:rPr>
      </w:pPr>
      <w:r>
        <w:rPr>
          <w:rFonts w:hint="eastAsia" w:ascii="宋体" w:hAnsi="宋体" w:cs="宋体"/>
          <w:sz w:val="24"/>
        </w:rPr>
        <w:t>（7）不响应招标文件要求的。</w:t>
      </w:r>
    </w:p>
    <w:p>
      <w:pPr>
        <w:spacing w:line="360" w:lineRule="auto"/>
        <w:ind w:firstLine="480" w:firstLineChars="200"/>
        <w:rPr>
          <w:rFonts w:ascii="宋体" w:hAnsi="宋体" w:cs="宋体"/>
          <w:sz w:val="24"/>
        </w:rPr>
      </w:pPr>
      <w:r>
        <w:rPr>
          <w:rFonts w:hint="eastAsia" w:ascii="宋体" w:hAnsi="宋体" w:cs="宋体"/>
          <w:sz w:val="24"/>
        </w:rPr>
        <w:t>20.6 招标将在投标文件有效期结束前完成。不能在投标文件有效期结束前完成招标的，招标人将通知所有投标人延长招标文件有效期。</w:t>
      </w:r>
    </w:p>
    <w:p>
      <w:pPr>
        <w:spacing w:line="360" w:lineRule="auto"/>
        <w:rPr>
          <w:rFonts w:ascii="宋体" w:hAnsi="宋体" w:cs="宋体"/>
          <w:sz w:val="24"/>
        </w:rPr>
      </w:pPr>
      <w:r>
        <w:rPr>
          <w:rFonts w:hint="eastAsia" w:ascii="宋体" w:hAnsi="宋体" w:cs="宋体"/>
          <w:sz w:val="24"/>
        </w:rPr>
        <w:t>21. 招标</w:t>
      </w:r>
    </w:p>
    <w:p>
      <w:pPr>
        <w:spacing w:line="360" w:lineRule="auto"/>
        <w:ind w:firstLine="480" w:firstLineChars="200"/>
        <w:rPr>
          <w:rFonts w:ascii="宋体" w:hAnsi="宋体" w:cs="宋体"/>
          <w:color w:val="FF0000"/>
          <w:sz w:val="24"/>
        </w:rPr>
      </w:pPr>
      <w:r>
        <w:rPr>
          <w:rFonts w:hint="eastAsia" w:ascii="宋体" w:hAnsi="宋体" w:cs="宋体"/>
          <w:sz w:val="24"/>
        </w:rPr>
        <w:t>招标结果经公示无异议后，招标人将向中标单位发出中标通知书。对未中标单位不进行经济补偿也无义务作出解释。</w:t>
      </w:r>
    </w:p>
    <w:p>
      <w:pPr>
        <w:autoSpaceDE w:val="0"/>
        <w:autoSpaceDN w:val="0"/>
        <w:adjustRightInd w:val="0"/>
        <w:spacing w:line="360" w:lineRule="auto"/>
        <w:jc w:val="center"/>
        <w:rPr>
          <w:rFonts w:ascii="宋体" w:hAnsi="宋体" w:cs="宋体"/>
          <w:sz w:val="36"/>
          <w:szCs w:val="36"/>
        </w:rPr>
      </w:pPr>
      <w:r>
        <w:rPr>
          <w:rFonts w:hint="eastAsia" w:ascii="宋体" w:hAnsi="宋体" w:cs="宋体"/>
          <w:sz w:val="36"/>
          <w:szCs w:val="36"/>
        </w:rPr>
        <w:br w:type="page"/>
      </w:r>
      <w:bookmarkStart w:id="3" w:name="_Toc448265595"/>
      <w:r>
        <w:rPr>
          <w:rFonts w:hint="eastAsia" w:ascii="宋体" w:hAnsi="宋体" w:cs="宋体"/>
          <w:sz w:val="36"/>
          <w:szCs w:val="36"/>
        </w:rPr>
        <w:t>第三章评标办法（综合评估法）</w:t>
      </w:r>
      <w:bookmarkEnd w:id="3"/>
    </w:p>
    <w:p>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评标办法前附表</w:t>
      </w:r>
    </w:p>
    <w:tbl>
      <w:tblPr>
        <w:tblStyle w:val="19"/>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8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1085" w:type="dxa"/>
            <w:vAlign w:val="center"/>
          </w:tcPr>
          <w:p>
            <w:pPr>
              <w:spacing w:line="500" w:lineRule="exact"/>
              <w:ind w:right="-107" w:rightChars="-51"/>
              <w:jc w:val="center"/>
              <w:rPr>
                <w:rFonts w:ascii="宋体" w:hAnsi="宋体" w:cs="宋体"/>
                <w:b/>
                <w:sz w:val="28"/>
                <w:szCs w:val="28"/>
              </w:rPr>
            </w:pPr>
            <w:r>
              <w:rPr>
                <w:rFonts w:hint="eastAsia" w:ascii="宋体" w:hAnsi="宋体" w:cs="宋体"/>
                <w:b/>
                <w:sz w:val="28"/>
                <w:szCs w:val="28"/>
              </w:rPr>
              <w:t>评审分项</w:t>
            </w:r>
          </w:p>
        </w:tc>
        <w:tc>
          <w:tcPr>
            <w:tcW w:w="8169" w:type="dxa"/>
            <w:vAlign w:val="center"/>
          </w:tcPr>
          <w:p>
            <w:pPr>
              <w:spacing w:line="500" w:lineRule="exact"/>
              <w:jc w:val="center"/>
              <w:rPr>
                <w:rFonts w:ascii="宋体" w:hAnsi="宋体" w:cs="宋体"/>
                <w:b/>
                <w:sz w:val="28"/>
                <w:szCs w:val="28"/>
              </w:rPr>
            </w:pPr>
            <w:r>
              <w:rPr>
                <w:rFonts w:hint="eastAsia" w:ascii="宋体" w:hAnsi="宋体" w:cs="宋体"/>
                <w:b/>
                <w:sz w:val="28"/>
                <w:szCs w:val="28"/>
              </w:rPr>
              <w:t>评审内容及原则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1" w:hRule="atLeast"/>
          <w:jc w:val="center"/>
        </w:trPr>
        <w:tc>
          <w:tcPr>
            <w:tcW w:w="1085" w:type="dxa"/>
            <w:vMerge w:val="restart"/>
            <w:vAlign w:val="center"/>
          </w:tcPr>
          <w:p>
            <w:pPr>
              <w:spacing w:line="500" w:lineRule="exact"/>
              <w:jc w:val="center"/>
              <w:rPr>
                <w:rFonts w:ascii="宋体" w:hAnsi="宋体" w:cs="宋体"/>
                <w:sz w:val="24"/>
              </w:rPr>
            </w:pPr>
            <w:r>
              <w:rPr>
                <w:rFonts w:hint="eastAsia" w:ascii="宋体" w:hAnsi="宋体" w:cs="宋体"/>
                <w:sz w:val="24"/>
              </w:rPr>
              <w:t>资格</w:t>
            </w:r>
          </w:p>
          <w:p>
            <w:pPr>
              <w:spacing w:line="500" w:lineRule="exact"/>
              <w:jc w:val="center"/>
              <w:rPr>
                <w:rFonts w:ascii="宋体" w:hAnsi="宋体" w:cs="宋体"/>
                <w:sz w:val="24"/>
              </w:rPr>
            </w:pPr>
            <w:r>
              <w:rPr>
                <w:rFonts w:hint="eastAsia" w:ascii="宋体" w:hAnsi="宋体" w:cs="宋体"/>
                <w:sz w:val="24"/>
              </w:rPr>
              <w:t>审查</w:t>
            </w:r>
          </w:p>
        </w:tc>
        <w:tc>
          <w:tcPr>
            <w:tcW w:w="8169" w:type="dxa"/>
            <w:vAlign w:val="center"/>
          </w:tcPr>
          <w:p>
            <w:pPr>
              <w:spacing w:line="360" w:lineRule="auto"/>
              <w:rPr>
                <w:rFonts w:ascii="宋体" w:hAnsi="宋体"/>
                <w:sz w:val="24"/>
              </w:rPr>
            </w:pPr>
            <w:r>
              <w:rPr>
                <w:rFonts w:hint="eastAsia" w:ascii="宋体" w:hAnsi="宋体"/>
                <w:sz w:val="24"/>
              </w:rPr>
              <w:t xml:space="preserve">1、具有独立承担民事责任能力的法人或其他组织，并出具有效的营业执照/事业单位法人证书/非企业专业服务机构执业许可证/民办非企业单位登记证书； </w:t>
            </w:r>
          </w:p>
          <w:p>
            <w:pPr>
              <w:spacing w:line="360" w:lineRule="auto"/>
              <w:rPr>
                <w:rFonts w:ascii="宋体" w:hAnsi="宋体"/>
                <w:sz w:val="24"/>
              </w:rPr>
            </w:pPr>
            <w:r>
              <w:rPr>
                <w:rFonts w:hint="eastAsia" w:ascii="宋体" w:hAnsi="宋体"/>
                <w:sz w:val="24"/>
              </w:rPr>
              <w:t>2、法定代表人直接参加投标的，须出具法人身份证；法定代表人授权代表参加投标的，须出具法定代表人授权书及授权代表身份证、授权代表本单位证明（投标截止前三个月的养老保险缴纳证明或劳动合同）。招标文件中凡是需要法定代表人签字或盖章之处，非法人单位的负责人均参照执行；</w:t>
            </w:r>
          </w:p>
          <w:p>
            <w:pPr>
              <w:spacing w:line="360" w:lineRule="auto"/>
              <w:rPr>
                <w:rFonts w:ascii="宋体" w:hAnsi="宋体"/>
                <w:sz w:val="24"/>
              </w:rPr>
            </w:pPr>
            <w:r>
              <w:rPr>
                <w:rFonts w:hint="eastAsia" w:ascii="宋体" w:hAnsi="宋体"/>
                <w:sz w:val="24"/>
              </w:rPr>
              <w:t xml:space="preserve">3、财务状况报告：提供具有财务审计资质单位出具的2019年度财务报告或开标前六个月内其基本账户银行出具的资信证明或政府采购信用担保机构出具的投标担保函； </w:t>
            </w:r>
          </w:p>
          <w:p>
            <w:pPr>
              <w:spacing w:line="360" w:lineRule="auto"/>
              <w:rPr>
                <w:rFonts w:ascii="宋体" w:hAnsi="宋体"/>
                <w:sz w:val="24"/>
              </w:rPr>
            </w:pPr>
            <w:r>
              <w:rPr>
                <w:rFonts w:hint="eastAsia" w:ascii="宋体" w:hAnsi="宋体"/>
                <w:sz w:val="24"/>
              </w:rPr>
              <w:t>4、提供具有履行本合同所必需的设备和专业技术能力的说明及承诺；</w:t>
            </w:r>
          </w:p>
          <w:p>
            <w:pPr>
              <w:spacing w:line="360" w:lineRule="auto"/>
              <w:rPr>
                <w:rFonts w:ascii="宋体" w:hAnsi="宋体"/>
                <w:sz w:val="24"/>
              </w:rPr>
            </w:pPr>
            <w:r>
              <w:rPr>
                <w:rFonts w:hint="eastAsia" w:ascii="宋体" w:hAnsi="宋体"/>
                <w:sz w:val="24"/>
              </w:rPr>
              <w:t>5、社会保障资金缴纳证明：提供2020年1月份以来已缴纳的至少一个月的缴纳单据或社保机构开具的社会保险参保缴费情况证明，单据或证明上应有社保机构或代收机构的公章；</w:t>
            </w:r>
          </w:p>
          <w:p>
            <w:pPr>
              <w:spacing w:line="360" w:lineRule="auto"/>
              <w:rPr>
                <w:rFonts w:ascii="宋体" w:hAnsi="宋体"/>
                <w:sz w:val="24"/>
              </w:rPr>
            </w:pPr>
            <w:r>
              <w:rPr>
                <w:rFonts w:hint="eastAsia" w:ascii="宋体" w:hAnsi="宋体"/>
                <w:sz w:val="24"/>
              </w:rPr>
              <w:t xml:space="preserve">6、税收缴纳证明：提供2020年1月份以来已缴纳的至少一个月的缴税凭证； </w:t>
            </w:r>
          </w:p>
          <w:p>
            <w:pPr>
              <w:spacing w:line="360" w:lineRule="auto"/>
              <w:rPr>
                <w:rFonts w:ascii="宋体" w:hAnsi="宋体"/>
                <w:sz w:val="24"/>
              </w:rPr>
            </w:pPr>
            <w:r>
              <w:rPr>
                <w:rFonts w:hint="eastAsia" w:ascii="宋体" w:hAnsi="宋体"/>
                <w:sz w:val="24"/>
              </w:rPr>
              <w:t>7、出具参加本次政府采购活动前三年内在经营活动中没有重大违法记录的书面声明；</w:t>
            </w:r>
          </w:p>
          <w:p>
            <w:pPr>
              <w:spacing w:line="360" w:lineRule="auto"/>
              <w:rPr>
                <w:rFonts w:ascii="宋体" w:hAnsi="宋体"/>
                <w:sz w:val="24"/>
              </w:rPr>
            </w:pPr>
            <w:r>
              <w:rPr>
                <w:rFonts w:hint="eastAsia" w:ascii="宋体" w:hAnsi="宋体"/>
                <w:sz w:val="24"/>
              </w:rPr>
              <w:t>8、提供所投产品的合法来源渠道；</w:t>
            </w:r>
          </w:p>
          <w:p>
            <w:pPr>
              <w:spacing w:line="360" w:lineRule="auto"/>
              <w:rPr>
                <w:rFonts w:ascii="宋体" w:hAnsi="宋体" w:cs="宋体"/>
                <w:kern w:val="0"/>
                <w:sz w:val="24"/>
              </w:rPr>
            </w:pPr>
            <w:r>
              <w:rPr>
                <w:rFonts w:hint="eastAsia" w:ascii="宋体" w:hAnsi="宋体"/>
                <w:sz w:val="24"/>
              </w:rPr>
              <w:t>9、本项目不接受联合体。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exact"/>
          <w:jc w:val="center"/>
        </w:trPr>
        <w:tc>
          <w:tcPr>
            <w:tcW w:w="1085" w:type="dxa"/>
            <w:vMerge w:val="continue"/>
            <w:vAlign w:val="center"/>
          </w:tcPr>
          <w:p>
            <w:pPr>
              <w:spacing w:line="500" w:lineRule="exact"/>
              <w:jc w:val="center"/>
              <w:rPr>
                <w:rFonts w:ascii="宋体" w:hAnsi="宋体" w:cs="宋体"/>
                <w:sz w:val="24"/>
              </w:rPr>
            </w:pPr>
          </w:p>
        </w:tc>
        <w:tc>
          <w:tcPr>
            <w:tcW w:w="8169" w:type="dxa"/>
            <w:vAlign w:val="center"/>
          </w:tcPr>
          <w:p>
            <w:pPr>
              <w:spacing w:line="500" w:lineRule="exact"/>
              <w:rPr>
                <w:rFonts w:ascii="宋体" w:hAnsi="宋体" w:cs="宋体"/>
                <w:kern w:val="0"/>
                <w:sz w:val="24"/>
              </w:rPr>
            </w:pPr>
            <w:r>
              <w:rPr>
                <w:rFonts w:hint="eastAsia" w:ascii="宋体" w:hAnsi="宋体" w:cs="宋体"/>
                <w:kern w:val="0"/>
                <w:sz w:val="24"/>
              </w:rPr>
              <w:t xml:space="preserve">评审原则：资格审查结果为合格或不合格，以上内容有一项不符合要求即为不合格。资格审查不合格的单位不参与后续内容的评审。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exact"/>
          <w:jc w:val="center"/>
        </w:trPr>
        <w:tc>
          <w:tcPr>
            <w:tcW w:w="1085" w:type="dxa"/>
            <w:vAlign w:val="center"/>
          </w:tcPr>
          <w:p>
            <w:pPr>
              <w:spacing w:line="500" w:lineRule="exact"/>
              <w:jc w:val="center"/>
              <w:rPr>
                <w:rFonts w:ascii="宋体" w:hAnsi="宋体" w:cs="宋体"/>
                <w:sz w:val="24"/>
              </w:rPr>
            </w:pPr>
            <w:r>
              <w:rPr>
                <w:rFonts w:hint="eastAsia" w:ascii="宋体" w:hAnsi="宋体" w:cs="宋体"/>
                <w:bCs/>
                <w:sz w:val="24"/>
              </w:rPr>
              <w:t>符合性审查</w:t>
            </w:r>
          </w:p>
        </w:tc>
        <w:tc>
          <w:tcPr>
            <w:tcW w:w="8169" w:type="dxa"/>
            <w:vAlign w:val="center"/>
          </w:tcPr>
          <w:p>
            <w:pPr>
              <w:snapToGrid w:val="0"/>
              <w:spacing w:line="360" w:lineRule="auto"/>
              <w:rPr>
                <w:rFonts w:ascii="宋体" w:hAnsi="宋体" w:cs="宋体"/>
                <w:bCs/>
                <w:sz w:val="24"/>
              </w:rPr>
            </w:pPr>
            <w:r>
              <w:rPr>
                <w:rFonts w:hint="eastAsia" w:ascii="宋体" w:hAnsi="宋体" w:cs="宋体"/>
                <w:bCs/>
                <w:sz w:val="24"/>
              </w:rPr>
              <w:t>1、投标文件的签署、加盖印章是否合格、有效；</w:t>
            </w:r>
          </w:p>
          <w:p>
            <w:pPr>
              <w:snapToGrid w:val="0"/>
              <w:spacing w:line="360" w:lineRule="auto"/>
              <w:rPr>
                <w:rFonts w:ascii="宋体" w:hAnsi="宋体" w:cs="宋体"/>
                <w:bCs/>
                <w:sz w:val="24"/>
              </w:rPr>
            </w:pPr>
            <w:r>
              <w:rPr>
                <w:rFonts w:hint="eastAsia" w:ascii="宋体" w:hAnsi="宋体" w:cs="宋体"/>
                <w:bCs/>
                <w:sz w:val="24"/>
              </w:rPr>
              <w:t>2、投标有效期是否符合招标文件的要求；</w:t>
            </w:r>
          </w:p>
          <w:p>
            <w:pPr>
              <w:snapToGrid w:val="0"/>
              <w:spacing w:line="360" w:lineRule="auto"/>
              <w:rPr>
                <w:rFonts w:ascii="宋体" w:hAnsi="宋体" w:cs="宋体"/>
                <w:bCs/>
                <w:sz w:val="24"/>
              </w:rPr>
            </w:pPr>
            <w:r>
              <w:rPr>
                <w:rFonts w:hint="eastAsia" w:ascii="宋体" w:hAnsi="宋体" w:cs="宋体"/>
                <w:bCs/>
                <w:sz w:val="24"/>
              </w:rPr>
              <w:t>3、投标报价是否符合招标文件要求；</w:t>
            </w:r>
          </w:p>
          <w:p>
            <w:pPr>
              <w:snapToGrid w:val="0"/>
              <w:spacing w:line="360" w:lineRule="auto"/>
              <w:rPr>
                <w:rFonts w:ascii="宋体" w:hAnsi="宋体" w:cs="宋体"/>
                <w:bCs/>
                <w:sz w:val="24"/>
              </w:rPr>
            </w:pPr>
            <w:r>
              <w:rPr>
                <w:rFonts w:hint="eastAsia" w:ascii="宋体" w:hAnsi="宋体" w:cs="宋体"/>
                <w:bCs/>
                <w:sz w:val="24"/>
              </w:rPr>
              <w:t>4、投标文件响应内容是否符合国家法律法规，是否实质性响应了招标文件要求，没有重大偏离。对于重大偏离，在开标后不得澄清、纠正及补充。</w:t>
            </w:r>
          </w:p>
        </w:tc>
      </w:tr>
    </w:tbl>
    <w:p>
      <w:pPr>
        <w:snapToGrid w:val="0"/>
        <w:spacing w:line="360" w:lineRule="auto"/>
        <w:rPr>
          <w:rFonts w:ascii="宋体" w:hAnsi="宋体" w:cs="宋体"/>
        </w:rPr>
      </w:pPr>
      <w:bookmarkStart w:id="4" w:name="_Toc448265597"/>
      <w:bookmarkStart w:id="5" w:name="_Toc448265596"/>
    </w:p>
    <w:p>
      <w:pPr>
        <w:pStyle w:val="13"/>
      </w:pPr>
    </w:p>
    <w:tbl>
      <w:tblPr>
        <w:tblStyle w:val="19"/>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1870"/>
        <w:gridCol w:w="5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38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宋体"/>
                <w:sz w:val="24"/>
              </w:rPr>
            </w:pPr>
            <w:bookmarkStart w:id="6" w:name="_Hlk40172559"/>
            <w:r>
              <w:rPr>
                <w:rFonts w:hint="eastAsia" w:ascii="宋体" w:hAnsi="宋体" w:cs="宋体"/>
                <w:sz w:val="24"/>
              </w:rPr>
              <w:t>评标</w:t>
            </w:r>
          </w:p>
          <w:p>
            <w:pPr>
              <w:adjustRightInd w:val="0"/>
              <w:snapToGrid w:val="0"/>
              <w:rPr>
                <w:rFonts w:ascii="宋体" w:hAnsi="宋体" w:cs="宋体"/>
                <w:sz w:val="24"/>
              </w:rPr>
            </w:pPr>
            <w:r>
              <w:rPr>
                <w:rFonts w:hint="eastAsia" w:ascii="宋体" w:hAnsi="宋体" w:cs="宋体"/>
                <w:sz w:val="24"/>
              </w:rPr>
              <w:t>因素</w:t>
            </w:r>
          </w:p>
        </w:tc>
        <w:tc>
          <w:tcPr>
            <w:tcW w:w="18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4"/>
              </w:rPr>
            </w:pPr>
            <w:r>
              <w:rPr>
                <w:rFonts w:hint="eastAsia" w:ascii="宋体" w:hAnsi="宋体" w:cs="宋体"/>
                <w:sz w:val="24"/>
              </w:rPr>
              <w:t>权值%</w:t>
            </w:r>
          </w:p>
        </w:tc>
        <w:tc>
          <w:tcPr>
            <w:tcW w:w="594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4"/>
              </w:rPr>
            </w:pPr>
            <w:r>
              <w:rPr>
                <w:rFonts w:hint="eastAsia" w:ascii="宋体" w:hAnsi="宋体" w:cs="宋体"/>
                <w:sz w:val="24"/>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38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sz w:val="24"/>
                <w:lang w:val="zh-CN"/>
              </w:rPr>
            </w:pPr>
            <w:r>
              <w:rPr>
                <w:rFonts w:hint="eastAsia" w:ascii="宋体" w:hAnsi="宋体"/>
                <w:b/>
                <w:sz w:val="24"/>
                <w:lang w:val="zh-CN"/>
              </w:rPr>
              <w:t>分值构成</w:t>
            </w:r>
          </w:p>
          <w:p>
            <w:pPr>
              <w:spacing w:line="276" w:lineRule="auto"/>
              <w:jc w:val="center"/>
              <w:rPr>
                <w:rFonts w:ascii="宋体" w:hAnsi="宋体" w:cs="宋体"/>
                <w:sz w:val="24"/>
              </w:rPr>
            </w:pPr>
            <w:r>
              <w:rPr>
                <w:rFonts w:hint="eastAsia" w:ascii="宋体" w:hAnsi="宋体"/>
                <w:b/>
                <w:sz w:val="24"/>
                <w:lang w:val="zh-CN"/>
              </w:rPr>
              <w:t>（总分100分）</w:t>
            </w:r>
          </w:p>
        </w:tc>
        <w:tc>
          <w:tcPr>
            <w:tcW w:w="1870"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276" w:lineRule="auto"/>
              <w:rPr>
                <w:rFonts w:ascii="宋体" w:hAnsi="宋体"/>
                <w:b/>
                <w:sz w:val="24"/>
              </w:rPr>
            </w:pPr>
            <w:r>
              <w:rPr>
                <w:rFonts w:hint="eastAsia" w:ascii="宋体" w:hAnsi="宋体"/>
                <w:b/>
                <w:sz w:val="24"/>
              </w:rPr>
              <w:t>价格部分：</w:t>
            </w:r>
            <w:r>
              <w:rPr>
                <w:rFonts w:hint="eastAsia" w:ascii="宋体" w:hAnsi="宋体"/>
                <w:b/>
                <w:sz w:val="24"/>
                <w:u w:val="single"/>
              </w:rPr>
              <w:t>30</w:t>
            </w:r>
            <w:r>
              <w:rPr>
                <w:rFonts w:hint="eastAsia" w:ascii="宋体" w:hAnsi="宋体"/>
                <w:b/>
                <w:sz w:val="24"/>
              </w:rPr>
              <w:t>分</w:t>
            </w:r>
          </w:p>
          <w:p>
            <w:pPr>
              <w:tabs>
                <w:tab w:val="left" w:pos="1180"/>
              </w:tabs>
              <w:spacing w:line="276" w:lineRule="auto"/>
              <w:rPr>
                <w:rFonts w:ascii="宋体" w:hAnsi="宋体"/>
                <w:b/>
                <w:sz w:val="24"/>
              </w:rPr>
            </w:pPr>
            <w:r>
              <w:rPr>
                <w:rFonts w:hint="eastAsia" w:ascii="宋体" w:hAnsi="宋体"/>
                <w:b/>
                <w:sz w:val="24"/>
              </w:rPr>
              <w:t>商务部分：</w:t>
            </w:r>
            <w:r>
              <w:rPr>
                <w:rFonts w:hint="eastAsia" w:ascii="宋体" w:hAnsi="宋体"/>
                <w:b/>
                <w:sz w:val="24"/>
                <w:u w:val="single"/>
              </w:rPr>
              <w:t>35</w:t>
            </w:r>
            <w:r>
              <w:rPr>
                <w:rFonts w:hint="eastAsia" w:ascii="宋体" w:hAnsi="宋体"/>
                <w:b/>
                <w:sz w:val="24"/>
              </w:rPr>
              <w:t>分</w:t>
            </w:r>
          </w:p>
          <w:p>
            <w:pPr>
              <w:tabs>
                <w:tab w:val="left" w:pos="1180"/>
              </w:tabs>
              <w:spacing w:line="276" w:lineRule="auto"/>
              <w:rPr>
                <w:rFonts w:ascii="宋体" w:hAnsi="宋体" w:cs="宋体"/>
                <w:sz w:val="24"/>
              </w:rPr>
            </w:pPr>
            <w:r>
              <w:rPr>
                <w:rFonts w:hint="eastAsia" w:ascii="宋体" w:hAnsi="宋体"/>
                <w:b/>
                <w:sz w:val="24"/>
              </w:rPr>
              <w:t>技术部分：</w:t>
            </w:r>
            <w:r>
              <w:rPr>
                <w:rFonts w:hint="eastAsia" w:ascii="宋体" w:hAnsi="宋体"/>
                <w:b/>
                <w:sz w:val="24"/>
                <w:u w:val="single"/>
              </w:rPr>
              <w:t>35</w:t>
            </w:r>
            <w:r>
              <w:rPr>
                <w:rFonts w:hint="eastAsia" w:ascii="宋体" w:hAnsi="宋体"/>
                <w:b/>
                <w:sz w:val="24"/>
              </w:rPr>
              <w:t>分</w:t>
            </w:r>
          </w:p>
        </w:tc>
        <w:tc>
          <w:tcPr>
            <w:tcW w:w="59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sz w:val="24"/>
                <w:lang w:val="zh-CN"/>
              </w:rPr>
            </w:pPr>
            <w:r>
              <w:rPr>
                <w:rFonts w:hint="eastAsia" w:ascii="宋体" w:hAnsi="宋体"/>
                <w:b/>
                <w:sz w:val="24"/>
                <w:lang w:val="zh-CN"/>
              </w:rPr>
              <w:t>分值构成</w:t>
            </w:r>
          </w:p>
          <w:p>
            <w:pPr>
              <w:spacing w:line="276" w:lineRule="auto"/>
              <w:jc w:val="center"/>
              <w:rPr>
                <w:rFonts w:ascii="宋体" w:hAnsi="宋体" w:cs="宋体"/>
                <w:sz w:val="24"/>
              </w:rPr>
            </w:pPr>
            <w:r>
              <w:rPr>
                <w:rFonts w:hint="eastAsia" w:ascii="宋体" w:hAnsi="宋体"/>
                <w:b/>
                <w:sz w:val="24"/>
                <w:lang w:val="zh-CN"/>
              </w:rPr>
              <w:t>（总分100分）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138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cs="宋体"/>
                <w:sz w:val="24"/>
              </w:rPr>
              <w:t>价格</w:t>
            </w:r>
          </w:p>
        </w:tc>
        <w:tc>
          <w:tcPr>
            <w:tcW w:w="18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4"/>
              </w:rPr>
            </w:pPr>
            <w:r>
              <w:rPr>
                <w:rFonts w:hint="eastAsia" w:ascii="宋体" w:hAnsi="宋体" w:cs="宋体"/>
                <w:sz w:val="24"/>
              </w:rPr>
              <w:t>30%</w:t>
            </w:r>
          </w:p>
        </w:tc>
        <w:tc>
          <w:tcPr>
            <w:tcW w:w="59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ascii="宋体" w:hAnsi="宋体" w:cs="宋体"/>
                <w:kern w:val="0"/>
                <w:sz w:val="24"/>
              </w:rPr>
            </w:pPr>
            <w:r>
              <w:rPr>
                <w:rFonts w:hint="eastAsia" w:ascii="宋体" w:hAnsi="宋体" w:cs="宋体"/>
                <w:kern w:val="0"/>
                <w:sz w:val="24"/>
              </w:rPr>
              <w:t>采用低价优先法计算，即满足招标文件要求且投标价格最低的投标报价为评标基准价（低于成本价除外），其价格分为满分。</w:t>
            </w:r>
          </w:p>
          <w:p>
            <w:pPr>
              <w:widowControl/>
              <w:spacing w:line="360" w:lineRule="auto"/>
              <w:rPr>
                <w:rFonts w:ascii="宋体" w:hAnsi="宋体" w:cs="宋体"/>
                <w:kern w:val="0"/>
                <w:sz w:val="24"/>
              </w:rPr>
            </w:pPr>
            <w:r>
              <w:rPr>
                <w:rFonts w:hint="eastAsia" w:ascii="宋体" w:hAnsi="宋体" w:cs="宋体"/>
                <w:kern w:val="0"/>
                <w:sz w:val="24"/>
              </w:rPr>
              <w:t>投标报价得分＝（评标基准价/投标报价）*30</w:t>
            </w:r>
          </w:p>
          <w:p>
            <w:pPr>
              <w:widowControl/>
              <w:spacing w:line="360" w:lineRule="auto"/>
              <w:rPr>
                <w:rFonts w:ascii="宋体" w:hAnsi="宋体" w:cs="宋体"/>
                <w:kern w:val="0"/>
                <w:sz w:val="24"/>
              </w:rPr>
            </w:pPr>
            <w:r>
              <w:rPr>
                <w:rFonts w:hint="eastAsia" w:ascii="宋体" w:hAnsi="宋体" w:cs="宋体"/>
                <w:kern w:val="0"/>
                <w:sz w:val="24"/>
              </w:rPr>
              <w:t>备注：当评标委员会认为某个投标单位的报价明显低于其他通过符合性审查投标单位的报价，有可能影响设备质量和不能诚信履约的，应要求该投标单位在评标现场合理的时间内提供书面说明，必要时提交相关证明材料；投标单位不能证明其报价合理的，评标委员会将其作为无效文件处理。</w:t>
            </w:r>
          </w:p>
          <w:p>
            <w:pPr>
              <w:widowControl/>
              <w:spacing w:line="360" w:lineRule="auto"/>
              <w:rPr>
                <w:rFonts w:ascii="宋体" w:hAnsi="宋体" w:cs="宋体"/>
                <w:sz w:val="24"/>
              </w:rPr>
            </w:pPr>
            <w:r>
              <w:rPr>
                <w:rFonts w:hint="eastAsia" w:ascii="宋体" w:hAnsi="宋体" w:cs="宋体"/>
                <w:kern w:val="0"/>
                <w:sz w:val="24"/>
              </w:rPr>
              <w:t>符合招标文件规定的小型、微型企业、监狱企业、福利企业优惠条件的供应商，价格给予6%的扣除，用扣除后的价格参与评审。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138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宋体"/>
                <w:sz w:val="24"/>
              </w:rPr>
            </w:pPr>
            <w:r>
              <w:rPr>
                <w:rFonts w:hint="eastAsia" w:ascii="宋体" w:hAnsi="宋体" w:cs="宋体"/>
                <w:sz w:val="24"/>
              </w:rPr>
              <w:t>技术部分</w:t>
            </w:r>
          </w:p>
        </w:tc>
        <w:tc>
          <w:tcPr>
            <w:tcW w:w="18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 w:val="24"/>
              </w:rPr>
            </w:pPr>
            <w:r>
              <w:rPr>
                <w:rFonts w:hint="eastAsia" w:ascii="宋体" w:hAnsi="宋体" w:cs="宋体"/>
                <w:sz w:val="24"/>
              </w:rPr>
              <w:t>35%</w:t>
            </w:r>
          </w:p>
        </w:tc>
        <w:tc>
          <w:tcPr>
            <w:tcW w:w="59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ascii="宋体" w:hAnsi="宋体" w:cs="宋体"/>
                <w:kern w:val="0"/>
                <w:sz w:val="24"/>
              </w:rPr>
            </w:pPr>
            <w:r>
              <w:rPr>
                <w:rFonts w:hint="eastAsia" w:ascii="宋体" w:hAnsi="宋体" w:cs="宋体"/>
                <w:b/>
                <w:bCs/>
                <w:kern w:val="0"/>
                <w:sz w:val="24"/>
              </w:rPr>
              <w:t>1、项目集成方案（10分）：</w:t>
            </w:r>
            <w:r>
              <w:rPr>
                <w:rFonts w:hint="eastAsia" w:ascii="宋体" w:hAnsi="宋体" w:cs="宋体"/>
                <w:kern w:val="0"/>
                <w:sz w:val="24"/>
              </w:rPr>
              <w:t>提供完善的集成方案（包含设计方案、系统实施集成、系统安装和运输及测试方案，以及与现有上级设备的兼容方案，有图文描述等），完全响应且响应内容详细明确得（6-10）分；基本响应但响应内容不详细不明确的得(1-5.9)分；</w:t>
            </w:r>
          </w:p>
          <w:p>
            <w:pPr>
              <w:widowControl/>
              <w:spacing w:line="360" w:lineRule="auto"/>
              <w:rPr>
                <w:rFonts w:ascii="宋体" w:hAnsi="宋体" w:cs="宋体"/>
                <w:kern w:val="0"/>
                <w:sz w:val="24"/>
              </w:rPr>
            </w:pPr>
            <w:r>
              <w:rPr>
                <w:rFonts w:hint="eastAsia" w:ascii="宋体" w:hAnsi="宋体" w:cs="宋体"/>
                <w:b/>
                <w:bCs/>
                <w:kern w:val="0"/>
                <w:sz w:val="24"/>
              </w:rPr>
              <w:t>2、售后服务方案（10分）：</w:t>
            </w:r>
            <w:r>
              <w:rPr>
                <w:rFonts w:hint="eastAsia" w:ascii="宋体" w:hAnsi="宋体" w:cs="宋体"/>
                <w:kern w:val="0"/>
                <w:sz w:val="24"/>
              </w:rPr>
              <w:t>提供完善的售后服务方案（应包含厂家售后服务承诺函，售后服务架构、售后服务响应时间、售后服务计划、售后服务流程、质量保证期限及范围、零配件供应保障措施），完全响应且响应内容详细明确得（6-10）分；基本响应但响应内容不详细不明确的得(1-5.9)分；</w:t>
            </w:r>
          </w:p>
          <w:p>
            <w:pPr>
              <w:widowControl/>
              <w:spacing w:line="360" w:lineRule="auto"/>
              <w:rPr>
                <w:rFonts w:ascii="宋体" w:hAnsi="宋体" w:cs="宋体"/>
                <w:kern w:val="0"/>
                <w:sz w:val="24"/>
              </w:rPr>
            </w:pPr>
            <w:r>
              <w:rPr>
                <w:rFonts w:hint="eastAsia" w:ascii="宋体" w:hAnsi="宋体" w:cs="宋体"/>
                <w:b/>
                <w:bCs/>
                <w:kern w:val="0"/>
                <w:sz w:val="24"/>
              </w:rPr>
              <w:t>3、项目实施团队（5分）：</w:t>
            </w:r>
            <w:r>
              <w:rPr>
                <w:rFonts w:hint="eastAsia" w:ascii="宋体" w:hAnsi="宋体" w:cs="宋体"/>
                <w:kern w:val="0"/>
                <w:sz w:val="24"/>
              </w:rPr>
              <w:t>提供至少15人的项目实施团队及提供项目所在地售后服务团队证明材料，有详细人员配置名单及分工，能够满足项目实施进度及项目所在地售后安排得（3-5）分；团队配置不满足要求或团队配置欠缺，无法保证项目的顺利实施得（1-2.9）分；</w:t>
            </w:r>
          </w:p>
          <w:p>
            <w:pPr>
              <w:widowControl/>
              <w:spacing w:line="360" w:lineRule="auto"/>
              <w:rPr>
                <w:rFonts w:ascii="宋体" w:hAnsi="宋体" w:cs="宋体"/>
                <w:kern w:val="0"/>
                <w:sz w:val="24"/>
              </w:rPr>
            </w:pPr>
            <w:r>
              <w:rPr>
                <w:rFonts w:hint="eastAsia" w:ascii="宋体" w:hAnsi="宋体" w:cs="宋体"/>
                <w:b/>
                <w:bCs/>
                <w:kern w:val="0"/>
                <w:sz w:val="24"/>
              </w:rPr>
              <w:t>4、应急方案（5分）：</w:t>
            </w:r>
            <w:r>
              <w:rPr>
                <w:rFonts w:hint="eastAsia" w:ascii="宋体" w:hAnsi="宋体" w:cs="宋体"/>
                <w:kern w:val="0"/>
                <w:sz w:val="24"/>
              </w:rPr>
              <w:t>针对本项目提供完善的应急方案（应包括应对突发情况的应急处理方案、补救措施，详细的人员、财力调配、运输、派送措施等）依据响应能力，得(1-5)分；</w:t>
            </w:r>
          </w:p>
          <w:p>
            <w:pPr>
              <w:widowControl/>
              <w:spacing w:line="360" w:lineRule="auto"/>
              <w:jc w:val="left"/>
              <w:rPr>
                <w:sz w:val="24"/>
              </w:rPr>
            </w:pPr>
            <w:r>
              <w:rPr>
                <w:rFonts w:hint="eastAsia" w:ascii="宋体" w:hAnsi="宋体" w:cs="宋体"/>
                <w:b/>
                <w:bCs/>
                <w:kern w:val="0"/>
                <w:sz w:val="24"/>
              </w:rPr>
              <w:t>5、培训方案（5分）：</w:t>
            </w:r>
            <w:r>
              <w:rPr>
                <w:rFonts w:hint="eastAsia" w:ascii="宋体" w:hAnsi="宋体" w:cs="宋体"/>
                <w:kern w:val="0"/>
                <w:sz w:val="24"/>
              </w:rPr>
              <w:t>投标文件有具体完整可行的操作技术培训措施方案，使用户达到设备的正常使用，有明确的培训服务内容、服务人员、服务方式、服务响应时间等内容得(1-5)分；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1386"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cs="宋体"/>
                <w:sz w:val="24"/>
              </w:rPr>
            </w:pPr>
            <w:r>
              <w:rPr>
                <w:rFonts w:hint="eastAsia" w:ascii="宋体" w:hAnsi="宋体" w:cs="宋体"/>
                <w:sz w:val="24"/>
              </w:rPr>
              <w:t>商务部分</w:t>
            </w:r>
          </w:p>
        </w:tc>
        <w:tc>
          <w:tcPr>
            <w:tcW w:w="1870"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276" w:lineRule="auto"/>
              <w:jc w:val="center"/>
              <w:rPr>
                <w:rFonts w:ascii="宋体" w:hAnsi="宋体" w:cs="宋体"/>
                <w:sz w:val="24"/>
              </w:rPr>
            </w:pPr>
            <w:r>
              <w:rPr>
                <w:rFonts w:hint="eastAsia" w:ascii="宋体" w:hAnsi="宋体" w:cs="宋体"/>
                <w:sz w:val="24"/>
              </w:rPr>
              <w:t>35%</w:t>
            </w:r>
          </w:p>
        </w:tc>
        <w:tc>
          <w:tcPr>
            <w:tcW w:w="59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sz w:val="24"/>
              </w:rPr>
            </w:pPr>
            <w:r>
              <w:rPr>
                <w:rFonts w:hint="eastAsia"/>
                <w:b/>
                <w:bCs/>
                <w:sz w:val="24"/>
              </w:rPr>
              <w:t>1、质量保证（25分）</w:t>
            </w:r>
            <w:r>
              <w:rPr>
                <w:rFonts w:hint="eastAsia"/>
                <w:sz w:val="24"/>
              </w:rPr>
              <w:t>：</w:t>
            </w:r>
          </w:p>
          <w:p>
            <w:pPr>
              <w:widowControl/>
              <w:spacing w:line="360" w:lineRule="auto"/>
              <w:jc w:val="left"/>
              <w:rPr>
                <w:rFonts w:ascii="宋体" w:hAnsi="宋体" w:cs="宋体"/>
                <w:kern w:val="0"/>
                <w:sz w:val="24"/>
              </w:rPr>
            </w:pPr>
            <w:r>
              <w:rPr>
                <w:rFonts w:hint="eastAsia" w:ascii="宋体" w:hAnsi="宋体" w:cs="宋体"/>
                <w:kern w:val="0"/>
                <w:sz w:val="24"/>
              </w:rPr>
              <w:t>1.1设备规格描述详细，各部分功能满足招标文件要求，层次清楚，结构合理，功能直观。整个产品配置合理，达到实用、先进、稳定、合理和扩展性的要求，提供实物图片及阐述原理得1-5分；</w:t>
            </w:r>
          </w:p>
          <w:p>
            <w:pPr>
              <w:widowControl/>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1.2投标产品的技术参数和功能要求，</w:t>
            </w:r>
            <w:r>
              <w:rPr>
                <w:rFonts w:hint="eastAsia" w:ascii="宋体" w:hAnsi="宋体" w:cs="仿宋_GB2312"/>
                <w:color w:val="auto"/>
                <w:sz w:val="24"/>
                <w:highlight w:val="none"/>
              </w:rPr>
              <w:t>所</w:t>
            </w:r>
            <w:r>
              <w:rPr>
                <w:rFonts w:hint="eastAsia" w:ascii="宋体" w:hAnsi="宋体" w:cs="宋体"/>
                <w:color w:val="auto"/>
                <w:kern w:val="0"/>
                <w:sz w:val="24"/>
                <w:highlight w:val="none"/>
              </w:rPr>
              <w:t>投产品</w:t>
            </w:r>
            <w:r>
              <w:rPr>
                <w:rFonts w:hint="eastAsia" w:ascii="宋体" w:hAnsi="宋体" w:cs="仿宋_GB2312"/>
                <w:color w:val="auto"/>
                <w:sz w:val="24"/>
                <w:highlight w:val="none"/>
              </w:rPr>
              <w:t>性能优越、实用性强完全满足项目所需，计14-20分。所</w:t>
            </w:r>
            <w:r>
              <w:rPr>
                <w:rFonts w:hint="eastAsia" w:ascii="宋体" w:hAnsi="宋体" w:cs="宋体"/>
                <w:color w:val="auto"/>
                <w:kern w:val="0"/>
                <w:sz w:val="24"/>
                <w:highlight w:val="none"/>
              </w:rPr>
              <w:t>投产品</w:t>
            </w:r>
            <w:r>
              <w:rPr>
                <w:rFonts w:hint="eastAsia" w:ascii="宋体" w:hAnsi="宋体" w:cs="仿宋_GB2312"/>
                <w:color w:val="auto"/>
                <w:sz w:val="24"/>
                <w:highlight w:val="none"/>
              </w:rPr>
              <w:t>性能一般、实用性一般，可以满足项目所需，计7-13.9分。所</w:t>
            </w:r>
            <w:r>
              <w:rPr>
                <w:rFonts w:hint="eastAsia" w:ascii="宋体" w:hAnsi="宋体" w:cs="宋体"/>
                <w:color w:val="auto"/>
                <w:kern w:val="0"/>
                <w:sz w:val="24"/>
                <w:highlight w:val="none"/>
              </w:rPr>
              <w:t>投产品</w:t>
            </w:r>
            <w:r>
              <w:rPr>
                <w:rFonts w:hint="eastAsia" w:ascii="宋体" w:hAnsi="宋体" w:cs="仿宋_GB2312"/>
                <w:color w:val="auto"/>
                <w:sz w:val="24"/>
                <w:highlight w:val="none"/>
              </w:rPr>
              <w:t>性能较差、实用性差，基本满足项目所需，计0-6.9分。</w:t>
            </w:r>
          </w:p>
          <w:p>
            <w:pPr>
              <w:pStyle w:val="2"/>
              <w:rPr>
                <w:rFonts w:cs="宋体"/>
                <w:bCs w:val="0"/>
                <w:kern w:val="0"/>
                <w:szCs w:val="24"/>
              </w:rPr>
            </w:pPr>
            <w:r>
              <w:rPr>
                <w:rFonts w:hint="eastAsia" w:ascii="Times New Roman" w:hAnsi="Times New Roman"/>
                <w:b/>
                <w:szCs w:val="24"/>
              </w:rPr>
              <w:t>2、服务承诺（2分）</w:t>
            </w:r>
            <w:r>
              <w:rPr>
                <w:rFonts w:hint="eastAsia" w:cs="宋体"/>
                <w:szCs w:val="24"/>
              </w:rPr>
              <w:t>：</w:t>
            </w:r>
            <w:r>
              <w:rPr>
                <w:rFonts w:hint="eastAsia" w:cs="宋体"/>
                <w:bCs w:val="0"/>
                <w:kern w:val="0"/>
                <w:szCs w:val="24"/>
              </w:rPr>
              <w:t>提供核心设备厂商对本项目无缝对接上级国家教育考试巡查系统建设规范标准的设备接入承诺函得2分，不提供不得分。</w:t>
            </w:r>
          </w:p>
          <w:p>
            <w:pPr>
              <w:spacing w:line="360" w:lineRule="auto"/>
              <w:rPr>
                <w:rFonts w:ascii="宋体" w:hAnsi="宋体" w:cs="宋体"/>
                <w:kern w:val="0"/>
                <w:sz w:val="24"/>
              </w:rPr>
            </w:pPr>
            <w:r>
              <w:rPr>
                <w:rFonts w:hint="eastAsia" w:ascii="宋体" w:hAnsi="宋体" w:cs="宋体"/>
                <w:b/>
                <w:bCs/>
                <w:sz w:val="24"/>
              </w:rPr>
              <w:t>3、业绩（8分）：</w:t>
            </w:r>
            <w:r>
              <w:rPr>
                <w:rFonts w:hint="eastAsia" w:ascii="宋体" w:hAnsi="宋体" w:cs="宋体"/>
                <w:sz w:val="24"/>
              </w:rPr>
              <w:t>提供2018年以来类似项目的业绩证明文件</w:t>
            </w:r>
            <w:r>
              <w:rPr>
                <w:rFonts w:hint="eastAsia" w:ascii="宋体" w:hAnsi="宋体" w:cs="宋体"/>
                <w:kern w:val="0"/>
                <w:sz w:val="24"/>
              </w:rPr>
              <w:t>（即合同及</w:t>
            </w:r>
            <w:r>
              <w:rPr>
                <w:rFonts w:hint="eastAsia" w:ascii="宋体" w:hAnsi="宋体" w:cs="宋体"/>
                <w:sz w:val="24"/>
              </w:rPr>
              <w:t>中标通知书</w:t>
            </w:r>
            <w:r>
              <w:rPr>
                <w:rFonts w:hint="eastAsia" w:ascii="宋体" w:hAnsi="宋体" w:cs="宋体"/>
                <w:kern w:val="0"/>
                <w:sz w:val="24"/>
              </w:rPr>
              <w:t>），评审时以加盖供应商公章的业绩证明文件复印件为计分依据，每出具一份得2分，满分8分</w:t>
            </w:r>
            <w:r>
              <w:rPr>
                <w:rFonts w:hint="eastAsia" w:ascii="宋体" w:hAnsi="宋体" w:cs="宋体"/>
                <w:sz w:val="24"/>
              </w:rPr>
              <w:t>。</w:t>
            </w:r>
          </w:p>
        </w:tc>
      </w:tr>
      <w:bookmarkEnd w:id="6"/>
    </w:tbl>
    <w:p>
      <w:pPr>
        <w:pStyle w:val="15"/>
        <w:spacing w:line="360" w:lineRule="auto"/>
        <w:rPr>
          <w:rFonts w:cs="宋体"/>
          <w:sz w:val="24"/>
          <w:szCs w:val="24"/>
        </w:rPr>
      </w:pPr>
      <w:r>
        <w:rPr>
          <w:rFonts w:hint="eastAsia" w:cs="宋体"/>
          <w:b/>
          <w:sz w:val="24"/>
          <w:szCs w:val="24"/>
        </w:rPr>
        <w:t>注：</w:t>
      </w:r>
      <w:r>
        <w:rPr>
          <w:rFonts w:hint="eastAsia" w:cs="宋体"/>
          <w:sz w:val="24"/>
          <w:szCs w:val="24"/>
        </w:rPr>
        <w:t>1）若出现缺项或只有标题无内容或内容有严重错误者，该项得0分。</w:t>
      </w:r>
    </w:p>
    <w:p>
      <w:pPr>
        <w:pStyle w:val="15"/>
        <w:spacing w:line="360" w:lineRule="auto"/>
        <w:ind w:firstLine="480" w:firstLineChars="200"/>
        <w:rPr>
          <w:rFonts w:cs="宋体"/>
          <w:sz w:val="24"/>
          <w:szCs w:val="24"/>
        </w:rPr>
      </w:pPr>
      <w:r>
        <w:rPr>
          <w:rFonts w:hint="eastAsia" w:cs="宋体"/>
          <w:sz w:val="24"/>
          <w:szCs w:val="24"/>
        </w:rPr>
        <w:t>2) 以上各项打分均由评标委员会共同认定，如评标委员会在认定上出现意见分歧，由评标委员会进行表决，以少数服从多数决定原则确定，并作记录。</w:t>
      </w:r>
    </w:p>
    <w:p>
      <w:pPr>
        <w:pStyle w:val="15"/>
        <w:spacing w:line="360" w:lineRule="auto"/>
        <w:ind w:firstLine="480" w:firstLineChars="200"/>
        <w:rPr>
          <w:rFonts w:cs="宋体"/>
          <w:sz w:val="24"/>
          <w:szCs w:val="24"/>
        </w:rPr>
      </w:pPr>
      <w:r>
        <w:rPr>
          <w:rFonts w:hint="eastAsia" w:cs="宋体"/>
          <w:sz w:val="24"/>
          <w:szCs w:val="24"/>
        </w:rPr>
        <w:t>3) 评委打分超过得分界限或未按本方法赋分时，该评委的打分按废票处理。</w:t>
      </w:r>
    </w:p>
    <w:p>
      <w:pPr>
        <w:pStyle w:val="15"/>
        <w:spacing w:line="360" w:lineRule="auto"/>
        <w:ind w:firstLine="480" w:firstLineChars="200"/>
        <w:rPr>
          <w:rFonts w:cs="宋体"/>
          <w:sz w:val="24"/>
          <w:szCs w:val="24"/>
        </w:rPr>
      </w:pPr>
      <w:r>
        <w:rPr>
          <w:rFonts w:hint="eastAsia" w:cs="宋体"/>
          <w:sz w:val="24"/>
          <w:szCs w:val="24"/>
        </w:rPr>
        <w:t>4) 各种计算采用插入法，数字均保留两位小数，第三位“四舍五入”。</w:t>
      </w:r>
    </w:p>
    <w:p>
      <w:pPr>
        <w:pStyle w:val="15"/>
        <w:spacing w:line="360" w:lineRule="auto"/>
        <w:ind w:firstLine="480" w:firstLineChars="200"/>
        <w:rPr>
          <w:rFonts w:cs="宋体"/>
          <w:b/>
          <w:bCs/>
          <w:sz w:val="24"/>
          <w:szCs w:val="24"/>
        </w:rPr>
      </w:pPr>
      <w:r>
        <w:rPr>
          <w:rFonts w:hint="eastAsia" w:cs="宋体"/>
          <w:sz w:val="24"/>
          <w:szCs w:val="24"/>
        </w:rPr>
        <w:t xml:space="preserve">5) </w:t>
      </w:r>
      <w:r>
        <w:rPr>
          <w:rFonts w:hint="eastAsia" w:cs="宋体"/>
          <w:b/>
          <w:bCs/>
          <w:sz w:val="24"/>
          <w:szCs w:val="24"/>
          <w:lang w:val="zh-CN"/>
        </w:rPr>
        <w:t>提供</w:t>
      </w:r>
      <w:r>
        <w:rPr>
          <w:rFonts w:hint="eastAsia" w:cs="宋体"/>
          <w:b/>
          <w:bCs/>
          <w:sz w:val="24"/>
          <w:szCs w:val="24"/>
        </w:rPr>
        <w:t>核心</w:t>
      </w:r>
      <w:r>
        <w:rPr>
          <w:rFonts w:hint="eastAsia" w:cs="宋体"/>
          <w:b/>
          <w:bCs/>
          <w:sz w:val="24"/>
          <w:szCs w:val="24"/>
          <w:lang w:val="zh-CN"/>
        </w:rPr>
        <w:t>产品（核心产品品牌均相同）品牌相同且通过资格审查、符合性审查的不同投标人参加同一合同项下投标的，按一家投标人计算，评审后得分最高的同品牌投标人获得中标人推荐资格；评审得分相同的，按照技术部分得分最高的方式确定一个投标人获得中标人推荐资格，其他同品牌投标人不作为中标候选人。</w:t>
      </w:r>
    </w:p>
    <w:p>
      <w:pPr>
        <w:pStyle w:val="15"/>
        <w:spacing w:line="360" w:lineRule="auto"/>
        <w:ind w:firstLine="480" w:firstLineChars="200"/>
        <w:rPr>
          <w:rFonts w:cs="宋体"/>
          <w:b/>
          <w:bCs/>
          <w:sz w:val="24"/>
          <w:szCs w:val="24"/>
          <w:lang w:val="zh-CN"/>
        </w:rPr>
      </w:pPr>
      <w:r>
        <w:rPr>
          <w:rFonts w:hint="eastAsia" w:cs="宋体"/>
          <w:b/>
          <w:bCs/>
          <w:sz w:val="24"/>
          <w:szCs w:val="24"/>
        </w:rPr>
        <w:t>1</w:t>
      </w:r>
      <w:r>
        <w:rPr>
          <w:rFonts w:hint="eastAsia" w:cs="宋体"/>
          <w:b/>
          <w:sz w:val="24"/>
          <w:szCs w:val="24"/>
        </w:rPr>
        <w:t>．</w:t>
      </w:r>
      <w:r>
        <w:rPr>
          <w:rFonts w:hint="eastAsia" w:cs="宋体"/>
          <w:b/>
          <w:bCs/>
          <w:sz w:val="24"/>
          <w:szCs w:val="24"/>
          <w:lang w:val="zh-CN"/>
        </w:rPr>
        <w:t>评标委员会</w:t>
      </w:r>
    </w:p>
    <w:p>
      <w:pPr>
        <w:pStyle w:val="15"/>
        <w:spacing w:line="360" w:lineRule="auto"/>
        <w:ind w:firstLine="480" w:firstLineChars="200"/>
        <w:rPr>
          <w:rFonts w:cs="宋体"/>
          <w:sz w:val="24"/>
          <w:szCs w:val="24"/>
          <w:lang w:val="zh-CN"/>
        </w:rPr>
      </w:pPr>
      <w:r>
        <w:rPr>
          <w:rFonts w:hint="eastAsia" w:cs="宋体"/>
          <w:sz w:val="24"/>
          <w:szCs w:val="24"/>
          <w:lang w:val="zh-CN"/>
        </w:rPr>
        <w:t>评审专家应当从政府采购评审专家库内相关专业的专家名单中随机抽取。</w:t>
      </w:r>
    </w:p>
    <w:p>
      <w:pPr>
        <w:pStyle w:val="15"/>
        <w:spacing w:line="360" w:lineRule="auto"/>
        <w:ind w:firstLine="480" w:firstLineChars="200"/>
        <w:rPr>
          <w:rFonts w:cs="宋体"/>
          <w:b/>
          <w:bCs/>
          <w:sz w:val="24"/>
          <w:szCs w:val="24"/>
          <w:lang w:val="zh-CN"/>
        </w:rPr>
      </w:pPr>
      <w:r>
        <w:rPr>
          <w:rFonts w:hint="eastAsia" w:cs="宋体"/>
          <w:b/>
          <w:bCs/>
          <w:sz w:val="24"/>
          <w:szCs w:val="24"/>
        </w:rPr>
        <w:t>2</w:t>
      </w:r>
      <w:r>
        <w:rPr>
          <w:rFonts w:hint="eastAsia" w:cs="宋体"/>
          <w:b/>
          <w:sz w:val="24"/>
          <w:szCs w:val="24"/>
        </w:rPr>
        <w:t>．</w:t>
      </w:r>
      <w:r>
        <w:rPr>
          <w:rFonts w:hint="eastAsia" w:cs="宋体"/>
          <w:b/>
          <w:bCs/>
          <w:sz w:val="24"/>
          <w:szCs w:val="24"/>
          <w:lang w:val="zh-CN"/>
        </w:rPr>
        <w:t>评审纪律</w:t>
      </w:r>
    </w:p>
    <w:p>
      <w:pPr>
        <w:pStyle w:val="15"/>
        <w:spacing w:line="360" w:lineRule="auto"/>
        <w:ind w:firstLine="480" w:firstLineChars="200"/>
        <w:rPr>
          <w:rFonts w:cs="宋体"/>
          <w:sz w:val="24"/>
          <w:szCs w:val="24"/>
          <w:lang w:val="zh-CN"/>
        </w:rPr>
      </w:pPr>
      <w:r>
        <w:rPr>
          <w:rFonts w:hint="eastAsia" w:cs="宋体"/>
          <w:sz w:val="24"/>
          <w:szCs w:val="24"/>
        </w:rPr>
        <w:t>2.1评标委员会成员</w:t>
      </w:r>
      <w:r>
        <w:rPr>
          <w:rFonts w:hint="eastAsia" w:cs="宋体"/>
          <w:sz w:val="24"/>
          <w:szCs w:val="24"/>
          <w:lang w:val="zh-CN"/>
        </w:rPr>
        <w:t>内部讨论的情况和意见必须保密，任何人不得以任何形式透露给投标人或与投标人有关的单位或个人；</w:t>
      </w:r>
    </w:p>
    <w:p>
      <w:pPr>
        <w:pStyle w:val="15"/>
        <w:spacing w:line="360" w:lineRule="auto"/>
        <w:ind w:firstLine="480" w:firstLineChars="200"/>
        <w:rPr>
          <w:rFonts w:cs="宋体"/>
          <w:sz w:val="24"/>
          <w:szCs w:val="24"/>
          <w:lang w:val="zh-CN"/>
        </w:rPr>
      </w:pPr>
      <w:r>
        <w:rPr>
          <w:rFonts w:hint="eastAsia" w:cs="宋体"/>
          <w:sz w:val="24"/>
          <w:szCs w:val="24"/>
        </w:rPr>
        <w:t>2.2</w:t>
      </w:r>
      <w:r>
        <w:rPr>
          <w:rFonts w:hint="eastAsia" w:cs="宋体"/>
          <w:sz w:val="24"/>
          <w:szCs w:val="24"/>
          <w:lang w:val="zh-CN"/>
        </w:rPr>
        <w:t>在评标过程中，投标人不得以任何形式对评标委员会成员进行旨在影响评审结果的私下接触，否则取消其投标资格；</w:t>
      </w:r>
    </w:p>
    <w:p>
      <w:pPr>
        <w:pStyle w:val="15"/>
        <w:spacing w:line="360" w:lineRule="auto"/>
        <w:ind w:firstLine="480" w:firstLineChars="200"/>
        <w:rPr>
          <w:rFonts w:cs="宋体"/>
          <w:sz w:val="24"/>
          <w:szCs w:val="24"/>
          <w:lang w:val="zh-CN"/>
        </w:rPr>
      </w:pPr>
      <w:r>
        <w:rPr>
          <w:rFonts w:hint="eastAsia" w:cs="宋体"/>
          <w:sz w:val="24"/>
          <w:szCs w:val="24"/>
        </w:rPr>
        <w:t>2.3</w:t>
      </w:r>
      <w:r>
        <w:rPr>
          <w:rFonts w:hint="eastAsia" w:cs="宋体"/>
          <w:sz w:val="24"/>
          <w:szCs w:val="24"/>
          <w:lang w:val="zh-CN"/>
        </w:rPr>
        <w:t>评标委员会采用以及与投标有关的人员应当对评审情况和评审过程中获悉的国家秘密、商业秘密予以保密。</w:t>
      </w:r>
    </w:p>
    <w:p>
      <w:pPr>
        <w:pStyle w:val="15"/>
        <w:spacing w:line="360" w:lineRule="auto"/>
        <w:ind w:firstLine="480" w:firstLineChars="200"/>
        <w:rPr>
          <w:rFonts w:cs="宋体"/>
          <w:b/>
          <w:sz w:val="24"/>
          <w:szCs w:val="24"/>
        </w:rPr>
      </w:pPr>
      <w:r>
        <w:rPr>
          <w:rFonts w:hint="eastAsia" w:cs="宋体"/>
          <w:b/>
          <w:sz w:val="24"/>
          <w:szCs w:val="24"/>
        </w:rPr>
        <w:t>3．对投标文件的修正</w:t>
      </w:r>
    </w:p>
    <w:p>
      <w:pPr>
        <w:pStyle w:val="15"/>
        <w:spacing w:line="360" w:lineRule="auto"/>
        <w:ind w:firstLine="480" w:firstLineChars="200"/>
        <w:rPr>
          <w:rFonts w:cs="宋体"/>
          <w:sz w:val="24"/>
          <w:szCs w:val="24"/>
        </w:rPr>
      </w:pPr>
      <w:r>
        <w:rPr>
          <w:rFonts w:hint="eastAsia" w:cs="宋体"/>
          <w:sz w:val="24"/>
          <w:szCs w:val="24"/>
        </w:rPr>
        <w:t>（1）评标时，投标文件正本与副本不一致的，以正本为准。</w:t>
      </w:r>
    </w:p>
    <w:p>
      <w:pPr>
        <w:tabs>
          <w:tab w:val="center" w:pos="5181"/>
        </w:tabs>
        <w:adjustRightInd w:val="0"/>
        <w:snapToGrid w:val="0"/>
        <w:spacing w:line="360" w:lineRule="auto"/>
        <w:ind w:firstLine="480" w:firstLineChars="200"/>
        <w:outlineLvl w:val="0"/>
        <w:rPr>
          <w:rFonts w:ascii="宋体" w:hAnsi="宋体" w:cs="宋体"/>
          <w:sz w:val="24"/>
        </w:rPr>
      </w:pPr>
      <w:r>
        <w:rPr>
          <w:rFonts w:hint="eastAsia" w:ascii="宋体" w:hAnsi="宋体" w:cs="宋体"/>
          <w:sz w:val="24"/>
        </w:rPr>
        <w:t>（2）投标人不同意以上修正，则其响应文件将被拒绝。</w:t>
      </w:r>
    </w:p>
    <w:p>
      <w:pPr>
        <w:pStyle w:val="15"/>
        <w:spacing w:line="360" w:lineRule="auto"/>
        <w:ind w:firstLine="470" w:firstLineChars="196"/>
        <w:rPr>
          <w:rFonts w:cs="宋体"/>
          <w:b/>
          <w:sz w:val="24"/>
          <w:szCs w:val="24"/>
        </w:rPr>
      </w:pPr>
      <w:r>
        <w:rPr>
          <w:rFonts w:hint="eastAsia" w:cs="宋体"/>
          <w:b/>
          <w:sz w:val="24"/>
          <w:szCs w:val="24"/>
        </w:rPr>
        <w:t>4. 中标公告</w:t>
      </w:r>
    </w:p>
    <w:p>
      <w:pPr>
        <w:pStyle w:val="15"/>
        <w:spacing w:line="360" w:lineRule="auto"/>
        <w:ind w:firstLine="480" w:firstLineChars="200"/>
        <w:rPr>
          <w:rFonts w:cs="宋体"/>
          <w:kern w:val="0"/>
          <w:sz w:val="24"/>
          <w:szCs w:val="24"/>
        </w:rPr>
      </w:pPr>
      <w:r>
        <w:rPr>
          <w:rFonts w:hint="eastAsia" w:cs="宋体"/>
          <w:kern w:val="0"/>
          <w:sz w:val="24"/>
          <w:szCs w:val="24"/>
        </w:rPr>
        <w:t>中标公告内容应当包括采购人和采购代理机构的名称、地址、联系方式，项目名称和项目编号，中标人名称、地址和成交金额以及评标委员会成员等。</w:t>
      </w:r>
    </w:p>
    <w:p>
      <w:pPr>
        <w:pStyle w:val="15"/>
        <w:spacing w:line="360" w:lineRule="auto"/>
        <w:ind w:firstLine="470" w:firstLineChars="196"/>
        <w:rPr>
          <w:rFonts w:cs="宋体"/>
          <w:sz w:val="24"/>
          <w:szCs w:val="24"/>
        </w:rPr>
      </w:pPr>
      <w:r>
        <w:rPr>
          <w:rFonts w:hint="eastAsia" w:cs="宋体"/>
          <w:b/>
          <w:bCs/>
          <w:sz w:val="24"/>
          <w:szCs w:val="24"/>
        </w:rPr>
        <w:t>5．</w:t>
      </w:r>
      <w:r>
        <w:rPr>
          <w:rFonts w:hint="eastAsia" w:cs="宋体"/>
          <w:b/>
          <w:sz w:val="24"/>
          <w:szCs w:val="24"/>
        </w:rPr>
        <w:t xml:space="preserve">中标通知  </w:t>
      </w:r>
    </w:p>
    <w:p>
      <w:pPr>
        <w:pStyle w:val="15"/>
        <w:spacing w:line="360" w:lineRule="auto"/>
        <w:rPr>
          <w:rFonts w:cs="宋体"/>
          <w:sz w:val="24"/>
          <w:szCs w:val="24"/>
        </w:rPr>
      </w:pPr>
      <w:r>
        <w:rPr>
          <w:rFonts w:hint="eastAsia" w:cs="宋体"/>
          <w:sz w:val="24"/>
          <w:szCs w:val="24"/>
        </w:rPr>
        <w:t xml:space="preserve"> 5．1在投标有效期内，采购代理机构以书面形式通知所选定的中标人。 </w:t>
      </w:r>
    </w:p>
    <w:p>
      <w:pPr>
        <w:pStyle w:val="15"/>
        <w:spacing w:line="360" w:lineRule="auto"/>
        <w:rPr>
          <w:rFonts w:cs="宋体"/>
          <w:sz w:val="24"/>
          <w:szCs w:val="24"/>
        </w:rPr>
      </w:pPr>
      <w:r>
        <w:rPr>
          <w:rFonts w:hint="eastAsia" w:cs="宋体"/>
          <w:sz w:val="24"/>
          <w:szCs w:val="24"/>
        </w:rPr>
        <w:t xml:space="preserve">    5．2当中标人按规定与采购人签订合同后，采购代理机构将向其他投标人并退还投标保证金。采购代理机构对落标的投标人不作落标原因的解释。</w:t>
      </w:r>
    </w:p>
    <w:p>
      <w:pPr>
        <w:pStyle w:val="15"/>
        <w:spacing w:line="360" w:lineRule="auto"/>
        <w:ind w:firstLine="480"/>
        <w:rPr>
          <w:rFonts w:cs="宋体"/>
          <w:sz w:val="24"/>
          <w:szCs w:val="24"/>
        </w:rPr>
      </w:pPr>
      <w:r>
        <w:rPr>
          <w:rFonts w:hint="eastAsia" w:cs="宋体"/>
          <w:sz w:val="24"/>
          <w:szCs w:val="24"/>
        </w:rPr>
        <w:t>5．3中标通知书将是合同的一个组成部分。</w:t>
      </w:r>
    </w:p>
    <w:p>
      <w:pPr>
        <w:tabs>
          <w:tab w:val="center" w:pos="5181"/>
        </w:tabs>
        <w:adjustRightInd w:val="0"/>
        <w:snapToGrid w:val="0"/>
        <w:spacing w:line="360" w:lineRule="auto"/>
        <w:ind w:firstLine="480" w:firstLineChars="200"/>
        <w:outlineLvl w:val="0"/>
        <w:rPr>
          <w:rFonts w:ascii="宋体" w:hAnsi="宋体" w:cs="宋体"/>
          <w:b/>
          <w:sz w:val="24"/>
        </w:rPr>
      </w:pPr>
      <w:r>
        <w:rPr>
          <w:rFonts w:hint="eastAsia" w:ascii="宋体" w:hAnsi="宋体" w:cs="宋体"/>
          <w:b/>
          <w:sz w:val="24"/>
        </w:rPr>
        <w:t>6．合同授予</w:t>
      </w:r>
    </w:p>
    <w:p>
      <w:pPr>
        <w:tabs>
          <w:tab w:val="center" w:pos="5181"/>
        </w:tabs>
        <w:adjustRightInd w:val="0"/>
        <w:snapToGrid w:val="0"/>
        <w:spacing w:line="360" w:lineRule="auto"/>
        <w:ind w:firstLine="480" w:firstLineChars="200"/>
        <w:outlineLvl w:val="0"/>
        <w:rPr>
          <w:rFonts w:ascii="宋体" w:hAnsi="宋体" w:cs="宋体"/>
          <w:sz w:val="24"/>
        </w:rPr>
      </w:pPr>
      <w:r>
        <w:rPr>
          <w:rFonts w:hint="eastAsia" w:ascii="宋体" w:hAnsi="宋体" w:cs="宋体"/>
          <w:sz w:val="24"/>
        </w:rPr>
        <w:t>6.1 招标文件、投标文件及评审过程中有关补充文件均作为合同附件，并与合同具有相同的法律效力。</w:t>
      </w:r>
    </w:p>
    <w:p>
      <w:pPr>
        <w:tabs>
          <w:tab w:val="center" w:pos="5181"/>
        </w:tabs>
        <w:adjustRightInd w:val="0"/>
        <w:snapToGrid w:val="0"/>
        <w:spacing w:line="360" w:lineRule="auto"/>
        <w:ind w:firstLine="480" w:firstLineChars="200"/>
        <w:outlineLvl w:val="0"/>
        <w:rPr>
          <w:rFonts w:ascii="宋体" w:hAnsi="宋体" w:cs="宋体"/>
          <w:sz w:val="24"/>
        </w:rPr>
      </w:pPr>
      <w:r>
        <w:rPr>
          <w:rFonts w:hint="eastAsia" w:ascii="宋体" w:hAnsi="宋体" w:cs="宋体"/>
          <w:sz w:val="24"/>
        </w:rPr>
        <w:t>6.2当按照合同履行义务，完成项目。未经采购人同意，中标人不得向他人转让项目。</w:t>
      </w:r>
    </w:p>
    <w:p>
      <w:pPr>
        <w:spacing w:after="156" w:afterLines="50"/>
        <w:ind w:firstLine="540" w:firstLineChars="225"/>
        <w:rPr>
          <w:rFonts w:ascii="宋体" w:hAnsi="宋体" w:cs="宋体"/>
          <w:b/>
          <w:sz w:val="24"/>
        </w:rPr>
      </w:pPr>
      <w:r>
        <w:rPr>
          <w:rFonts w:hint="eastAsia" w:ascii="宋体" w:hAnsi="宋体" w:cs="宋体"/>
          <w:b/>
          <w:sz w:val="24"/>
        </w:rPr>
        <w:t>7. 政府采购信用担保及信用融资政策</w:t>
      </w:r>
    </w:p>
    <w:p>
      <w:pPr>
        <w:spacing w:after="156" w:afterLines="50" w:line="360" w:lineRule="auto"/>
        <w:ind w:firstLine="540" w:firstLineChars="225"/>
        <w:rPr>
          <w:rFonts w:ascii="宋体" w:hAnsi="宋体" w:cs="宋体"/>
          <w:sz w:val="24"/>
        </w:rPr>
      </w:pPr>
      <w:r>
        <w:rPr>
          <w:rFonts w:hint="eastAsia" w:ascii="宋体" w:hAnsi="宋体" w:cs="宋体"/>
          <w:sz w:val="24"/>
        </w:rPr>
        <w:t>为发挥政府采购促进中小企业发展的政策功能，</w:t>
      </w:r>
      <w:r>
        <w:rPr>
          <w:rFonts w:hint="eastAsia" w:ascii="宋体" w:hAnsi="宋体" w:cs="宋体"/>
          <w:bCs/>
          <w:sz w:val="24"/>
        </w:rPr>
        <w:t>陕西省财政厅</w:t>
      </w:r>
      <w:r>
        <w:rPr>
          <w:rFonts w:hint="eastAsia" w:ascii="宋体" w:hAnsi="宋体" w:cs="宋体"/>
          <w:sz w:val="24"/>
        </w:rPr>
        <w:t>制定了《</w:t>
      </w:r>
      <w:r>
        <w:rPr>
          <w:rFonts w:hint="eastAsia" w:ascii="宋体" w:hAnsi="宋体" w:cs="宋体"/>
          <w:bCs/>
          <w:sz w:val="24"/>
        </w:rPr>
        <w:t>关于政府采购支持中小企业融资合同备案和资金支付有关事项的通知</w:t>
      </w:r>
      <w:r>
        <w:rPr>
          <w:rFonts w:hint="eastAsia" w:ascii="宋体" w:hAnsi="宋体" w:cs="宋体"/>
          <w:sz w:val="24"/>
        </w:rPr>
        <w:t>》（陕财办采资〔2013〕5号），为参与陕西省政府采购项目的投标人提供政府采购信用担保和融资服务，并按照程序确定了合作的担保机构和商业银行。投标人在缴纳投标保证金及中标投标人缴纳履约保证金时可自愿选择通过担保机构保函的形式缴纳；中标人如果需要融资贷款服务的，可凭中标通知书、政府采购合同等相关资料，按照实施方案规定的程序申请办理。</w:t>
      </w:r>
    </w:p>
    <w:p>
      <w:pPr>
        <w:widowControl/>
        <w:jc w:val="left"/>
        <w:rPr>
          <w:rFonts w:ascii="宋体" w:hAnsi="宋体" w:cs="宋体"/>
          <w:b/>
          <w:sz w:val="36"/>
          <w:szCs w:val="36"/>
        </w:rPr>
        <w:sectPr>
          <w:footerReference r:id="rId10" w:type="first"/>
          <w:footerReference r:id="rId9" w:type="default"/>
          <w:pgSz w:w="11906" w:h="16838"/>
          <w:pgMar w:top="1134" w:right="1304" w:bottom="1134" w:left="1304" w:header="851" w:footer="851" w:gutter="0"/>
          <w:pgNumType w:start="1"/>
          <w:cols w:space="720" w:num="1"/>
          <w:titlePg/>
          <w:docGrid w:type="linesAndChars" w:linePitch="312" w:charSpace="0"/>
        </w:sectPr>
      </w:pPr>
    </w:p>
    <w:p>
      <w:pPr>
        <w:numPr>
          <w:ilvl w:val="0"/>
          <w:numId w:val="2"/>
        </w:numPr>
        <w:spacing w:after="156" w:afterLines="50"/>
        <w:jc w:val="center"/>
        <w:rPr>
          <w:rFonts w:ascii="宋体" w:hAnsi="宋体" w:cs="宋体"/>
          <w:b/>
          <w:sz w:val="36"/>
          <w:szCs w:val="36"/>
        </w:rPr>
      </w:pPr>
      <w:r>
        <w:rPr>
          <w:rFonts w:hint="eastAsia" w:ascii="宋体" w:hAnsi="宋体" w:cs="宋体"/>
          <w:b/>
          <w:sz w:val="36"/>
          <w:szCs w:val="36"/>
        </w:rPr>
        <w:t>服务内容及要求</w:t>
      </w:r>
    </w:p>
    <w:p>
      <w:pPr>
        <w:pStyle w:val="13"/>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一、采购内容</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1134"/>
        <w:gridCol w:w="11638"/>
        <w:gridCol w:w="530"/>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560" w:type="dxa"/>
            <w:gridSpan w:val="5"/>
            <w:noWrap/>
            <w:vAlign w:val="center"/>
          </w:tcPr>
          <w:p>
            <w:pPr>
              <w:pStyle w:val="49"/>
            </w:pPr>
            <w:r>
              <w:rPr>
                <w:rFonts w:hint="eastAsia"/>
                <w:b/>
                <w:bCs w:val="0"/>
              </w:rPr>
              <w:t>西安市阎良区招办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rPr>
                <w:b/>
                <w:bCs w:val="0"/>
              </w:rPr>
            </w:pPr>
            <w:r>
              <w:rPr>
                <w:rFonts w:hint="eastAsia"/>
                <w:b/>
                <w:bCs w:val="0"/>
              </w:rPr>
              <w:t>序号</w:t>
            </w:r>
          </w:p>
        </w:tc>
        <w:tc>
          <w:tcPr>
            <w:tcW w:w="1134" w:type="dxa"/>
            <w:noWrap/>
            <w:vAlign w:val="center"/>
          </w:tcPr>
          <w:p>
            <w:pPr>
              <w:pStyle w:val="49"/>
              <w:rPr>
                <w:b/>
                <w:bCs w:val="0"/>
              </w:rPr>
            </w:pPr>
            <w:r>
              <w:rPr>
                <w:rFonts w:hint="eastAsia"/>
                <w:b/>
                <w:bCs w:val="0"/>
              </w:rPr>
              <w:t>设备名称</w:t>
            </w:r>
          </w:p>
        </w:tc>
        <w:tc>
          <w:tcPr>
            <w:tcW w:w="11638" w:type="dxa"/>
            <w:noWrap/>
            <w:vAlign w:val="center"/>
          </w:tcPr>
          <w:p>
            <w:pPr>
              <w:pStyle w:val="49"/>
              <w:rPr>
                <w:b/>
                <w:bCs w:val="0"/>
              </w:rPr>
            </w:pPr>
            <w:r>
              <w:rPr>
                <w:rFonts w:hint="eastAsia"/>
                <w:b/>
                <w:bCs w:val="0"/>
              </w:rPr>
              <w:t>技术参数</w:t>
            </w:r>
          </w:p>
        </w:tc>
        <w:tc>
          <w:tcPr>
            <w:tcW w:w="530" w:type="dxa"/>
            <w:noWrap/>
            <w:vAlign w:val="center"/>
          </w:tcPr>
          <w:p>
            <w:pPr>
              <w:pStyle w:val="49"/>
              <w:rPr>
                <w:b/>
                <w:bCs w:val="0"/>
              </w:rPr>
            </w:pPr>
            <w:r>
              <w:rPr>
                <w:rFonts w:hint="eastAsia"/>
                <w:b/>
                <w:bCs w:val="0"/>
              </w:rPr>
              <w:t>数量</w:t>
            </w:r>
          </w:p>
        </w:tc>
        <w:tc>
          <w:tcPr>
            <w:tcW w:w="696" w:type="dxa"/>
            <w:noWrap/>
            <w:vAlign w:val="center"/>
          </w:tcPr>
          <w:p>
            <w:pPr>
              <w:pStyle w:val="49"/>
              <w:rPr>
                <w:b/>
                <w:bCs w:val="0"/>
              </w:rPr>
            </w:pPr>
            <w:r>
              <w:rPr>
                <w:rFonts w:hint="eastAsia"/>
                <w:b/>
                <w:bCs w:val="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4560" w:type="dxa"/>
            <w:gridSpan w:val="5"/>
            <w:noWrap/>
            <w:vAlign w:val="center"/>
          </w:tcPr>
          <w:p>
            <w:pPr>
              <w:pStyle w:val="49"/>
            </w:pPr>
            <w:r>
              <w:rPr>
                <w:rFonts w:hint="eastAsia"/>
                <w:b/>
                <w:bCs w:val="0"/>
              </w:rPr>
              <w:t>一、区县级国家教育考试考务指挥中心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62" w:type="dxa"/>
            <w:noWrap/>
            <w:vAlign w:val="center"/>
          </w:tcPr>
          <w:p>
            <w:pPr>
              <w:pStyle w:val="49"/>
            </w:pPr>
            <w:r>
              <w:rPr>
                <w:rFonts w:hint="eastAsia"/>
              </w:rPr>
              <w:t>1</w:t>
            </w:r>
          </w:p>
        </w:tc>
        <w:tc>
          <w:tcPr>
            <w:tcW w:w="1134" w:type="dxa"/>
            <w:vAlign w:val="center"/>
          </w:tcPr>
          <w:p>
            <w:pPr>
              <w:pStyle w:val="49"/>
            </w:pPr>
            <w:r>
              <w:rPr>
                <w:rFonts w:hint="eastAsia"/>
              </w:rPr>
              <w:t>管理计算机</w:t>
            </w:r>
          </w:p>
        </w:tc>
        <w:tc>
          <w:tcPr>
            <w:tcW w:w="11638" w:type="dxa"/>
            <w:vAlign w:val="center"/>
          </w:tcPr>
          <w:p>
            <w:pPr>
              <w:pStyle w:val="49"/>
            </w:pPr>
            <w:r>
              <w:rPr>
                <w:rFonts w:hint="eastAsia"/>
              </w:rPr>
              <w:t>性能不低于：I7-9700 8G DDRIII 2133MHz，128G固态硬盘，1TG SATA3 7200rpm， 2G独立显卡，23”显示器,USB鼠标键盘，win10</w:t>
            </w:r>
          </w:p>
        </w:tc>
        <w:tc>
          <w:tcPr>
            <w:tcW w:w="530" w:type="dxa"/>
            <w:noWrap/>
            <w:vAlign w:val="center"/>
          </w:tcPr>
          <w:p>
            <w:pPr>
              <w:pStyle w:val="49"/>
            </w:pPr>
            <w:r>
              <w:rPr>
                <w:rFonts w:hint="eastAsia"/>
              </w:rPr>
              <w:t>2</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562" w:type="dxa"/>
            <w:noWrap/>
            <w:vAlign w:val="center"/>
          </w:tcPr>
          <w:p>
            <w:pPr>
              <w:pStyle w:val="49"/>
            </w:pPr>
            <w:r>
              <w:rPr>
                <w:rFonts w:hint="eastAsia"/>
              </w:rPr>
              <w:t>2</w:t>
            </w:r>
          </w:p>
        </w:tc>
        <w:tc>
          <w:tcPr>
            <w:tcW w:w="1134" w:type="dxa"/>
            <w:vAlign w:val="center"/>
          </w:tcPr>
          <w:p>
            <w:pPr>
              <w:pStyle w:val="49"/>
            </w:pPr>
            <w:r>
              <w:rPr>
                <w:rFonts w:hint="eastAsia"/>
              </w:rPr>
              <w:t>高清网络半球摄像机</w:t>
            </w:r>
          </w:p>
        </w:tc>
        <w:tc>
          <w:tcPr>
            <w:tcW w:w="11638" w:type="dxa"/>
            <w:vAlign w:val="center"/>
          </w:tcPr>
          <w:p>
            <w:pPr>
              <w:pStyle w:val="49"/>
            </w:pPr>
            <w:r>
              <w:rPr>
                <w:rFonts w:hint="eastAsia"/>
              </w:rPr>
              <w:t>1、≥400万半球型网络摄像机，采用1/2.7" CMOS传感器</w:t>
            </w:r>
            <w:r>
              <w:rPr>
                <w:rFonts w:hint="eastAsia"/>
              </w:rPr>
              <w:br w:type="textWrapping"/>
            </w:r>
            <w:r>
              <w:rPr>
                <w:rFonts w:hint="eastAsia"/>
              </w:rPr>
              <w:t>2、照度≤0.005Lux，0Lux with IR；</w:t>
            </w:r>
            <w:r>
              <w:rPr>
                <w:rFonts w:hint="eastAsia"/>
              </w:rPr>
              <w:br w:type="textWrapping"/>
            </w:r>
            <w:r>
              <w:rPr>
                <w:rFonts w:hint="eastAsia"/>
              </w:rPr>
              <w:t>3、采用2.7mm-12mm镜头, 水平视场角93°～35°；</w:t>
            </w:r>
            <w:r>
              <w:rPr>
                <w:rFonts w:hint="eastAsia"/>
              </w:rPr>
              <w:br w:type="textWrapping"/>
            </w:r>
            <w:r>
              <w:rPr>
                <w:rFonts w:hint="eastAsia"/>
              </w:rPr>
              <w:t>4、视频编码标准支持H.265、H.264、MJPEG编码格式，音频编码标准支持G.711/MP2L2/AAC，图像尺寸≥2560×1440；</w:t>
            </w:r>
            <w:r>
              <w:rPr>
                <w:rFonts w:hint="eastAsia"/>
              </w:rPr>
              <w:br w:type="textWrapping"/>
            </w:r>
            <w:r>
              <w:rPr>
                <w:rFonts w:hint="eastAsia"/>
              </w:rPr>
              <w:t>5、支持Micro SD/SDHC/SDXC卡(128G)本地存储；</w:t>
            </w:r>
            <w:r>
              <w:rPr>
                <w:rFonts w:hint="eastAsia"/>
              </w:rPr>
              <w:br w:type="textWrapping"/>
            </w:r>
            <w:r>
              <w:rPr>
                <w:rFonts w:hint="eastAsia"/>
              </w:rPr>
              <w:t>6、支持SIP、RTP、RTCP等网络协议，支持TS、PS流封装，支持标准SIP2.0协议；</w:t>
            </w:r>
            <w:r>
              <w:rPr>
                <w:rFonts w:hint="eastAsia"/>
              </w:rPr>
              <w:br w:type="textWrapping"/>
            </w:r>
            <w:r>
              <w:rPr>
                <w:rFonts w:hint="eastAsia"/>
              </w:rPr>
              <w:t>7、具有视频移动侦测能力，可根据设置策略实现相应的编码、传输、存储或视频报警；</w:t>
            </w:r>
            <w:r>
              <w:rPr>
                <w:rFonts w:hint="eastAsia"/>
              </w:rPr>
              <w:br w:type="textWrapping"/>
            </w:r>
            <w:r>
              <w:rPr>
                <w:rFonts w:hint="eastAsia"/>
              </w:rPr>
              <w:t>8、支持SIP的地址解析、信令转发，支持SIP URI统一命名规则、分级命名；</w:t>
            </w:r>
            <w:r>
              <w:rPr>
                <w:rFonts w:hint="eastAsia"/>
              </w:rPr>
              <w:br w:type="textWrapping"/>
            </w:r>
            <w:r>
              <w:rPr>
                <w:rFonts w:hint="eastAsia"/>
              </w:rPr>
              <w:t>9、支持UDP回放方式，支持UDP下载方式；</w:t>
            </w:r>
            <w:r>
              <w:rPr>
                <w:rFonts w:hint="eastAsia"/>
              </w:rPr>
              <w:br w:type="textWrapping"/>
            </w:r>
            <w:r>
              <w:rPr>
                <w:rFonts w:hint="eastAsia"/>
              </w:rPr>
              <w:t>10、支持时间同步功能，支持网络时间协议（NTP）；</w:t>
            </w:r>
            <w:r>
              <w:rPr>
                <w:rFonts w:hint="eastAsia"/>
              </w:rPr>
              <w:br w:type="textWrapping"/>
            </w:r>
            <w:r>
              <w:rPr>
                <w:rFonts w:hint="eastAsia"/>
              </w:rPr>
              <w:t>11、具有≥1个RJ45 10M/100M自适应以太网口、≥1对音频输入/输出接口、≥2对报警输入/输出接口；</w:t>
            </w:r>
            <w:r>
              <w:rPr>
                <w:rFonts w:hint="eastAsia"/>
              </w:rPr>
              <w:br w:type="textWrapping"/>
            </w:r>
            <w:r>
              <w:rPr>
                <w:rFonts w:hint="eastAsia"/>
              </w:rPr>
              <w:t>12、支持DC12V/PoE(802.3af)供电；</w:t>
            </w:r>
            <w:r>
              <w:rPr>
                <w:rFonts w:hint="eastAsia"/>
              </w:rPr>
              <w:br w:type="textWrapping"/>
            </w:r>
            <w:r>
              <w:rPr>
                <w:rFonts w:hint="eastAsia"/>
              </w:rPr>
              <w:t>13、红外照射距离≥30米；</w:t>
            </w:r>
            <w:r>
              <w:rPr>
                <w:rFonts w:hint="eastAsia"/>
              </w:rPr>
              <w:br w:type="textWrapping"/>
            </w:r>
            <w:r>
              <w:rPr>
                <w:rFonts w:hint="eastAsia"/>
              </w:rPr>
              <w:t>14、防护等级为IP67。</w:t>
            </w:r>
            <w:r>
              <w:rPr>
                <w:rFonts w:hint="eastAsia"/>
              </w:rPr>
              <w:br w:type="textWrapping"/>
            </w:r>
            <w:r>
              <w:rPr>
                <w:rFonts w:hint="eastAsia"/>
              </w:rPr>
              <w:t>15、符合标准：符合《公共安全视频监控联网系统信息传输、交换、控制技术要求》GB/T28181-2016。符合《国家教育考试网上巡查系统视频标准技术规范》JY/T-KS-JS-2017-1。</w:t>
            </w:r>
            <w:r>
              <w:rPr>
                <w:rFonts w:hint="eastAsia"/>
              </w:rPr>
              <w:br w:type="textWrapping"/>
            </w:r>
            <w:r>
              <w:rPr>
                <w:rFonts w:hint="eastAsia"/>
              </w:rPr>
              <w:t>16、包含支架和电源；</w:t>
            </w:r>
            <w:r>
              <w:rPr>
                <w:rFonts w:hint="eastAsia"/>
              </w:rPr>
              <w:br w:type="textWrapping"/>
            </w:r>
            <w:r>
              <w:rPr>
                <w:rFonts w:hint="eastAsia"/>
              </w:rPr>
              <w:t>17、提供产品来源渠道证明文件（包括但不限于销售协议、代理协议、原厂授权）加盖公章。</w:t>
            </w:r>
          </w:p>
        </w:tc>
        <w:tc>
          <w:tcPr>
            <w:tcW w:w="530" w:type="dxa"/>
            <w:noWrap/>
            <w:vAlign w:val="center"/>
          </w:tcPr>
          <w:p>
            <w:pPr>
              <w:pStyle w:val="49"/>
            </w:pPr>
            <w:r>
              <w:rPr>
                <w:rFonts w:hint="eastAsia"/>
              </w:rPr>
              <w:t>4</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562" w:type="dxa"/>
            <w:noWrap/>
            <w:vAlign w:val="center"/>
          </w:tcPr>
          <w:p>
            <w:pPr>
              <w:pStyle w:val="49"/>
            </w:pPr>
            <w:r>
              <w:rPr>
                <w:rFonts w:hint="eastAsia"/>
              </w:rPr>
              <w:t>3</w:t>
            </w:r>
          </w:p>
        </w:tc>
        <w:tc>
          <w:tcPr>
            <w:tcW w:w="1134" w:type="dxa"/>
            <w:vAlign w:val="center"/>
          </w:tcPr>
          <w:p>
            <w:pPr>
              <w:pStyle w:val="49"/>
            </w:pPr>
            <w:r>
              <w:rPr>
                <w:rFonts w:hint="eastAsia"/>
              </w:rPr>
              <w:t>拾音器</w:t>
            </w:r>
          </w:p>
        </w:tc>
        <w:tc>
          <w:tcPr>
            <w:tcW w:w="11638" w:type="dxa"/>
            <w:vAlign w:val="center"/>
          </w:tcPr>
          <w:p>
            <w:pPr>
              <w:pStyle w:val="49"/>
            </w:pPr>
            <w:r>
              <w:rPr>
                <w:rFonts w:hint="eastAsia"/>
              </w:rPr>
              <w:t>监听面积：50平方米-100平方米；音频传输距离: 3000米 ；适配器：内置前置放大电路，不需要适配器；频率响应：20Hz ～ 20kHz； 连接方式：3条引线 (电源,音频,公共地)；灵敏度：-32dB；传输线缆：3芯0.5mm2 RVVP电缆；信噪比 ；80dB ( 1米40 dB音源) 30dB (10米40 dB音源) 1KHz at 1 Pa；指向特性；全指向性 动态范围：104dB (1KHz at Max dB SPL)；环境温度： -25℃ ～ 75℃；最大承受音压： 120dB SPL (1KHz,THD 1%)；输出阻抗；600欧姆非平衡；输出信号幅度 ：2.5Vpp/-25db。</w:t>
            </w:r>
          </w:p>
        </w:tc>
        <w:tc>
          <w:tcPr>
            <w:tcW w:w="530" w:type="dxa"/>
            <w:noWrap/>
            <w:vAlign w:val="center"/>
          </w:tcPr>
          <w:p>
            <w:pPr>
              <w:pStyle w:val="49"/>
            </w:pPr>
            <w:r>
              <w:rPr>
                <w:rFonts w:hint="eastAsia"/>
              </w:rPr>
              <w:t>4</w:t>
            </w:r>
          </w:p>
        </w:tc>
        <w:tc>
          <w:tcPr>
            <w:tcW w:w="696" w:type="dxa"/>
            <w:noWrap/>
            <w:vAlign w:val="center"/>
          </w:tcPr>
          <w:p>
            <w:pPr>
              <w:pStyle w:val="49"/>
            </w:pPr>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5" w:hRule="atLeast"/>
        </w:trPr>
        <w:tc>
          <w:tcPr>
            <w:tcW w:w="562" w:type="dxa"/>
            <w:noWrap/>
            <w:vAlign w:val="center"/>
          </w:tcPr>
          <w:p>
            <w:pPr>
              <w:pStyle w:val="49"/>
            </w:pPr>
            <w:r>
              <w:rPr>
                <w:rFonts w:hint="eastAsia"/>
              </w:rPr>
              <w:t>4</w:t>
            </w:r>
          </w:p>
        </w:tc>
        <w:tc>
          <w:tcPr>
            <w:tcW w:w="1134" w:type="dxa"/>
            <w:vAlign w:val="center"/>
          </w:tcPr>
          <w:p>
            <w:pPr>
              <w:pStyle w:val="49"/>
            </w:pPr>
            <w:r>
              <w:rPr>
                <w:rFonts w:hint="eastAsia"/>
              </w:rPr>
              <w:t>SIP网关、媒体转发及注册服务器</w:t>
            </w:r>
          </w:p>
        </w:tc>
        <w:tc>
          <w:tcPr>
            <w:tcW w:w="11638" w:type="dxa"/>
            <w:vAlign w:val="center"/>
          </w:tcPr>
          <w:p>
            <w:pPr>
              <w:pStyle w:val="49"/>
            </w:pPr>
            <w:r>
              <w:rPr>
                <w:rFonts w:hint="eastAsia"/>
              </w:rPr>
              <w:t>1、SIP网关为嵌入式，内置linux操作系统；本身具有抗病毒和抗攻击能力，避免遭受病毒攻击，确保服务器能够长期稳定运行。具有点播、录像等功能。</w:t>
            </w:r>
            <w:r>
              <w:rPr>
                <w:rFonts w:hint="eastAsia"/>
              </w:rPr>
              <w:br w:type="textWrapping"/>
            </w:r>
            <w:r>
              <w:rPr>
                <w:rFonts w:hint="eastAsia"/>
              </w:rPr>
              <w:t>2、能实现《国家教育考试网上巡查系统视频标准技术规范》JY/T-KS-JS-2017-1中规定的SIP协议与其它协议相互转换；（提供满足参数的证明材料，不限于检测报告、彩页官网截图等）</w:t>
            </w:r>
          </w:p>
          <w:p>
            <w:pPr>
              <w:pStyle w:val="49"/>
            </w:pPr>
            <w:r>
              <w:rPr>
                <w:rFonts w:hint="eastAsia"/>
              </w:rPr>
              <w:t>3、支持标准SIP2.0；支持SIP地址解析、信令转发；</w:t>
            </w:r>
            <w:r>
              <w:rPr>
                <w:rFonts w:hint="eastAsia"/>
              </w:rPr>
              <w:br w:type="textWrapping"/>
            </w:r>
            <w:r>
              <w:rPr>
                <w:rFonts w:hint="eastAsia"/>
              </w:rPr>
              <w:t>4、支持SIP URI统一命名规则、分级命名；支持SIP终端的接入认证功能，支持SIP URI组、用户、树形列表管理；</w:t>
            </w:r>
            <w:r>
              <w:rPr>
                <w:rFonts w:hint="eastAsia"/>
              </w:rPr>
              <w:br w:type="textWrapping"/>
            </w:r>
            <w:r>
              <w:rPr>
                <w:rFonts w:hint="eastAsia"/>
              </w:rPr>
              <w:t>5、支持多级注册，支持SIP终端远程方位权限控制，支持SIP终端访问呼叫过程控制；支持建立SIP路由器间的信任关系；</w:t>
            </w:r>
            <w:r>
              <w:rPr>
                <w:rFonts w:hint="eastAsia"/>
              </w:rPr>
              <w:br w:type="textWrapping"/>
            </w:r>
            <w:r>
              <w:rPr>
                <w:rFonts w:hint="eastAsia"/>
              </w:rPr>
              <w:t>6、支持H.264、H.265、MPEG4视频编码格式；支持ACC、G.711、MPEG Layer2音频编码格式；</w:t>
            </w:r>
            <w:r>
              <w:rPr>
                <w:rFonts w:hint="eastAsia"/>
              </w:rPr>
              <w:br w:type="textWrapping"/>
            </w:r>
            <w:r>
              <w:rPr>
                <w:rFonts w:hint="eastAsia"/>
              </w:rPr>
              <w:t>7、支持IP、UDP、RTP、RTCP、SIP等网络协议；</w:t>
            </w:r>
            <w:r>
              <w:rPr>
                <w:rFonts w:hint="eastAsia"/>
              </w:rPr>
              <w:br w:type="textWrapping"/>
            </w:r>
            <w:r>
              <w:rPr>
                <w:rFonts w:hint="eastAsia"/>
              </w:rPr>
              <w:t>8、单台设备可提供≥64路1920x1080媒体流的分发功能；</w:t>
            </w:r>
            <w:r>
              <w:rPr>
                <w:rFonts w:hint="eastAsia"/>
              </w:rPr>
              <w:br w:type="textWrapping"/>
            </w:r>
            <w:r>
              <w:rPr>
                <w:rFonts w:hint="eastAsia"/>
              </w:rPr>
              <w:t>9、具有音、视频转发和路由控制功能，流媒体的NAT穿越功能；</w:t>
            </w:r>
            <w:r>
              <w:rPr>
                <w:rFonts w:hint="eastAsia"/>
              </w:rPr>
              <w:br w:type="textWrapping"/>
            </w:r>
            <w:r>
              <w:rPr>
                <w:rFonts w:hint="eastAsia"/>
              </w:rPr>
              <w:t>10、支持时间同步功能支持网络时间协议（NTP）；</w:t>
            </w:r>
            <w:r>
              <w:rPr>
                <w:rFonts w:hint="eastAsia"/>
              </w:rPr>
              <w:br w:type="textWrapping"/>
            </w:r>
            <w:r>
              <w:rPr>
                <w:rFonts w:hint="eastAsia"/>
              </w:rPr>
              <w:t>11、设备支持考试计划管理、支持考务人员编排功能，支持物理考场和逻辑考场对应功能，支持摄像机物理与考场逻辑位置对应，系统支持通过查看实时视频，查看该视频涉及考场的考试人员信息；</w:t>
            </w:r>
            <w:r>
              <w:rPr>
                <w:rFonts w:hint="eastAsia"/>
              </w:rPr>
              <w:br w:type="textWrapping"/>
            </w:r>
            <w:r>
              <w:rPr>
                <w:rFonts w:hint="eastAsia"/>
              </w:rPr>
              <w:t>12、具有≥2个10M/100M/1000M自适应以太网接口；</w:t>
            </w:r>
            <w:r>
              <w:rPr>
                <w:rFonts w:hint="eastAsia"/>
              </w:rPr>
              <w:br w:type="textWrapping"/>
            </w:r>
            <w:r>
              <w:rPr>
                <w:rFonts w:hint="eastAsia"/>
              </w:rPr>
              <w:t>13、提供设备厂商对本项目的无缝对西安市国家教育考试综合管理平台的接入承诺函</w:t>
            </w:r>
            <w:r>
              <w:rPr>
                <w:rFonts w:hint="eastAsia"/>
              </w:rPr>
              <w:br w:type="textWrapping"/>
            </w:r>
            <w:r>
              <w:rPr>
                <w:rFonts w:hint="eastAsia"/>
              </w:rPr>
              <w:t>提供产品来源渠道证明文件（包括但不限于销售协议、代理协议、原厂授权）加盖公章。</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0" w:hRule="atLeast"/>
        </w:trPr>
        <w:tc>
          <w:tcPr>
            <w:tcW w:w="562" w:type="dxa"/>
            <w:noWrap/>
            <w:vAlign w:val="center"/>
          </w:tcPr>
          <w:p>
            <w:pPr>
              <w:pStyle w:val="49"/>
            </w:pPr>
            <w:r>
              <w:rPr>
                <w:rFonts w:hint="eastAsia"/>
              </w:rPr>
              <w:t>5</w:t>
            </w:r>
          </w:p>
        </w:tc>
        <w:tc>
          <w:tcPr>
            <w:tcW w:w="1134" w:type="dxa"/>
            <w:vAlign w:val="center"/>
          </w:tcPr>
          <w:p>
            <w:pPr>
              <w:pStyle w:val="49"/>
            </w:pPr>
            <w:r>
              <w:rPr>
                <w:rFonts w:hint="eastAsia"/>
              </w:rPr>
              <w:t>网上巡查系统软件</w:t>
            </w:r>
          </w:p>
        </w:tc>
        <w:tc>
          <w:tcPr>
            <w:tcW w:w="11638" w:type="dxa"/>
            <w:vAlign w:val="center"/>
          </w:tcPr>
          <w:p>
            <w:pPr>
              <w:pStyle w:val="49"/>
            </w:pPr>
            <w:r>
              <w:rPr>
                <w:rFonts w:hint="eastAsia"/>
              </w:rPr>
              <w:t xml:space="preserve">1.软件界面明显位置具有帮助按钮，当用户需要时能提供文档说明，功能界面具有导航栏。 </w:t>
            </w:r>
            <w:r>
              <w:rPr>
                <w:rFonts w:hint="eastAsia"/>
              </w:rPr>
              <w:br w:type="textWrapping"/>
            </w:r>
            <w:r>
              <w:rPr>
                <w:rFonts w:hint="eastAsia"/>
              </w:rPr>
              <w:t xml:space="preserve">2.软件平台支持多用户使用，用户登录时经过账号和密码的相关性、安全性验证，防止非法操作。 </w:t>
            </w:r>
            <w:r>
              <w:rPr>
                <w:rFonts w:hint="eastAsia"/>
              </w:rPr>
              <w:br w:type="textWrapping"/>
            </w:r>
            <w:r>
              <w:rPr>
                <w:rFonts w:hint="eastAsia"/>
              </w:rPr>
              <w:t xml:space="preserve">3.软件平台具有较高的安全性，具有加密锁防护，防止软件被非法复制挪用，在加密锁失效或丢失的情况下，软件支持激活码激活。 </w:t>
            </w:r>
            <w:r>
              <w:rPr>
                <w:rFonts w:hint="eastAsia"/>
              </w:rPr>
              <w:br w:type="textWrapping"/>
            </w:r>
            <w:r>
              <w:rPr>
                <w:rFonts w:hint="eastAsia"/>
              </w:rPr>
              <w:t>4.视频预览界面具有导航列表和视频显示窗口，导航列可收缩折叠。</w:t>
            </w:r>
            <w:r>
              <w:rPr>
                <w:rFonts w:hint="eastAsia"/>
              </w:rPr>
              <w:br w:type="textWrapping"/>
            </w:r>
            <w:r>
              <w:rPr>
                <w:rFonts w:hint="eastAsia"/>
              </w:rPr>
              <w:t xml:space="preserve">5.视频预览窗口支持1、4、9、1+5等多画面预览。 </w:t>
            </w:r>
            <w:r>
              <w:rPr>
                <w:rFonts w:hint="eastAsia"/>
              </w:rPr>
              <w:br w:type="textWrapping"/>
            </w:r>
            <w:r>
              <w:rPr>
                <w:rFonts w:hint="eastAsia"/>
              </w:rPr>
              <w:t>6.在视频图像预览时支持抓图、录像、开启或关闭声音以及云台控制等操作。</w:t>
            </w:r>
            <w:r>
              <w:rPr>
                <w:rFonts w:hint="eastAsia"/>
              </w:rPr>
              <w:br w:type="textWrapping"/>
            </w:r>
            <w:r>
              <w:rPr>
                <w:rFonts w:hint="eastAsia"/>
              </w:rPr>
              <w:t xml:space="preserve">7.具有巡查列表提交功能，上传列表可选，可将考务规定的巡查编码设备通道列表上传，考务规定以外的列表可实现不上传但是能本地查看。 </w:t>
            </w:r>
            <w:r>
              <w:rPr>
                <w:rFonts w:hint="eastAsia"/>
              </w:rPr>
              <w:br w:type="textWrapping"/>
            </w:r>
            <w:r>
              <w:rPr>
                <w:rFonts w:hint="eastAsia"/>
              </w:rPr>
              <w:t>8.视频巡查实现分组巡查：支持考场，走廊，保密室独立创建分组进行巡查。</w:t>
            </w:r>
            <w:r>
              <w:rPr>
                <w:rFonts w:hint="eastAsia"/>
              </w:rPr>
              <w:br w:type="textWrapping"/>
            </w:r>
            <w:r>
              <w:rPr>
                <w:rFonts w:hint="eastAsia"/>
              </w:rPr>
              <w:t>9.支持按设备名称、区域节点名称检索设备树列表，支持考试任务接收，上传列表符合性校验，支持自定义设备树，可根据考试任务需求选择性创建设备树列表。</w:t>
            </w:r>
            <w:r>
              <w:rPr>
                <w:rFonts w:hint="eastAsia"/>
              </w:rPr>
              <w:br w:type="textWrapping"/>
            </w:r>
            <w:r>
              <w:rPr>
                <w:rFonts w:hint="eastAsia"/>
              </w:rPr>
              <w:t xml:space="preserve">10.支持对存储设备远程管理，实现存储控制、录像策略制定等功能。 </w:t>
            </w:r>
            <w:r>
              <w:rPr>
                <w:rFonts w:hint="eastAsia"/>
              </w:rPr>
              <w:br w:type="textWrapping"/>
            </w:r>
            <w:r>
              <w:rPr>
                <w:rFonts w:hint="eastAsia"/>
              </w:rPr>
              <w:t xml:space="preserve">11.支持对多台电视墙解码设备远程集中管理，实现远程解码上墙的内容控制、显示模式、轮巡切换、主辅码流等设置功能。 </w:t>
            </w:r>
            <w:r>
              <w:rPr>
                <w:rFonts w:hint="eastAsia"/>
              </w:rPr>
              <w:br w:type="textWrapping"/>
            </w:r>
            <w:r>
              <w:rPr>
                <w:rFonts w:hint="eastAsia"/>
              </w:rPr>
              <w:t xml:space="preserve">12.软件具有对所有网络摄像机、存储服务器、网络数字矩阵画面分割器、SIP服务器远程管理设置、视频预览、OSD设置、校时、设备列表树管理、列表上传、录像文件检索、下载、回放等功能。 </w:t>
            </w:r>
            <w:r>
              <w:rPr>
                <w:rFonts w:hint="eastAsia"/>
              </w:rPr>
              <w:br w:type="textWrapping"/>
            </w:r>
            <w:r>
              <w:rPr>
                <w:rFonts w:hint="eastAsia"/>
              </w:rPr>
              <w:t xml:space="preserve">13.功能设计符合《国家教育考试网上巡查系统视频标准技术规范》JY/T-KS-JS-2017-1。 </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562" w:type="dxa"/>
            <w:noWrap/>
            <w:vAlign w:val="center"/>
          </w:tcPr>
          <w:p>
            <w:pPr>
              <w:pStyle w:val="49"/>
            </w:pPr>
            <w:r>
              <w:rPr>
                <w:rFonts w:hint="eastAsia"/>
              </w:rPr>
              <w:t>6</w:t>
            </w:r>
          </w:p>
        </w:tc>
        <w:tc>
          <w:tcPr>
            <w:tcW w:w="1134" w:type="dxa"/>
            <w:vAlign w:val="center"/>
          </w:tcPr>
          <w:p>
            <w:pPr>
              <w:pStyle w:val="49"/>
            </w:pPr>
            <w:r>
              <w:rPr>
                <w:rFonts w:hint="eastAsia"/>
              </w:rPr>
              <w:t>多画面数字画面分割器</w:t>
            </w:r>
          </w:p>
        </w:tc>
        <w:tc>
          <w:tcPr>
            <w:tcW w:w="11638" w:type="dxa"/>
            <w:vAlign w:val="center"/>
          </w:tcPr>
          <w:p>
            <w:pPr>
              <w:pStyle w:val="49"/>
            </w:pPr>
            <w:r>
              <w:rPr>
                <w:rFonts w:hint="eastAsia"/>
              </w:rPr>
              <w:t>1、实现数字信号的接收及画面分割的功能，支持中文字幕叠加，也可循环切换，支持自动轮巡视频画面，通过管理系统远程控制管理网络数字矩阵；</w:t>
            </w:r>
            <w:r>
              <w:rPr>
                <w:rFonts w:hint="eastAsia"/>
              </w:rPr>
              <w:br w:type="textWrapping"/>
            </w:r>
            <w:r>
              <w:rPr>
                <w:rFonts w:hint="eastAsia"/>
              </w:rPr>
              <w:t>2、双路 HDMI/DVI 输出；</w:t>
            </w:r>
            <w:r>
              <w:rPr>
                <w:rFonts w:hint="eastAsia"/>
              </w:rPr>
              <w:br w:type="textWrapping"/>
            </w:r>
            <w:r>
              <w:rPr>
                <w:rFonts w:hint="eastAsia"/>
              </w:rPr>
              <w:t>3、支持 4CIF（D1）/CIF 1、 4、9、12、16，2*1、2*4、2*6、2*9 多画面分割显示功能，支持 720P 或 1080P1、4、9，2*1、 2*4、2*6多画面分割显示功能；</w:t>
            </w:r>
            <w:r>
              <w:rPr>
                <w:rFonts w:hint="eastAsia"/>
              </w:rPr>
              <w:br w:type="textWrapping"/>
            </w:r>
            <w:r>
              <w:rPr>
                <w:rFonts w:hint="eastAsia"/>
              </w:rPr>
              <w:t>4、为了满足任意画面分割组合模式要求，支持自定义显示分割模式如：5+1 模式、7+1 模式，同时还支持任意图像大小的分割模式，可以根据实际使用需要任意设置画面分割模式；</w:t>
            </w:r>
            <w:r>
              <w:rPr>
                <w:rFonts w:hint="eastAsia"/>
              </w:rPr>
              <w:br w:type="textWrapping"/>
            </w:r>
            <w:r>
              <w:rPr>
                <w:rFonts w:hint="eastAsia"/>
              </w:rPr>
              <w:t>5、支持 MPEG4、H.264、H.265视频解码；</w:t>
            </w:r>
            <w:r>
              <w:rPr>
                <w:rFonts w:hint="eastAsia"/>
              </w:rPr>
              <w:br w:type="textWrapping"/>
            </w:r>
            <w:r>
              <w:rPr>
                <w:rFonts w:hint="eastAsia"/>
              </w:rPr>
              <w:t>6、支持TCP/IP协议，支持SIP、RTP、RTCP等网络协议。</w:t>
            </w:r>
            <w:r>
              <w:rPr>
                <w:rFonts w:hint="eastAsia"/>
              </w:rPr>
              <w:br w:type="textWrapping"/>
            </w:r>
            <w:r>
              <w:rPr>
                <w:rFonts w:hint="eastAsia"/>
              </w:rPr>
              <w:t>7、符合《国家教育考试网上巡查系统视频标准技术规范》JY/T-KS-JS-2017-1</w:t>
            </w:r>
          </w:p>
        </w:tc>
        <w:tc>
          <w:tcPr>
            <w:tcW w:w="530" w:type="dxa"/>
            <w:noWrap/>
            <w:vAlign w:val="center"/>
          </w:tcPr>
          <w:p>
            <w:pPr>
              <w:pStyle w:val="49"/>
            </w:pPr>
            <w:r>
              <w:rPr>
                <w:rFonts w:hint="eastAsia"/>
              </w:rPr>
              <w:t>4</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562" w:type="dxa"/>
            <w:noWrap/>
            <w:vAlign w:val="center"/>
          </w:tcPr>
          <w:p>
            <w:pPr>
              <w:pStyle w:val="49"/>
            </w:pPr>
            <w:r>
              <w:rPr>
                <w:rFonts w:hint="eastAsia"/>
              </w:rPr>
              <w:t>7</w:t>
            </w:r>
          </w:p>
        </w:tc>
        <w:tc>
          <w:tcPr>
            <w:tcW w:w="1134" w:type="dxa"/>
            <w:vAlign w:val="center"/>
          </w:tcPr>
          <w:p>
            <w:pPr>
              <w:pStyle w:val="49"/>
              <w:rPr>
                <w:rFonts w:eastAsiaTheme="minorEastAsia"/>
              </w:rPr>
            </w:pPr>
            <w:r>
              <w:rPr>
                <w:rFonts w:hint="eastAsia"/>
              </w:rPr>
              <w:t>身份验证终端</w:t>
            </w:r>
          </w:p>
        </w:tc>
        <w:tc>
          <w:tcPr>
            <w:tcW w:w="11638" w:type="dxa"/>
            <w:vAlign w:val="center"/>
          </w:tcPr>
          <w:p>
            <w:pPr>
              <w:pStyle w:val="49"/>
            </w:pPr>
            <w:r>
              <w:rPr>
                <w:rFonts w:hint="eastAsia"/>
              </w:rPr>
              <w:t xml:space="preserve">1.屏幕尺寸大于等于8英寸IPS显示屏，分辨率大于等于1280*800，可触控。可视角度大于等于170°； </w:t>
            </w:r>
            <w:r>
              <w:rPr>
                <w:rFonts w:hint="eastAsia"/>
              </w:rPr>
              <w:br w:type="textWrapping"/>
            </w:r>
            <w:r>
              <w:rPr>
                <w:rFonts w:hint="eastAsia"/>
              </w:rPr>
              <w:t>2.CPU不低于4核，主频≥1.8GHz；</w:t>
            </w:r>
            <w:r>
              <w:rPr>
                <w:rFonts w:hint="eastAsia"/>
              </w:rPr>
              <w:br w:type="textWrapping"/>
            </w:r>
            <w:r>
              <w:rPr>
                <w:rFonts w:hint="eastAsia"/>
              </w:rPr>
              <w:t>3.存储：运行内存≥4GB，存储容量≥64GB；</w:t>
            </w:r>
            <w:r>
              <w:rPr>
                <w:rFonts w:hint="eastAsia"/>
              </w:rPr>
              <w:br w:type="textWrapping"/>
            </w:r>
            <w:r>
              <w:rPr>
                <w:rFonts w:hint="eastAsia"/>
              </w:rPr>
              <w:t>4.拍照模块：前置大于等于500w摄像头，具备自动聚焦功能，后置大于等于800w摄像头，且带有录像功能，能录制考生入场的视频并保存；（出具证明材料，不限于检测报告、彩页、</w:t>
            </w:r>
            <w:r>
              <w:rPr>
                <w:rFonts w:hint="eastAsia"/>
                <w:color w:val="auto"/>
              </w:rPr>
              <w:t>官网截图复印件并加盖公章）</w:t>
            </w:r>
            <w:r>
              <w:rPr>
                <w:rFonts w:hint="eastAsia"/>
                <w:color w:val="auto"/>
              </w:rPr>
              <w:br w:type="textWrapping"/>
            </w:r>
            <w:r>
              <w:rPr>
                <w:rFonts w:hint="eastAsia"/>
                <w:color w:val="auto"/>
              </w:rPr>
              <w:t>5.为实现多种数据传输方式，终端应能够扫描并识别综合管理平台下发的二维码；（出具证明材料，不限于检测报告、彩页、官网截图复印件并加盖公章）</w:t>
            </w:r>
            <w:r>
              <w:rPr>
                <w:rFonts w:hint="eastAsia"/>
                <w:color w:val="auto"/>
              </w:rPr>
              <w:br w:type="textWrapping"/>
            </w:r>
            <w:r>
              <w:rPr>
                <w:rFonts w:hint="eastAsia"/>
                <w:color w:val="auto"/>
              </w:rPr>
              <w:t>6.扬声器：身份认证设备自带扬声器，能够进行语音提示，声音清晰，音量可调，最大音量≥100分贝，且能播报验证认证姓名；（出具证明材料，不限于检测报告、彩页、官网截图复印件并加盖公章）</w:t>
            </w:r>
            <w:r>
              <w:rPr>
                <w:rFonts w:hint="eastAsia"/>
                <w:color w:val="auto"/>
              </w:rPr>
              <w:br w:type="textWrapping"/>
            </w:r>
            <w:r>
              <w:rPr>
                <w:rFonts w:hint="eastAsia"/>
                <w:color w:val="auto"/>
              </w:rPr>
              <w:t>7.通行指示灯：具有通行颜色光源指示灯，满足在室外环境快速</w:t>
            </w:r>
            <w:r>
              <w:rPr>
                <w:rFonts w:hint="eastAsia"/>
              </w:rPr>
              <w:t>通行的指示要求，至少具有三种颜色指示灯分别表示通过、不通过、需复核；（出具证明材料，不限于检测报告、彩页、官网截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8.供电：采用电池供电模式时可持续使用10小时以上；</w:t>
            </w:r>
            <w:r>
              <w:rPr>
                <w:rFonts w:hint="eastAsia"/>
              </w:rPr>
              <w:br w:type="textWrapping"/>
            </w:r>
            <w:r>
              <w:rPr>
                <w:rFonts w:hint="eastAsia"/>
              </w:rPr>
              <w:t>9..联网功能：支持WiFi和以太网；</w:t>
            </w:r>
            <w:r>
              <w:rPr>
                <w:rFonts w:hint="eastAsia"/>
              </w:rPr>
              <w:br w:type="textWrapping"/>
            </w:r>
            <w:r>
              <w:rPr>
                <w:rFonts w:hint="eastAsia"/>
              </w:rPr>
              <w:t>10.二代身份证信息采集模块：可读取二代身份证信息，包括姓名、证件照片、指纹信息、证件有效期等。符合公安部《手持式居民身份证阅器》（GA 1153-2014）或符合公安部《台式居民身份证阅读器通用技术要求》（GA450-2013）；</w:t>
            </w:r>
            <w:r>
              <w:rPr>
                <w:rFonts w:hint="eastAsia"/>
              </w:rPr>
              <w:br w:type="textWrapping"/>
            </w:r>
            <w:r>
              <w:rPr>
                <w:rFonts w:hint="eastAsia"/>
              </w:rPr>
              <w:t>11.指纹采集模块：身份认证设备能够采集手指指纹信息，只对活体指纹进行识别。指纹采集器符合公安部GA/T 1011-2012《居民身份证指纹采集器通用技术要求》。</w:t>
            </w:r>
            <w:r>
              <w:rPr>
                <w:rFonts w:hint="eastAsia"/>
              </w:rPr>
              <w:br w:type="textWrapping"/>
            </w:r>
            <w:r>
              <w:rPr>
                <w:rFonts w:hint="eastAsia"/>
              </w:rPr>
              <w:t>12.人脸识别模块：可在软件界面中检测并采集人脸图像、人脸定位框可跟随人脸移动；（出具证明材料，不限于检测报告、彩页、官网截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13.人性化设计：身份证模块位于终端右下方，方便客户刷身份证。符合客户使用习惯；验证提示灯位于终端右上方，提示效果明显；</w:t>
            </w:r>
            <w:r>
              <w:rPr>
                <w:rFonts w:hint="eastAsia"/>
              </w:rPr>
              <w:br w:type="textWrapping"/>
            </w:r>
            <w:r>
              <w:rPr>
                <w:rFonts w:hint="eastAsia"/>
              </w:rPr>
              <w:t>14.补光灯：具有双LED光源补光组件，补光灯色温4500K~6500K、显色指数（Ra）不小于90；光源为LED恒定光源；（出具证明材料，不限于检测报告、彩页、官网截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15.可定时备份数据，如误删除数据，可进行数据恢复；（出具证明材料，不限于检测报告、彩页、官网截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16.断网重传：若身份认证系统上传认证结果时无法接入专网，身份认证系统能够将认证结果保存，待恢复联网后上传；</w:t>
            </w:r>
            <w:r>
              <w:rPr>
                <w:rFonts w:hint="eastAsia"/>
              </w:rPr>
              <w:br w:type="textWrapping"/>
            </w:r>
            <w:r>
              <w:rPr>
                <w:rFonts w:hint="eastAsia"/>
              </w:rPr>
              <w:t>17.扩展性：身份认证系统软件保证以后能够进行更新、升级，根据新的身份认证系统建设技术要求，软件做相应的调整，以连接省端的数据交换接口；</w:t>
            </w:r>
            <w:r>
              <w:rPr>
                <w:rFonts w:hint="eastAsia"/>
              </w:rPr>
              <w:br w:type="textWrapping"/>
            </w:r>
            <w:r>
              <w:rPr>
                <w:rFonts w:hint="eastAsia"/>
              </w:rPr>
              <w:t>18.设备需符合《GA/T 1324-2017 安全防范人脸识别应用静态人脸图像采集规范》的相关要求；</w:t>
            </w:r>
          </w:p>
          <w:p>
            <w:pPr>
              <w:pStyle w:val="49"/>
            </w:pPr>
            <w:r>
              <w:rPr>
                <w:rFonts w:hint="eastAsia"/>
              </w:rPr>
              <w:t>19.多种组合模式：应支持手持验证方式。支持立式支架验证方式；</w:t>
            </w:r>
          </w:p>
          <w:p>
            <w:pPr>
              <w:pStyle w:val="49"/>
            </w:pPr>
            <w:r>
              <w:rPr>
                <w:rFonts w:hint="eastAsia"/>
              </w:rPr>
              <w:t>20. 提供产品来源渠道证明文件（包括但不限于销售协议、代理协议、原厂授权）加盖公章。</w:t>
            </w:r>
          </w:p>
        </w:tc>
        <w:tc>
          <w:tcPr>
            <w:tcW w:w="530" w:type="dxa"/>
            <w:noWrap/>
            <w:vAlign w:val="center"/>
          </w:tcPr>
          <w:p>
            <w:pPr>
              <w:pStyle w:val="49"/>
            </w:pPr>
            <w:r>
              <w:rPr>
                <w:rFonts w:hint="eastAsia"/>
              </w:rPr>
              <w:t>3</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62" w:type="dxa"/>
            <w:noWrap/>
            <w:vAlign w:val="center"/>
          </w:tcPr>
          <w:p>
            <w:pPr>
              <w:pStyle w:val="49"/>
            </w:pPr>
            <w:r>
              <w:t>8</w:t>
            </w:r>
          </w:p>
        </w:tc>
        <w:tc>
          <w:tcPr>
            <w:tcW w:w="1134" w:type="dxa"/>
            <w:vAlign w:val="center"/>
          </w:tcPr>
          <w:p>
            <w:pPr>
              <w:pStyle w:val="49"/>
            </w:pPr>
            <w:r>
              <w:rPr>
                <w:rFonts w:hint="eastAsia"/>
              </w:rPr>
              <w:t>交换机</w:t>
            </w:r>
          </w:p>
        </w:tc>
        <w:tc>
          <w:tcPr>
            <w:tcW w:w="11638" w:type="dxa"/>
            <w:vAlign w:val="center"/>
          </w:tcPr>
          <w:p>
            <w:pPr>
              <w:pStyle w:val="49"/>
            </w:pPr>
            <w:r>
              <w:rPr>
                <w:rFonts w:hint="eastAsia"/>
              </w:rPr>
              <w:t>交换容量≥336Gbps/3.36Tbps，包转发率：≥51Mpps/108Mpps；≥24个10/100/1000M Base-T以太网端口，≥2个1000M SFP光口；支持静态域名解析；支持动态域名解析客户端；支持IPv4和IPv6地址。</w:t>
            </w:r>
          </w:p>
        </w:tc>
        <w:tc>
          <w:tcPr>
            <w:tcW w:w="530" w:type="dxa"/>
            <w:noWrap/>
            <w:vAlign w:val="center"/>
          </w:tcPr>
          <w:p>
            <w:pPr>
              <w:pStyle w:val="49"/>
            </w:pPr>
            <w:r>
              <w:rPr>
                <w:rFonts w:hint="eastAsia"/>
              </w:rPr>
              <w:t>2</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562" w:type="dxa"/>
            <w:noWrap/>
            <w:vAlign w:val="center"/>
          </w:tcPr>
          <w:p>
            <w:pPr>
              <w:pStyle w:val="49"/>
            </w:pPr>
            <w:r>
              <w:t>9</w:t>
            </w:r>
          </w:p>
        </w:tc>
        <w:tc>
          <w:tcPr>
            <w:tcW w:w="1134" w:type="dxa"/>
            <w:vAlign w:val="center"/>
          </w:tcPr>
          <w:p>
            <w:pPr>
              <w:pStyle w:val="49"/>
            </w:pPr>
            <w:r>
              <w:rPr>
                <w:rFonts w:hint="eastAsia"/>
              </w:rPr>
              <w:t>液晶显示单元</w:t>
            </w:r>
          </w:p>
        </w:tc>
        <w:tc>
          <w:tcPr>
            <w:tcW w:w="11638" w:type="dxa"/>
            <w:vAlign w:val="center"/>
          </w:tcPr>
          <w:p>
            <w:pPr>
              <w:pStyle w:val="49"/>
            </w:pPr>
            <w:r>
              <w:rPr>
                <w:rFonts w:hint="eastAsia"/>
              </w:rPr>
              <w:t>≥46超窄边液晶屏；物理分辨率≥1920×1080，响应时间≤8ms。LCD显示单元物理拼缝≤3.5mm，亮度≥500cd/㎡，对比度≥1200:1，图像显示清晰度≥950TVL，亮度鉴别等级为8级。LCD显示单元具备VGA×1、HDMI×1、DVI×1视频输入接口、RS232×2、USB×1、红外控制接口、输出接口：VGA×1，DVI×1，BNC×1</w:t>
            </w:r>
          </w:p>
        </w:tc>
        <w:tc>
          <w:tcPr>
            <w:tcW w:w="530" w:type="dxa"/>
            <w:noWrap/>
            <w:vAlign w:val="center"/>
          </w:tcPr>
          <w:p>
            <w:pPr>
              <w:pStyle w:val="49"/>
            </w:pPr>
            <w:r>
              <w:rPr>
                <w:rFonts w:hint="eastAsia"/>
              </w:rPr>
              <w:t>12</w:t>
            </w:r>
          </w:p>
        </w:tc>
        <w:tc>
          <w:tcPr>
            <w:tcW w:w="696"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62" w:type="dxa"/>
            <w:noWrap/>
            <w:vAlign w:val="center"/>
          </w:tcPr>
          <w:p>
            <w:pPr>
              <w:pStyle w:val="49"/>
            </w:pPr>
            <w:r>
              <w:rPr>
                <w:rFonts w:hint="eastAsia"/>
              </w:rPr>
              <w:t>1</w:t>
            </w:r>
            <w:r>
              <w:t>0</w:t>
            </w:r>
          </w:p>
        </w:tc>
        <w:tc>
          <w:tcPr>
            <w:tcW w:w="1134" w:type="dxa"/>
            <w:vAlign w:val="center"/>
          </w:tcPr>
          <w:p>
            <w:pPr>
              <w:pStyle w:val="49"/>
            </w:pPr>
            <w:r>
              <w:rPr>
                <w:rFonts w:hint="eastAsia"/>
              </w:rPr>
              <w:t>显示屏框架及底座</w:t>
            </w:r>
          </w:p>
        </w:tc>
        <w:tc>
          <w:tcPr>
            <w:tcW w:w="11638" w:type="dxa"/>
            <w:vAlign w:val="center"/>
          </w:tcPr>
          <w:p>
            <w:pPr>
              <w:pStyle w:val="49"/>
            </w:pPr>
            <w:r>
              <w:rPr>
                <w:rFonts w:hint="eastAsia"/>
              </w:rPr>
              <w:t>配套底座和框架</w:t>
            </w:r>
          </w:p>
        </w:tc>
        <w:tc>
          <w:tcPr>
            <w:tcW w:w="530" w:type="dxa"/>
            <w:noWrap/>
            <w:vAlign w:val="center"/>
          </w:tcPr>
          <w:p>
            <w:pPr>
              <w:pStyle w:val="49"/>
            </w:pPr>
            <w:r>
              <w:rPr>
                <w:rFonts w:hint="eastAsia"/>
              </w:rPr>
              <w:t>12</w:t>
            </w:r>
          </w:p>
        </w:tc>
        <w:tc>
          <w:tcPr>
            <w:tcW w:w="696"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trPr>
        <w:tc>
          <w:tcPr>
            <w:tcW w:w="562" w:type="dxa"/>
            <w:noWrap/>
            <w:vAlign w:val="center"/>
          </w:tcPr>
          <w:p>
            <w:pPr>
              <w:pStyle w:val="49"/>
            </w:pPr>
            <w:r>
              <w:rPr>
                <w:rFonts w:hint="eastAsia"/>
              </w:rPr>
              <w:t>1</w:t>
            </w:r>
            <w:r>
              <w:t>1</w:t>
            </w:r>
          </w:p>
        </w:tc>
        <w:tc>
          <w:tcPr>
            <w:tcW w:w="1134" w:type="dxa"/>
            <w:vAlign w:val="center"/>
          </w:tcPr>
          <w:p>
            <w:pPr>
              <w:pStyle w:val="49"/>
            </w:pPr>
            <w:r>
              <w:rPr>
                <w:rFonts w:hint="eastAsia"/>
              </w:rPr>
              <w:t>图像处理器</w:t>
            </w:r>
          </w:p>
        </w:tc>
        <w:tc>
          <w:tcPr>
            <w:tcW w:w="11638" w:type="dxa"/>
            <w:vAlign w:val="center"/>
          </w:tcPr>
          <w:p>
            <w:pPr>
              <w:pStyle w:val="49"/>
            </w:pPr>
            <w:r>
              <w:rPr>
                <w:rFonts w:hint="eastAsia"/>
              </w:rPr>
              <w:t>插卡式≥</w:t>
            </w:r>
            <w:r>
              <w:t>16</w:t>
            </w:r>
            <w:r>
              <w:rPr>
                <w:rFonts w:hint="eastAsia"/>
              </w:rPr>
              <w:t>路DVI或HDMI输入板；≥16路DVI信号输出板。通过处理器可以实现整屏，分屏，开窗口，漫游等功能.平均无故障运行时间（MTBF）≥180000、MTTR＜15分钟且设备整体可用度≥99.99%；支持BNC、YPbPr、SDI、DVI、DisplayPort、HDMI、HDBaseT等输入，输出支持DVI、SDI、HDBaseT输出。支持远距离同轴高清信号传输，传输距离≥500m；能同时对矩阵和显示终端进行配置；可通过屏幕编号调整分屏显示顺序；可对视频文件进行回放；支持远程控制功能；支持视频参数设置功能；具有亮度、对比度、饱和度、锐度设置选项，位置上下、左右可调；支持超高分辨率底图显示，支持底图更换技术，底图支持16384X8192像素；可支持移动终端无线投射功能，可将Ipad、手机等移动终端的图片、视频等图像投射到显示墙上，并对图像进行拼接、漫游、放大、缩小等操作；支持输出分辨率自定义功能，最大分辨率≥1920*1200。具有RJ45接口，支持网络控制。</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pPr>
            <w:r>
              <w:rPr>
                <w:rFonts w:hint="eastAsia"/>
              </w:rPr>
              <w:t>1</w:t>
            </w:r>
            <w:r>
              <w:t>2</w:t>
            </w:r>
          </w:p>
        </w:tc>
        <w:tc>
          <w:tcPr>
            <w:tcW w:w="1134" w:type="dxa"/>
            <w:vAlign w:val="center"/>
          </w:tcPr>
          <w:p>
            <w:pPr>
              <w:pStyle w:val="49"/>
            </w:pPr>
            <w:r>
              <w:rPr>
                <w:rFonts w:hint="eastAsia"/>
              </w:rPr>
              <w:t>大屏幕控制软件</w:t>
            </w:r>
          </w:p>
        </w:tc>
        <w:tc>
          <w:tcPr>
            <w:tcW w:w="11638" w:type="dxa"/>
            <w:vAlign w:val="center"/>
          </w:tcPr>
          <w:p>
            <w:pPr>
              <w:pStyle w:val="49"/>
            </w:pPr>
            <w:r>
              <w:rPr>
                <w:rFonts w:hint="eastAsia"/>
              </w:rPr>
              <w:t>中文界面</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62" w:type="dxa"/>
            <w:noWrap/>
            <w:vAlign w:val="center"/>
          </w:tcPr>
          <w:p>
            <w:pPr>
              <w:pStyle w:val="49"/>
            </w:pPr>
            <w:r>
              <w:rPr>
                <w:rFonts w:hint="eastAsia"/>
              </w:rPr>
              <w:t>1</w:t>
            </w:r>
            <w:r>
              <w:t>3</w:t>
            </w:r>
          </w:p>
        </w:tc>
        <w:tc>
          <w:tcPr>
            <w:tcW w:w="1134" w:type="dxa"/>
            <w:vAlign w:val="center"/>
          </w:tcPr>
          <w:p>
            <w:pPr>
              <w:pStyle w:val="49"/>
            </w:pPr>
            <w:r>
              <w:rPr>
                <w:rFonts w:hint="eastAsia"/>
              </w:rPr>
              <w:t>LED屏</w:t>
            </w:r>
          </w:p>
        </w:tc>
        <w:tc>
          <w:tcPr>
            <w:tcW w:w="11638" w:type="dxa"/>
            <w:vAlign w:val="center"/>
          </w:tcPr>
          <w:p>
            <w:pPr>
              <w:pStyle w:val="49"/>
            </w:pPr>
            <w:r>
              <w:rPr>
                <w:rFonts w:hint="eastAsia"/>
              </w:rPr>
              <w:t>高40cm，单红色，P3.75，包边和电视墙包边材质颜色相近，本地和网络控制两种方式，含电源，与拼接屏宽度相同，放置于拼接屏上方</w:t>
            </w:r>
          </w:p>
        </w:tc>
        <w:tc>
          <w:tcPr>
            <w:tcW w:w="530" w:type="dxa"/>
            <w:vAlign w:val="center"/>
          </w:tcPr>
          <w:p>
            <w:pPr>
              <w:pStyle w:val="49"/>
            </w:pPr>
            <w:r>
              <w:rPr>
                <w:rFonts w:hint="eastAsia"/>
              </w:rPr>
              <w:t>1</w:t>
            </w:r>
          </w:p>
        </w:tc>
        <w:tc>
          <w:tcPr>
            <w:tcW w:w="696" w:type="dxa"/>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pPr>
            <w:r>
              <w:rPr>
                <w:rFonts w:hint="eastAsia"/>
              </w:rPr>
              <w:t>1</w:t>
            </w:r>
            <w:r>
              <w:t>4</w:t>
            </w:r>
          </w:p>
        </w:tc>
        <w:tc>
          <w:tcPr>
            <w:tcW w:w="1134" w:type="dxa"/>
            <w:vAlign w:val="center"/>
          </w:tcPr>
          <w:p>
            <w:pPr>
              <w:pStyle w:val="49"/>
            </w:pPr>
            <w:r>
              <w:rPr>
                <w:rFonts w:hint="eastAsia"/>
              </w:rPr>
              <w:t>服务器机柜</w:t>
            </w:r>
          </w:p>
        </w:tc>
        <w:tc>
          <w:tcPr>
            <w:tcW w:w="11638" w:type="dxa"/>
            <w:vAlign w:val="center"/>
          </w:tcPr>
          <w:p>
            <w:pPr>
              <w:pStyle w:val="49"/>
            </w:pPr>
            <w:r>
              <w:rPr>
                <w:rFonts w:hint="eastAsia"/>
              </w:rPr>
              <w:t>42U，600*900*2000mm，3块隔板，前后网门，1个8口PDU</w:t>
            </w:r>
          </w:p>
        </w:tc>
        <w:tc>
          <w:tcPr>
            <w:tcW w:w="530" w:type="dxa"/>
            <w:noWrap/>
            <w:vAlign w:val="center"/>
          </w:tcPr>
          <w:p>
            <w:pPr>
              <w:pStyle w:val="49"/>
            </w:pPr>
            <w:r>
              <w:rPr>
                <w:rFonts w:hint="eastAsia"/>
              </w:rPr>
              <w:t>2</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562" w:type="dxa"/>
            <w:noWrap/>
            <w:vAlign w:val="center"/>
          </w:tcPr>
          <w:p>
            <w:pPr>
              <w:pStyle w:val="49"/>
            </w:pPr>
            <w:r>
              <w:rPr>
                <w:rFonts w:hint="eastAsia"/>
              </w:rPr>
              <w:t>1</w:t>
            </w:r>
            <w:r>
              <w:t>5</w:t>
            </w:r>
          </w:p>
        </w:tc>
        <w:tc>
          <w:tcPr>
            <w:tcW w:w="1134" w:type="dxa"/>
            <w:vAlign w:val="center"/>
          </w:tcPr>
          <w:p>
            <w:pPr>
              <w:pStyle w:val="49"/>
            </w:pPr>
            <w:r>
              <w:rPr>
                <w:rFonts w:hint="eastAsia"/>
              </w:rPr>
              <w:t>会议桌</w:t>
            </w:r>
          </w:p>
        </w:tc>
        <w:tc>
          <w:tcPr>
            <w:tcW w:w="11638" w:type="dxa"/>
            <w:vAlign w:val="center"/>
          </w:tcPr>
          <w:p>
            <w:pPr>
              <w:pStyle w:val="49"/>
            </w:pPr>
            <w:r>
              <w:rPr>
                <w:rFonts w:hint="eastAsia"/>
              </w:rPr>
              <w:t>1200*450*760，基材：选用优质环保高级中密度纤维板，并经过防虫、防腐、高温、高压处理；密度：0.72g/cm³;E1级环保标准，甲醛释放量≤9.0mg/100mg面漆：采用环保面漆，透明度高、耐划伤、防黄变，符合国家标准；VOC≤670g/l(苯≤0.3％，甲苯、二甲苯、乙苯总和≤30％等）。</w:t>
            </w:r>
          </w:p>
        </w:tc>
        <w:tc>
          <w:tcPr>
            <w:tcW w:w="530" w:type="dxa"/>
            <w:noWrap/>
            <w:vAlign w:val="center"/>
          </w:tcPr>
          <w:p>
            <w:pPr>
              <w:pStyle w:val="49"/>
            </w:pPr>
            <w:r>
              <w:rPr>
                <w:rFonts w:hint="eastAsia"/>
              </w:rPr>
              <w:t>12</w:t>
            </w:r>
          </w:p>
        </w:tc>
        <w:tc>
          <w:tcPr>
            <w:tcW w:w="696" w:type="dxa"/>
            <w:noWrap/>
            <w:vAlign w:val="center"/>
          </w:tcPr>
          <w:p>
            <w:pPr>
              <w:pStyle w:val="49"/>
            </w:pPr>
            <w:r>
              <w:rPr>
                <w:rFonts w:hint="eastAsia"/>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562" w:type="dxa"/>
            <w:noWrap/>
            <w:vAlign w:val="center"/>
          </w:tcPr>
          <w:p>
            <w:pPr>
              <w:pStyle w:val="49"/>
            </w:pPr>
            <w:r>
              <w:rPr>
                <w:rFonts w:hint="eastAsia"/>
              </w:rPr>
              <w:t>1</w:t>
            </w:r>
            <w:r>
              <w:t>6</w:t>
            </w:r>
          </w:p>
        </w:tc>
        <w:tc>
          <w:tcPr>
            <w:tcW w:w="1134" w:type="dxa"/>
            <w:vAlign w:val="center"/>
          </w:tcPr>
          <w:p>
            <w:pPr>
              <w:pStyle w:val="49"/>
            </w:pPr>
            <w:r>
              <w:rPr>
                <w:rFonts w:hint="eastAsia"/>
              </w:rPr>
              <w:t>椅子</w:t>
            </w:r>
          </w:p>
        </w:tc>
        <w:tc>
          <w:tcPr>
            <w:tcW w:w="11638" w:type="dxa"/>
            <w:vAlign w:val="center"/>
          </w:tcPr>
          <w:p>
            <w:pPr>
              <w:pStyle w:val="49"/>
            </w:pPr>
            <w:r>
              <w:rPr>
                <w:rFonts w:hint="eastAsia"/>
              </w:rPr>
              <w:t>座椅：高靠背椅，各部位符合人体工程学原理；皮质：优质西皮覆面；海棉：采用优质环保高回弹PU泡棉，密度：座≥32KG/m3，具有硬度适中，不变形，背≥30kg/m3。粘合剂：采用胶黏剂、符合GB18583-2001国际标准，环保、耐热、耐水、粘性强。木框：实木框架。实木四脚椅。</w:t>
            </w:r>
          </w:p>
        </w:tc>
        <w:tc>
          <w:tcPr>
            <w:tcW w:w="530" w:type="dxa"/>
            <w:noWrap/>
            <w:vAlign w:val="center"/>
          </w:tcPr>
          <w:p>
            <w:pPr>
              <w:pStyle w:val="49"/>
            </w:pPr>
            <w:r>
              <w:rPr>
                <w:rFonts w:hint="eastAsia"/>
              </w:rPr>
              <w:t>24</w:t>
            </w:r>
          </w:p>
        </w:tc>
        <w:tc>
          <w:tcPr>
            <w:tcW w:w="696" w:type="dxa"/>
            <w:noWrap/>
            <w:vAlign w:val="center"/>
          </w:tcPr>
          <w:p>
            <w:pPr>
              <w:pStyle w:val="49"/>
            </w:pPr>
            <w:r>
              <w:rPr>
                <w:rFonts w:hint="eastAsia"/>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62" w:type="dxa"/>
            <w:noWrap/>
            <w:vAlign w:val="center"/>
          </w:tcPr>
          <w:p>
            <w:pPr>
              <w:pStyle w:val="49"/>
            </w:pPr>
            <w:r>
              <w:rPr>
                <w:rFonts w:hint="eastAsia"/>
              </w:rPr>
              <w:t>1</w:t>
            </w:r>
            <w:r>
              <w:t>7</w:t>
            </w:r>
          </w:p>
        </w:tc>
        <w:tc>
          <w:tcPr>
            <w:tcW w:w="1134" w:type="dxa"/>
            <w:vAlign w:val="center"/>
          </w:tcPr>
          <w:p>
            <w:pPr>
              <w:pStyle w:val="49"/>
            </w:pPr>
            <w:r>
              <w:rPr>
                <w:rFonts w:hint="eastAsia"/>
              </w:rPr>
              <w:t>茶水柜</w:t>
            </w:r>
          </w:p>
        </w:tc>
        <w:tc>
          <w:tcPr>
            <w:tcW w:w="11638" w:type="dxa"/>
            <w:vAlign w:val="center"/>
          </w:tcPr>
          <w:p>
            <w:pPr>
              <w:pStyle w:val="49"/>
            </w:pPr>
            <w:r>
              <w:rPr>
                <w:rFonts w:hint="eastAsia"/>
              </w:rPr>
              <w:t>定制，柚木色90高*长80*深40定制，1.基材：基材为E1级中密度板;2.饰面：进口0.6mm木皮饰面;3.油漆工艺：台湾大宝环保油漆，五底三面喷涂； 4.五金配件：优质国产五金配件</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562" w:type="dxa"/>
            <w:noWrap/>
            <w:vAlign w:val="center"/>
          </w:tcPr>
          <w:p>
            <w:pPr>
              <w:pStyle w:val="49"/>
            </w:pPr>
            <w:r>
              <w:t>18</w:t>
            </w:r>
          </w:p>
        </w:tc>
        <w:tc>
          <w:tcPr>
            <w:tcW w:w="1134" w:type="dxa"/>
            <w:vAlign w:val="center"/>
          </w:tcPr>
          <w:p>
            <w:pPr>
              <w:pStyle w:val="49"/>
            </w:pPr>
            <w:r>
              <w:rPr>
                <w:rFonts w:hint="eastAsia"/>
              </w:rPr>
              <w:t>电脑桌椅</w:t>
            </w:r>
          </w:p>
        </w:tc>
        <w:tc>
          <w:tcPr>
            <w:tcW w:w="11638" w:type="dxa"/>
            <w:vAlign w:val="center"/>
          </w:tcPr>
          <w:p>
            <w:pPr>
              <w:pStyle w:val="49"/>
            </w:pPr>
            <w:r>
              <w:rPr>
                <w:rFonts w:hint="eastAsia"/>
              </w:rPr>
              <w:t>2机位电脑桌椅，选用优质环保高级中密度纤维板，并经过防虫、防腐、高温、高压处理，；密度：0.72g/cm³;E1级环保标准，甲醛释放量≤9.0mg/100mg面漆：采用环保面漆，透明度高、耐划伤、防黄变，符合国家标准；VOC≤670g/l(苯≤0.3％，甲苯、二甲苯、乙苯总和≤30％等）； 3把滑轮转椅</w:t>
            </w:r>
          </w:p>
        </w:tc>
        <w:tc>
          <w:tcPr>
            <w:tcW w:w="530" w:type="dxa"/>
            <w:noWrap/>
            <w:vAlign w:val="center"/>
          </w:tcPr>
          <w:p>
            <w:pPr>
              <w:pStyle w:val="49"/>
            </w:pPr>
            <w:r>
              <w:rPr>
                <w:rFonts w:hint="eastAsia"/>
              </w:rPr>
              <w:t>1</w:t>
            </w:r>
          </w:p>
        </w:tc>
        <w:tc>
          <w:tcPr>
            <w:tcW w:w="696" w:type="dxa"/>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trPr>
        <w:tc>
          <w:tcPr>
            <w:tcW w:w="562" w:type="dxa"/>
            <w:noWrap/>
            <w:vAlign w:val="center"/>
          </w:tcPr>
          <w:p>
            <w:pPr>
              <w:pStyle w:val="49"/>
            </w:pPr>
            <w:r>
              <w:t>19</w:t>
            </w:r>
          </w:p>
        </w:tc>
        <w:tc>
          <w:tcPr>
            <w:tcW w:w="1134" w:type="dxa"/>
            <w:vAlign w:val="center"/>
          </w:tcPr>
          <w:p>
            <w:pPr>
              <w:pStyle w:val="49"/>
            </w:pPr>
            <w:r>
              <w:rPr>
                <w:rFonts w:hint="eastAsia"/>
              </w:rPr>
              <w:t>网络硬盘录像机</w:t>
            </w:r>
          </w:p>
        </w:tc>
        <w:tc>
          <w:tcPr>
            <w:tcW w:w="11638" w:type="dxa"/>
            <w:vAlign w:val="center"/>
          </w:tcPr>
          <w:p>
            <w:pPr>
              <w:pStyle w:val="49"/>
            </w:pPr>
            <w:r>
              <w:rPr>
                <w:rFonts w:hint="eastAsia"/>
              </w:rPr>
              <w:t>1、支持≥16路网络视频输入；</w:t>
            </w:r>
            <w:r>
              <w:rPr>
                <w:rFonts w:hint="eastAsia"/>
              </w:rPr>
              <w:br w:type="textWrapping"/>
            </w:r>
            <w:r>
              <w:rPr>
                <w:rFonts w:hint="eastAsia"/>
              </w:rPr>
              <w:t>2、支持接入视频1/4/6/8/9/16多画面分割预览；</w:t>
            </w:r>
            <w:r>
              <w:rPr>
                <w:rFonts w:hint="eastAsia"/>
              </w:rPr>
              <w:br w:type="textWrapping"/>
            </w:r>
            <w:r>
              <w:rPr>
                <w:rFonts w:hint="eastAsia"/>
              </w:rPr>
              <w:t>3、支持≥8路视频并发录像，录像分辨率支持4K、1080p、720p及以下分辨率；</w:t>
            </w:r>
            <w:r>
              <w:rPr>
                <w:rFonts w:hint="eastAsia"/>
              </w:rPr>
              <w:br w:type="textWrapping"/>
            </w:r>
            <w:r>
              <w:rPr>
                <w:rFonts w:hint="eastAsia"/>
              </w:rPr>
              <w:t>4、具有≥8个SATA接口和≥1个eSATA接口，每个接口支持≥10TB硬盘；</w:t>
            </w:r>
            <w:r>
              <w:rPr>
                <w:rFonts w:hint="eastAsia"/>
              </w:rPr>
              <w:br w:type="textWrapping"/>
            </w:r>
            <w:r>
              <w:rPr>
                <w:rFonts w:hint="eastAsia"/>
              </w:rPr>
              <w:t>5、支持手动录像/抓图、定时录像/抓图、事件录像/抓图、移动侦测录像/抓图、报警录像/抓图等模式；支持8路同步回放，支持即时回放、常规回放、事件回放、标签回放、智能回放、分时段回放、图片回放、外部文件回放等模式；</w:t>
            </w:r>
            <w:r>
              <w:rPr>
                <w:rFonts w:hint="eastAsia"/>
              </w:rPr>
              <w:br w:type="textWrapping"/>
            </w:r>
            <w:r>
              <w:rPr>
                <w:rFonts w:hint="eastAsia"/>
              </w:rPr>
              <w:t>6、支持TS、PS流封装，支持SIP2.0协议，支持SIP地址解析、信令转发；</w:t>
            </w:r>
            <w:r>
              <w:rPr>
                <w:rFonts w:hint="eastAsia"/>
              </w:rPr>
              <w:br w:type="textWrapping"/>
            </w:r>
            <w:r>
              <w:rPr>
                <w:rFonts w:hint="eastAsia"/>
              </w:rPr>
              <w:t>7、支持TCP/IP、DHCP、SIP、RTCP、PPOE等网络协议；</w:t>
            </w:r>
            <w:r>
              <w:rPr>
                <w:rFonts w:hint="eastAsia"/>
              </w:rPr>
              <w:br w:type="textWrapping"/>
            </w:r>
            <w:r>
              <w:rPr>
                <w:rFonts w:hint="eastAsia"/>
              </w:rPr>
              <w:t>8、具有≥2个HDMI和≥2个VGA输出接口，支持≥4K分辨率输出；</w:t>
            </w:r>
            <w:r>
              <w:rPr>
                <w:rFonts w:hint="eastAsia"/>
              </w:rPr>
              <w:br w:type="textWrapping"/>
            </w:r>
            <w:r>
              <w:rPr>
                <w:rFonts w:hint="eastAsia"/>
              </w:rPr>
              <w:t>9、具有≥2路音频输出、2个RJ45 10M/100M/1000M自适应以太网口、≥1个RS232、≥3个USB接口。</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pPr>
            <w:r>
              <w:rPr>
                <w:rFonts w:hint="eastAsia"/>
              </w:rPr>
              <w:t>2</w:t>
            </w:r>
            <w:r>
              <w:t>0</w:t>
            </w:r>
          </w:p>
        </w:tc>
        <w:tc>
          <w:tcPr>
            <w:tcW w:w="1134" w:type="dxa"/>
            <w:vAlign w:val="center"/>
          </w:tcPr>
          <w:p>
            <w:pPr>
              <w:pStyle w:val="49"/>
            </w:pPr>
            <w:r>
              <w:rPr>
                <w:rFonts w:hint="eastAsia"/>
              </w:rPr>
              <w:t>企业级硬盘</w:t>
            </w:r>
          </w:p>
        </w:tc>
        <w:tc>
          <w:tcPr>
            <w:tcW w:w="11638" w:type="dxa"/>
            <w:vAlign w:val="center"/>
          </w:tcPr>
          <w:p>
            <w:pPr>
              <w:pStyle w:val="49"/>
            </w:pPr>
            <w:r>
              <w:rPr>
                <w:rFonts w:hint="eastAsia"/>
              </w:rPr>
              <w:t>≥4T，7200转</w:t>
            </w:r>
          </w:p>
        </w:tc>
        <w:tc>
          <w:tcPr>
            <w:tcW w:w="530" w:type="dxa"/>
            <w:noWrap/>
            <w:vAlign w:val="center"/>
          </w:tcPr>
          <w:p>
            <w:pPr>
              <w:pStyle w:val="49"/>
            </w:pPr>
            <w:r>
              <w:rPr>
                <w:rFonts w:hint="eastAsia"/>
              </w:rPr>
              <w:t>8</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562" w:type="dxa"/>
            <w:noWrap/>
            <w:vAlign w:val="center"/>
          </w:tcPr>
          <w:p>
            <w:pPr>
              <w:pStyle w:val="49"/>
            </w:pPr>
            <w:r>
              <w:rPr>
                <w:rFonts w:hint="eastAsia"/>
              </w:rPr>
              <w:t>2</w:t>
            </w:r>
            <w:r>
              <w:t>1</w:t>
            </w:r>
          </w:p>
        </w:tc>
        <w:tc>
          <w:tcPr>
            <w:tcW w:w="1134" w:type="dxa"/>
            <w:vAlign w:val="center"/>
          </w:tcPr>
          <w:p>
            <w:pPr>
              <w:pStyle w:val="49"/>
            </w:pPr>
            <w:r>
              <w:rPr>
                <w:rFonts w:hint="eastAsia"/>
              </w:rPr>
              <w:t>报警系统</w:t>
            </w:r>
          </w:p>
        </w:tc>
        <w:tc>
          <w:tcPr>
            <w:tcW w:w="11638" w:type="dxa"/>
            <w:vAlign w:val="center"/>
          </w:tcPr>
          <w:p>
            <w:pPr>
              <w:pStyle w:val="49"/>
            </w:pPr>
            <w:r>
              <w:rPr>
                <w:rFonts w:hint="eastAsia"/>
              </w:rPr>
              <w:t>红外双监探测探测器2个、报警主机，人机交互：中文语菜单操作提示;系统容量：≥8路有线32路无线或总线防区;设防方式：整体设防;交互设备：双向通信，可接8个双向有线或无线键盘、8个双向智能遥控器。</w:t>
            </w:r>
          </w:p>
        </w:tc>
        <w:tc>
          <w:tcPr>
            <w:tcW w:w="530" w:type="dxa"/>
            <w:vAlign w:val="center"/>
          </w:tcPr>
          <w:p>
            <w:pPr>
              <w:pStyle w:val="49"/>
            </w:pPr>
            <w:r>
              <w:rPr>
                <w:rFonts w:hint="eastAsia"/>
              </w:rPr>
              <w:t>1</w:t>
            </w:r>
          </w:p>
        </w:tc>
        <w:tc>
          <w:tcPr>
            <w:tcW w:w="696" w:type="dxa"/>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pPr>
            <w:r>
              <w:rPr>
                <w:rFonts w:hint="eastAsia"/>
              </w:rPr>
              <w:t>2</w:t>
            </w:r>
            <w:r>
              <w:t>2</w:t>
            </w:r>
          </w:p>
        </w:tc>
        <w:tc>
          <w:tcPr>
            <w:tcW w:w="1134" w:type="dxa"/>
            <w:vAlign w:val="center"/>
          </w:tcPr>
          <w:p>
            <w:pPr>
              <w:pStyle w:val="49"/>
            </w:pPr>
            <w:r>
              <w:rPr>
                <w:rFonts w:hint="eastAsia"/>
              </w:rPr>
              <w:t>液晶电视</w:t>
            </w:r>
          </w:p>
        </w:tc>
        <w:tc>
          <w:tcPr>
            <w:tcW w:w="11638" w:type="dxa"/>
            <w:vAlign w:val="center"/>
          </w:tcPr>
          <w:p>
            <w:pPr>
              <w:pStyle w:val="49"/>
            </w:pPr>
            <w:r>
              <w:rPr>
                <w:rFonts w:hint="eastAsia"/>
              </w:rPr>
              <w:t>40寸液晶电视</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pPr>
            <w:r>
              <w:rPr>
                <w:rFonts w:hint="eastAsia"/>
              </w:rPr>
              <w:t>2</w:t>
            </w:r>
            <w:r>
              <w:t>3</w:t>
            </w:r>
          </w:p>
        </w:tc>
        <w:tc>
          <w:tcPr>
            <w:tcW w:w="1134" w:type="dxa"/>
            <w:vAlign w:val="center"/>
          </w:tcPr>
          <w:p>
            <w:pPr>
              <w:pStyle w:val="49"/>
            </w:pPr>
            <w:r>
              <w:rPr>
                <w:rFonts w:hint="eastAsia"/>
              </w:rPr>
              <w:t>辅材</w:t>
            </w:r>
          </w:p>
        </w:tc>
        <w:tc>
          <w:tcPr>
            <w:tcW w:w="11638" w:type="dxa"/>
            <w:vAlign w:val="center"/>
          </w:tcPr>
          <w:p>
            <w:pPr>
              <w:pStyle w:val="49"/>
            </w:pPr>
            <w:r>
              <w:rPr>
                <w:rFonts w:hint="eastAsia"/>
              </w:rPr>
              <w:t>国标产品，电源线、六类网线、PVC槽、电源插座、电源空开等。</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62" w:type="dxa"/>
            <w:noWrap/>
            <w:vAlign w:val="center"/>
          </w:tcPr>
          <w:p>
            <w:pPr>
              <w:pStyle w:val="49"/>
            </w:pPr>
            <w:r>
              <w:rPr>
                <w:rFonts w:hint="eastAsia"/>
              </w:rPr>
              <w:t>2</w:t>
            </w:r>
            <w:r>
              <w:t>4</w:t>
            </w:r>
          </w:p>
        </w:tc>
        <w:tc>
          <w:tcPr>
            <w:tcW w:w="1134" w:type="dxa"/>
            <w:vAlign w:val="center"/>
          </w:tcPr>
          <w:p>
            <w:pPr>
              <w:pStyle w:val="49"/>
            </w:pPr>
            <w:r>
              <w:rPr>
                <w:rFonts w:hint="eastAsia"/>
              </w:rPr>
              <w:t>大屏拆装</w:t>
            </w:r>
          </w:p>
        </w:tc>
        <w:tc>
          <w:tcPr>
            <w:tcW w:w="11638" w:type="dxa"/>
            <w:vAlign w:val="center"/>
          </w:tcPr>
          <w:p>
            <w:pPr>
              <w:pStyle w:val="49"/>
            </w:pPr>
            <w:r>
              <w:rPr>
                <w:rFonts w:hint="eastAsia"/>
              </w:rPr>
              <w:t>拆除现有拼接屏，安装到用户指定地点，隔墙封装，实现3*3显示，含安装支架及调试</w:t>
            </w:r>
          </w:p>
        </w:tc>
        <w:tc>
          <w:tcPr>
            <w:tcW w:w="530" w:type="dxa"/>
            <w:noWrap/>
            <w:vAlign w:val="center"/>
          </w:tcPr>
          <w:p>
            <w:pPr>
              <w:pStyle w:val="49"/>
            </w:pPr>
            <w:r>
              <w:rPr>
                <w:rFonts w:hint="eastAsia"/>
              </w:rPr>
              <w:t>1</w:t>
            </w:r>
          </w:p>
        </w:tc>
        <w:tc>
          <w:tcPr>
            <w:tcW w:w="696" w:type="dxa"/>
            <w:noWrap/>
            <w:vAlign w:val="center"/>
          </w:tcPr>
          <w:p>
            <w:pPr>
              <w:pStyle w:val="49"/>
            </w:pPr>
            <w:r>
              <w:rPr>
                <w:rFonts w:hint="eastAsia"/>
              </w:rPr>
              <w:t>批</w:t>
            </w:r>
          </w:p>
        </w:tc>
      </w:tr>
    </w:tbl>
    <w:p/>
    <w:p>
      <w:pPr>
        <w:widowControl/>
        <w:jc w:val="left"/>
        <w:rPr>
          <w:rFonts w:asciiTheme="majorHAnsi" w:hAnsiTheme="majorHAnsi" w:cstheme="majorBidi"/>
          <w:b/>
          <w:bCs/>
          <w:sz w:val="32"/>
          <w:szCs w:val="32"/>
        </w:rPr>
      </w:pPr>
      <w:r>
        <w:br w:type="page"/>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992"/>
        <w:gridCol w:w="11882"/>
        <w:gridCol w:w="512"/>
        <w:gridCol w:w="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560" w:type="dxa"/>
            <w:gridSpan w:val="5"/>
            <w:noWrap/>
            <w:vAlign w:val="center"/>
          </w:tcPr>
          <w:p>
            <w:pPr>
              <w:pStyle w:val="49"/>
            </w:pPr>
            <w:r>
              <w:rPr>
                <w:rFonts w:hint="eastAsia"/>
                <w:b/>
                <w:bCs w:val="0"/>
              </w:rPr>
              <w:t>阎良西飞一中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704" w:type="dxa"/>
            <w:noWrap/>
            <w:vAlign w:val="center"/>
          </w:tcPr>
          <w:p>
            <w:pPr>
              <w:pStyle w:val="49"/>
              <w:rPr>
                <w:b/>
                <w:bCs w:val="0"/>
              </w:rPr>
            </w:pPr>
            <w:r>
              <w:rPr>
                <w:rFonts w:hint="eastAsia"/>
                <w:b/>
                <w:bCs w:val="0"/>
              </w:rPr>
              <w:t>序号</w:t>
            </w:r>
          </w:p>
        </w:tc>
        <w:tc>
          <w:tcPr>
            <w:tcW w:w="992" w:type="dxa"/>
            <w:noWrap/>
            <w:vAlign w:val="center"/>
          </w:tcPr>
          <w:p>
            <w:pPr>
              <w:pStyle w:val="49"/>
              <w:rPr>
                <w:b/>
                <w:bCs w:val="0"/>
              </w:rPr>
            </w:pPr>
            <w:r>
              <w:rPr>
                <w:rFonts w:hint="eastAsia"/>
                <w:b/>
                <w:bCs w:val="0"/>
              </w:rPr>
              <w:t>设备名称</w:t>
            </w:r>
          </w:p>
        </w:tc>
        <w:tc>
          <w:tcPr>
            <w:tcW w:w="11882" w:type="dxa"/>
            <w:noWrap/>
            <w:vAlign w:val="center"/>
          </w:tcPr>
          <w:p>
            <w:pPr>
              <w:pStyle w:val="49"/>
              <w:rPr>
                <w:b/>
                <w:bCs w:val="0"/>
              </w:rPr>
            </w:pPr>
            <w:r>
              <w:rPr>
                <w:rFonts w:hint="eastAsia"/>
                <w:b/>
                <w:bCs w:val="0"/>
              </w:rPr>
              <w:t>技术参数</w:t>
            </w:r>
          </w:p>
        </w:tc>
        <w:tc>
          <w:tcPr>
            <w:tcW w:w="512" w:type="dxa"/>
            <w:noWrap/>
            <w:vAlign w:val="center"/>
          </w:tcPr>
          <w:p>
            <w:pPr>
              <w:pStyle w:val="49"/>
              <w:rPr>
                <w:b/>
                <w:bCs w:val="0"/>
              </w:rPr>
            </w:pPr>
            <w:r>
              <w:rPr>
                <w:rFonts w:hint="eastAsia"/>
                <w:b/>
                <w:bCs w:val="0"/>
              </w:rPr>
              <w:t>数量</w:t>
            </w:r>
          </w:p>
        </w:tc>
        <w:tc>
          <w:tcPr>
            <w:tcW w:w="470" w:type="dxa"/>
            <w:noWrap/>
            <w:vAlign w:val="center"/>
          </w:tcPr>
          <w:p>
            <w:pPr>
              <w:pStyle w:val="49"/>
              <w:rPr>
                <w:b/>
                <w:bCs w:val="0"/>
              </w:rPr>
            </w:pPr>
            <w:r>
              <w:rPr>
                <w:rFonts w:hint="eastAsia"/>
                <w:b/>
                <w:bCs w:val="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3578" w:type="dxa"/>
            <w:gridSpan w:val="3"/>
            <w:noWrap/>
            <w:vAlign w:val="center"/>
          </w:tcPr>
          <w:p>
            <w:pPr>
              <w:pStyle w:val="49"/>
            </w:pPr>
            <w:r>
              <w:rPr>
                <w:rFonts w:hint="eastAsia"/>
                <w:b/>
                <w:bCs w:val="0"/>
              </w:rPr>
              <w:t>一、巡查系统</w:t>
            </w:r>
          </w:p>
        </w:tc>
        <w:tc>
          <w:tcPr>
            <w:tcW w:w="512" w:type="dxa"/>
            <w:noWrap/>
            <w:vAlign w:val="center"/>
          </w:tcPr>
          <w:p>
            <w:pPr>
              <w:pStyle w:val="49"/>
            </w:pPr>
            <w:r>
              <w:rPr>
                <w:rFonts w:hint="eastAsia"/>
              </w:rPr>
              <w:t>　</w:t>
            </w:r>
          </w:p>
        </w:tc>
        <w:tc>
          <w:tcPr>
            <w:tcW w:w="47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04" w:type="dxa"/>
            <w:noWrap/>
            <w:vAlign w:val="center"/>
          </w:tcPr>
          <w:p>
            <w:pPr>
              <w:pStyle w:val="49"/>
            </w:pPr>
            <w:r>
              <w:rPr>
                <w:rFonts w:hint="eastAsia"/>
              </w:rPr>
              <w:t>1</w:t>
            </w:r>
          </w:p>
        </w:tc>
        <w:tc>
          <w:tcPr>
            <w:tcW w:w="992" w:type="dxa"/>
            <w:vAlign w:val="center"/>
          </w:tcPr>
          <w:p>
            <w:pPr>
              <w:pStyle w:val="49"/>
            </w:pPr>
            <w:r>
              <w:rPr>
                <w:rFonts w:hint="eastAsia"/>
              </w:rPr>
              <w:t>管理计算机</w:t>
            </w:r>
          </w:p>
        </w:tc>
        <w:tc>
          <w:tcPr>
            <w:tcW w:w="11882" w:type="dxa"/>
            <w:vAlign w:val="center"/>
          </w:tcPr>
          <w:p>
            <w:pPr>
              <w:pStyle w:val="49"/>
            </w:pPr>
            <w:r>
              <w:rPr>
                <w:rFonts w:hint="eastAsia"/>
              </w:rPr>
              <w:t>性能不低于：I7-9700 8G DDRIII 2133MHz，128G固态硬盘，1TG SATA3 7200rpm， 2G独立显卡，23”显示器,USB鼠标键盘，win10</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0" w:hRule="atLeast"/>
        </w:trPr>
        <w:tc>
          <w:tcPr>
            <w:tcW w:w="704" w:type="dxa"/>
            <w:noWrap/>
            <w:vAlign w:val="center"/>
          </w:tcPr>
          <w:p>
            <w:pPr>
              <w:pStyle w:val="49"/>
            </w:pPr>
            <w:r>
              <w:rPr>
                <w:rFonts w:hint="eastAsia"/>
              </w:rPr>
              <w:t>2</w:t>
            </w:r>
          </w:p>
        </w:tc>
        <w:tc>
          <w:tcPr>
            <w:tcW w:w="992" w:type="dxa"/>
            <w:vAlign w:val="center"/>
          </w:tcPr>
          <w:p>
            <w:pPr>
              <w:pStyle w:val="49"/>
            </w:pPr>
            <w:r>
              <w:rPr>
                <w:rFonts w:hint="eastAsia"/>
              </w:rPr>
              <w:t>高清网络半球摄像机</w:t>
            </w:r>
          </w:p>
        </w:tc>
        <w:tc>
          <w:tcPr>
            <w:tcW w:w="11882" w:type="dxa"/>
            <w:vAlign w:val="center"/>
          </w:tcPr>
          <w:p>
            <w:pPr>
              <w:pStyle w:val="49"/>
            </w:pPr>
            <w:r>
              <w:rPr>
                <w:rFonts w:hint="eastAsia"/>
              </w:rPr>
              <w:t>1、≥400万半球型网络摄像机，采用1/2.7" CMOS传感器</w:t>
            </w:r>
            <w:r>
              <w:rPr>
                <w:rFonts w:hint="eastAsia"/>
              </w:rPr>
              <w:br w:type="textWrapping"/>
            </w:r>
            <w:r>
              <w:rPr>
                <w:rFonts w:hint="eastAsia"/>
              </w:rPr>
              <w:t>2、照度≤0.005Lux，0Lux with IR；</w:t>
            </w:r>
            <w:r>
              <w:rPr>
                <w:rFonts w:hint="eastAsia"/>
              </w:rPr>
              <w:br w:type="textWrapping"/>
            </w:r>
            <w:r>
              <w:rPr>
                <w:rFonts w:hint="eastAsia"/>
              </w:rPr>
              <w:t>3、采用2.7mm-12mm镜头, 水平视场角93°～35°；</w:t>
            </w:r>
            <w:r>
              <w:rPr>
                <w:rFonts w:hint="eastAsia"/>
              </w:rPr>
              <w:br w:type="textWrapping"/>
            </w:r>
            <w:r>
              <w:rPr>
                <w:rFonts w:hint="eastAsia"/>
              </w:rPr>
              <w:t>4、视频编码标准支持H.265、H.264、MJPEG编码格式，音频编码标准支持G.711/MP2L2/AAC，图像尺寸≥2560×1440；</w:t>
            </w:r>
            <w:r>
              <w:rPr>
                <w:rFonts w:hint="eastAsia"/>
              </w:rPr>
              <w:br w:type="textWrapping"/>
            </w:r>
            <w:r>
              <w:rPr>
                <w:rFonts w:hint="eastAsia"/>
              </w:rPr>
              <w:t>5、支持Micro SD/SDHC/SDXC卡(128G)本地存储；</w:t>
            </w:r>
            <w:r>
              <w:rPr>
                <w:rFonts w:hint="eastAsia"/>
              </w:rPr>
              <w:br w:type="textWrapping"/>
            </w:r>
            <w:r>
              <w:rPr>
                <w:rFonts w:hint="eastAsia"/>
              </w:rPr>
              <w:t>6、支持SIP、RTP、RTCP等网络协议，支持TS、PS流封装，支持标准SIP2.0协议；</w:t>
            </w:r>
            <w:r>
              <w:rPr>
                <w:rFonts w:hint="eastAsia"/>
              </w:rPr>
              <w:br w:type="textWrapping"/>
            </w:r>
            <w:r>
              <w:rPr>
                <w:rFonts w:hint="eastAsia"/>
              </w:rPr>
              <w:t>7、具有视频移动侦测能力，可根据设置策略实现相应的编码、传输、存储或视频报警；</w:t>
            </w:r>
            <w:r>
              <w:rPr>
                <w:rFonts w:hint="eastAsia"/>
              </w:rPr>
              <w:br w:type="textWrapping"/>
            </w:r>
            <w:r>
              <w:rPr>
                <w:rFonts w:hint="eastAsia"/>
              </w:rPr>
              <w:t>8、支持SIP的地址解析、信令转发，支持SIP URI统一命名规则、分级命名；</w:t>
            </w:r>
            <w:r>
              <w:rPr>
                <w:rFonts w:hint="eastAsia"/>
              </w:rPr>
              <w:br w:type="textWrapping"/>
            </w:r>
            <w:r>
              <w:rPr>
                <w:rFonts w:hint="eastAsia"/>
              </w:rPr>
              <w:t>9、支持UDP回放方式，支持UDP下载方式；</w:t>
            </w:r>
            <w:r>
              <w:rPr>
                <w:rFonts w:hint="eastAsia"/>
              </w:rPr>
              <w:br w:type="textWrapping"/>
            </w:r>
            <w:r>
              <w:rPr>
                <w:rFonts w:hint="eastAsia"/>
              </w:rPr>
              <w:t>10、支持时间同步功能，支持网络时间协议（NTP）；</w:t>
            </w:r>
            <w:r>
              <w:rPr>
                <w:rFonts w:hint="eastAsia"/>
              </w:rPr>
              <w:br w:type="textWrapping"/>
            </w:r>
            <w:r>
              <w:rPr>
                <w:rFonts w:hint="eastAsia"/>
              </w:rPr>
              <w:t>11、具有≥1个RJ45 10M/100M自适应以太网口、≥1对音频输入/输出接口、≥2对报警输入/输出接口；</w:t>
            </w:r>
            <w:r>
              <w:rPr>
                <w:rFonts w:hint="eastAsia"/>
              </w:rPr>
              <w:br w:type="textWrapping"/>
            </w:r>
            <w:r>
              <w:rPr>
                <w:rFonts w:hint="eastAsia"/>
              </w:rPr>
              <w:t>12、支持DC12V/PoE(802.3af)供电；</w:t>
            </w:r>
            <w:r>
              <w:rPr>
                <w:rFonts w:hint="eastAsia"/>
              </w:rPr>
              <w:br w:type="textWrapping"/>
            </w:r>
            <w:r>
              <w:rPr>
                <w:rFonts w:hint="eastAsia"/>
              </w:rPr>
              <w:t>13、红外照射距离≥30米；</w:t>
            </w:r>
            <w:r>
              <w:rPr>
                <w:rFonts w:hint="eastAsia"/>
              </w:rPr>
              <w:br w:type="textWrapping"/>
            </w:r>
            <w:r>
              <w:rPr>
                <w:rFonts w:hint="eastAsia"/>
              </w:rPr>
              <w:t>14、防护等级为IP67。</w:t>
            </w:r>
            <w:r>
              <w:rPr>
                <w:rFonts w:hint="eastAsia"/>
              </w:rPr>
              <w:br w:type="textWrapping"/>
            </w:r>
            <w:r>
              <w:rPr>
                <w:rFonts w:hint="eastAsia"/>
              </w:rPr>
              <w:t>15、符合标准：符合《公共安全视频监控联网系统信息传输、交换、控制技术要求》GB/T28181-2016。符合《国家教育考试网上巡查系统视频标准技术规范》JY/T-KS-JS-2017-1。</w:t>
            </w:r>
            <w:r>
              <w:rPr>
                <w:rFonts w:hint="eastAsia"/>
              </w:rPr>
              <w:br w:type="textWrapping"/>
            </w:r>
            <w:r>
              <w:rPr>
                <w:rFonts w:hint="eastAsia"/>
              </w:rPr>
              <w:t>16、包含支架和电源；</w:t>
            </w:r>
            <w:r>
              <w:rPr>
                <w:rFonts w:hint="eastAsia"/>
              </w:rPr>
              <w:br w:type="textWrapping"/>
            </w:r>
            <w:r>
              <w:rPr>
                <w:rFonts w:hint="eastAsia"/>
              </w:rPr>
              <w:t>17、提供产品来源渠道证明文件（包括但不限于销售协议、代理协议、原厂授权）加盖公章。</w:t>
            </w:r>
          </w:p>
        </w:tc>
        <w:tc>
          <w:tcPr>
            <w:tcW w:w="512" w:type="dxa"/>
            <w:noWrap/>
            <w:vAlign w:val="center"/>
          </w:tcPr>
          <w:p>
            <w:pPr>
              <w:pStyle w:val="49"/>
            </w:pPr>
            <w:r>
              <w:rPr>
                <w:rFonts w:hint="eastAsia"/>
              </w:rPr>
              <w:t>33</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vAlign w:val="center"/>
          </w:tcPr>
          <w:p>
            <w:pPr>
              <w:pStyle w:val="49"/>
            </w:pPr>
            <w:r>
              <w:rPr>
                <w:rFonts w:hint="eastAsia"/>
              </w:rPr>
              <w:t>3</w:t>
            </w:r>
          </w:p>
        </w:tc>
        <w:tc>
          <w:tcPr>
            <w:tcW w:w="992" w:type="dxa"/>
            <w:vAlign w:val="center"/>
          </w:tcPr>
          <w:p>
            <w:pPr>
              <w:pStyle w:val="49"/>
            </w:pPr>
            <w:r>
              <w:rPr>
                <w:rFonts w:hint="eastAsia"/>
              </w:rPr>
              <w:t>拾音器</w:t>
            </w:r>
          </w:p>
        </w:tc>
        <w:tc>
          <w:tcPr>
            <w:tcW w:w="11882" w:type="dxa"/>
            <w:vAlign w:val="center"/>
          </w:tcPr>
          <w:p>
            <w:pPr>
              <w:pStyle w:val="49"/>
            </w:pPr>
            <w:r>
              <w:rPr>
                <w:rFonts w:hint="eastAsia"/>
              </w:rPr>
              <w:t>监听面积：50平方米-100平方米；音频传输距离: 3000米 ；适配器：内置前置放大电路，不需要适配器；频率响应：20Hz ～ 20kHz； 连接方式：3条引线 (电源,音频,公共地)；灵敏度：-32dB；传输线缆：3芯0.5mm2 RVVP电缆；信噪比 ；80dB ( 1米40 dB音源) 30dB (10米40 dB音源) 1KHz at 1 Pa；指向特性；全指向性 动态范围：104dB (1KHz at Max dB SPL)；环境温度： -25℃ ～ 75℃；最大承受音压： 120dB SPL (1KHz,THD 1%)；输出阻抗；600欧姆非平衡；输出信号幅度 ：2.5Vpp/-25db。</w:t>
            </w:r>
          </w:p>
        </w:tc>
        <w:tc>
          <w:tcPr>
            <w:tcW w:w="512" w:type="dxa"/>
            <w:noWrap/>
            <w:vAlign w:val="center"/>
          </w:tcPr>
          <w:p>
            <w:pPr>
              <w:pStyle w:val="49"/>
            </w:pPr>
            <w:r>
              <w:rPr>
                <w:rFonts w:hint="eastAsia"/>
              </w:rPr>
              <w:t>33</w:t>
            </w:r>
          </w:p>
        </w:tc>
        <w:tc>
          <w:tcPr>
            <w:tcW w:w="470" w:type="dxa"/>
            <w:noWrap/>
            <w:vAlign w:val="center"/>
          </w:tcPr>
          <w:p>
            <w:pPr>
              <w:pStyle w:val="49"/>
            </w:pPr>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vAlign w:val="center"/>
          </w:tcPr>
          <w:p>
            <w:pPr>
              <w:pStyle w:val="49"/>
            </w:pPr>
            <w:r>
              <w:rPr>
                <w:rFonts w:hint="eastAsia"/>
              </w:rPr>
              <w:t>4</w:t>
            </w:r>
          </w:p>
        </w:tc>
        <w:tc>
          <w:tcPr>
            <w:tcW w:w="992" w:type="dxa"/>
            <w:vAlign w:val="center"/>
          </w:tcPr>
          <w:p>
            <w:pPr>
              <w:pStyle w:val="49"/>
            </w:pPr>
            <w:r>
              <w:rPr>
                <w:rFonts w:hint="eastAsia"/>
              </w:rPr>
              <w:t>筒型网络摄像机</w:t>
            </w:r>
          </w:p>
        </w:tc>
        <w:tc>
          <w:tcPr>
            <w:tcW w:w="11882" w:type="dxa"/>
            <w:vAlign w:val="center"/>
          </w:tcPr>
          <w:p>
            <w:pPr>
              <w:pStyle w:val="49"/>
            </w:pPr>
            <w:r>
              <w:rPr>
                <w:rFonts w:hint="eastAsia"/>
              </w:rPr>
              <w:t>≥400万筒型摄像机，采用1/2.7" CMOS传感器；最小照度≤0.005Lux，0Lux with IR；采用2.7mm-12mm镜头, 水平视场角93°～35°，视频编码标准支持H.265/H.264，音频编码标准支持G.711/MP2L2/AAC，图像尺寸≥2560×1440；支持Micro SD/SDHC/SDXC卡(≥128G)本地存储；具有≥1个RJ45 10M/100M自适应以太网口、1对音频输入/输出接口、2对报警输入/输出接口；支持DC12V/PoE(802.3af)供电；红外照射距离≥30米；防护等级为IP67。符合标准：符合《公共安全视频监控联网系统信息传输、交换、控制技术要求》GB/T28181-2016。符合《国家教育考试网上巡查系统视频标准技术规范》JY/T-KS-JS-2017-1。</w:t>
            </w:r>
          </w:p>
        </w:tc>
        <w:tc>
          <w:tcPr>
            <w:tcW w:w="512" w:type="dxa"/>
            <w:noWrap/>
            <w:vAlign w:val="center"/>
          </w:tcPr>
          <w:p>
            <w:pPr>
              <w:pStyle w:val="49"/>
            </w:pPr>
            <w:r>
              <w:t>10</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0" w:hRule="atLeast"/>
        </w:trPr>
        <w:tc>
          <w:tcPr>
            <w:tcW w:w="704" w:type="dxa"/>
            <w:noWrap/>
            <w:vAlign w:val="center"/>
          </w:tcPr>
          <w:p>
            <w:pPr>
              <w:pStyle w:val="49"/>
            </w:pPr>
            <w:r>
              <w:rPr>
                <w:rFonts w:hint="eastAsia"/>
              </w:rPr>
              <w:t>5</w:t>
            </w:r>
          </w:p>
        </w:tc>
        <w:tc>
          <w:tcPr>
            <w:tcW w:w="992" w:type="dxa"/>
            <w:vAlign w:val="center"/>
          </w:tcPr>
          <w:p>
            <w:pPr>
              <w:pStyle w:val="49"/>
            </w:pPr>
            <w:r>
              <w:rPr>
                <w:rFonts w:hint="eastAsia"/>
              </w:rPr>
              <w:t>高清网络球型摄像机</w:t>
            </w:r>
          </w:p>
        </w:tc>
        <w:tc>
          <w:tcPr>
            <w:tcW w:w="11882" w:type="dxa"/>
            <w:vAlign w:val="center"/>
          </w:tcPr>
          <w:p>
            <w:pPr>
              <w:pStyle w:val="49"/>
              <w:numPr>
                <w:ilvl w:val="0"/>
                <w:numId w:val="3"/>
              </w:numPr>
            </w:pPr>
            <w:r>
              <w:rPr>
                <w:rFonts w:hint="eastAsia"/>
              </w:rPr>
              <w:t>≥400万7寸红外网络高清智能球机，采用1/2.5" CMOS传感器，最小照度≤0.005Lux，0Lux with IR；</w:t>
            </w:r>
          </w:p>
          <w:p>
            <w:pPr>
              <w:pStyle w:val="49"/>
              <w:numPr>
                <w:ilvl w:val="0"/>
                <w:numId w:val="3"/>
              </w:numPr>
            </w:pPr>
            <w:r>
              <w:rPr>
                <w:rFonts w:hint="eastAsia"/>
              </w:rPr>
              <w:br w:type="page"/>
            </w:r>
            <w:r>
              <w:rPr>
                <w:rFonts w:hint="eastAsia"/>
              </w:rPr>
              <w:t>采用4.8mm-110mm镜头, ≥ 23倍光学变倍、≥16倍数字变倍；</w:t>
            </w:r>
          </w:p>
          <w:p>
            <w:pPr>
              <w:pStyle w:val="49"/>
              <w:numPr>
                <w:ilvl w:val="0"/>
                <w:numId w:val="3"/>
              </w:numPr>
            </w:pPr>
            <w:r>
              <w:rPr>
                <w:rFonts w:hint="eastAsia"/>
              </w:rPr>
              <w:br w:type="page"/>
            </w:r>
            <w:r>
              <w:rPr>
                <w:rFonts w:hint="eastAsia"/>
              </w:rPr>
              <w:t>视频编码标准支持H.265/H.264，音频编码标准支持G.711/MP2L2/AAC等，≥2560×1440；</w:t>
            </w:r>
          </w:p>
          <w:p>
            <w:pPr>
              <w:pStyle w:val="49"/>
              <w:numPr>
                <w:ilvl w:val="0"/>
                <w:numId w:val="3"/>
              </w:numPr>
            </w:pPr>
            <w:r>
              <w:rPr>
                <w:rFonts w:hint="eastAsia"/>
              </w:rPr>
              <w:br w:type="page"/>
            </w:r>
            <w:r>
              <w:rPr>
                <w:rFonts w:hint="eastAsia"/>
              </w:rPr>
              <w:t>最高输出帧率为30fps、输出分辨率支持2560×1440/1920×1080/1280×960/1280×720；</w:t>
            </w:r>
          </w:p>
          <w:p>
            <w:pPr>
              <w:pStyle w:val="49"/>
              <w:numPr>
                <w:ilvl w:val="0"/>
                <w:numId w:val="3"/>
              </w:numPr>
            </w:pPr>
            <w:r>
              <w:rPr>
                <w:rFonts w:hint="eastAsia"/>
              </w:rPr>
              <w:br w:type="page"/>
            </w:r>
            <w:r>
              <w:rPr>
                <w:rFonts w:hint="eastAsia"/>
              </w:rPr>
              <w:t>支持Micro SD/SDHC/SDXC卡(≥256G)本地存储；</w:t>
            </w:r>
          </w:p>
          <w:p>
            <w:pPr>
              <w:pStyle w:val="49"/>
              <w:numPr>
                <w:ilvl w:val="0"/>
                <w:numId w:val="3"/>
              </w:numPr>
            </w:pPr>
            <w:r>
              <w:rPr>
                <w:rFonts w:hint="eastAsia"/>
              </w:rPr>
              <w:br w:type="page"/>
            </w:r>
            <w:r>
              <w:rPr>
                <w:rFonts w:hint="eastAsia"/>
              </w:rPr>
              <w:t>具有智能报警功能，支持越界侦测、区域入侵侦测、音频异常侦测和移动侦测等报警类型；</w:t>
            </w:r>
          </w:p>
          <w:p>
            <w:pPr>
              <w:pStyle w:val="49"/>
              <w:numPr>
                <w:ilvl w:val="0"/>
                <w:numId w:val="3"/>
              </w:numPr>
            </w:pPr>
            <w:r>
              <w:rPr>
                <w:rFonts w:hint="eastAsia"/>
              </w:rPr>
              <w:t>支持宽动态、透雾、强光抑制、3D定位和电子防抖；</w:t>
            </w:r>
          </w:p>
          <w:p>
            <w:pPr>
              <w:pStyle w:val="49"/>
              <w:numPr>
                <w:ilvl w:val="0"/>
                <w:numId w:val="3"/>
              </w:numPr>
            </w:pPr>
            <w:r>
              <w:rPr>
                <w:rFonts w:hint="eastAsia"/>
              </w:rPr>
              <w:t>水平及垂直：水平范围360°，垂直范围-15°～90°，水平转速：0.1°～160°/s，速度可设，水平预置点速度：240°/s，垂直速度：垂直转速：0.1°～120°/s，速度可设，垂直预置点速度：200°/s；</w:t>
            </w:r>
          </w:p>
          <w:p>
            <w:pPr>
              <w:pStyle w:val="49"/>
              <w:numPr>
                <w:ilvl w:val="0"/>
                <w:numId w:val="3"/>
              </w:numPr>
            </w:pPr>
            <w:r>
              <w:rPr>
                <w:rFonts w:hint="eastAsia"/>
              </w:rPr>
              <w:t>支持≥300个预置点；</w:t>
            </w:r>
          </w:p>
          <w:p>
            <w:pPr>
              <w:pStyle w:val="49"/>
              <w:numPr>
                <w:ilvl w:val="0"/>
                <w:numId w:val="3"/>
              </w:numPr>
            </w:pPr>
            <w:r>
              <w:rPr>
                <w:rFonts w:hint="eastAsia"/>
              </w:rPr>
              <w:t>≥8条巡航扫描，每条可设置≥32个预置点，支持断电记忆；</w:t>
            </w:r>
          </w:p>
          <w:p>
            <w:pPr>
              <w:pStyle w:val="49"/>
              <w:numPr>
                <w:ilvl w:val="0"/>
                <w:numId w:val="3"/>
              </w:numPr>
            </w:pPr>
            <w:r>
              <w:rPr>
                <w:rFonts w:hint="eastAsia"/>
              </w:rPr>
              <w:t>支持标准SIP2.0，支持统一SIP URI统一命名规则、分级命名；</w:t>
            </w:r>
          </w:p>
          <w:p>
            <w:pPr>
              <w:pStyle w:val="49"/>
              <w:numPr>
                <w:ilvl w:val="0"/>
                <w:numId w:val="3"/>
              </w:numPr>
            </w:pPr>
            <w:r>
              <w:rPr>
                <w:rFonts w:hint="eastAsia"/>
              </w:rPr>
              <w:t xml:space="preserve">具有≥1个RJ45 10M/100M自适应以太网口、≥1对音频输入/输出接口、≥1对报警输入/输出接口； </w:t>
            </w:r>
          </w:p>
          <w:p>
            <w:pPr>
              <w:pStyle w:val="49"/>
              <w:numPr>
                <w:ilvl w:val="0"/>
                <w:numId w:val="3"/>
              </w:numPr>
            </w:pPr>
            <w:r>
              <w:rPr>
                <w:rFonts w:hint="eastAsia"/>
              </w:rPr>
              <w:t>红外照射距离≥150米；</w:t>
            </w:r>
          </w:p>
          <w:p>
            <w:pPr>
              <w:pStyle w:val="49"/>
              <w:numPr>
                <w:ilvl w:val="0"/>
                <w:numId w:val="3"/>
              </w:numPr>
            </w:pPr>
            <w:r>
              <w:rPr>
                <w:rFonts w:hint="eastAsia"/>
              </w:rPr>
              <w:t>防护等级：IP66，TVS 4000V 防雷、防浪涌、防突波，符合GB/T17626.5 四级标准；</w:t>
            </w:r>
          </w:p>
          <w:p>
            <w:pPr>
              <w:pStyle w:val="49"/>
              <w:numPr>
                <w:ilvl w:val="0"/>
                <w:numId w:val="3"/>
              </w:numPr>
            </w:pPr>
            <w:r>
              <w:rPr>
                <w:rFonts w:hint="eastAsia"/>
              </w:rPr>
              <w:t>符合标准：符合《国家教育考试网上巡查系统视频标准技术规范》JY/T-KS-JS-2017-1。</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vAlign w:val="center"/>
          </w:tcPr>
          <w:p>
            <w:pPr>
              <w:pStyle w:val="49"/>
            </w:pPr>
            <w:r>
              <w:rPr>
                <w:rFonts w:hint="eastAsia"/>
              </w:rPr>
              <w:t>6</w:t>
            </w:r>
          </w:p>
        </w:tc>
        <w:tc>
          <w:tcPr>
            <w:tcW w:w="992" w:type="dxa"/>
            <w:vAlign w:val="center"/>
          </w:tcPr>
          <w:p>
            <w:pPr>
              <w:pStyle w:val="49"/>
            </w:pPr>
            <w:r>
              <w:rPr>
                <w:rFonts w:hint="eastAsia"/>
              </w:rPr>
              <w:t>SIP网关及媒体转发服务器</w:t>
            </w:r>
          </w:p>
        </w:tc>
        <w:tc>
          <w:tcPr>
            <w:tcW w:w="11882" w:type="dxa"/>
            <w:vAlign w:val="center"/>
          </w:tcPr>
          <w:p>
            <w:pPr>
              <w:pStyle w:val="49"/>
            </w:pPr>
            <w:r>
              <w:rPr>
                <w:rFonts w:hint="eastAsia"/>
              </w:rPr>
              <w:t>1、SIP网关为嵌入式，内置linux操作系统；本身具有抗病毒和抗攻击能力，避免遭受病毒攻击，确保服务器能够长期稳定运行。具有点播、录像等功能。</w:t>
            </w:r>
          </w:p>
          <w:p>
            <w:pPr>
              <w:pStyle w:val="49"/>
            </w:pPr>
            <w:r>
              <w:rPr>
                <w:rFonts w:hint="eastAsia"/>
              </w:rPr>
              <w:t>2、能实现《国家教育考试网上巡查系统视频标准技术规范》JY/T-KS-JS-2017-1中规定的SIP协议与其它协议相互转换；（提供满足参数的证明材料，不限于检测报告、彩页官网截图等）</w:t>
            </w:r>
          </w:p>
          <w:p>
            <w:pPr>
              <w:pStyle w:val="49"/>
            </w:pPr>
            <w:r>
              <w:rPr>
                <w:rFonts w:hint="eastAsia"/>
              </w:rPr>
              <w:t>3、支持标准SIP2.0；支持SIP地址解析、信令转发；</w:t>
            </w:r>
          </w:p>
          <w:p>
            <w:pPr>
              <w:pStyle w:val="49"/>
            </w:pPr>
            <w:r>
              <w:rPr>
                <w:rFonts w:hint="eastAsia"/>
              </w:rPr>
              <w:t>4、支持H.264、H.265、MPEG4视频编码格式；支持ACC、G.711、MPEG Layer2音频编码格式；</w:t>
            </w:r>
          </w:p>
          <w:p>
            <w:pPr>
              <w:pStyle w:val="49"/>
            </w:pPr>
            <w:r>
              <w:rPr>
                <w:rFonts w:hint="eastAsia"/>
              </w:rPr>
              <w:t>5、支持IP、UDP、RTP、RTCP、SIP等网络协议；</w:t>
            </w:r>
          </w:p>
          <w:p>
            <w:pPr>
              <w:pStyle w:val="49"/>
            </w:pPr>
            <w:r>
              <w:rPr>
                <w:rFonts w:hint="eastAsia"/>
              </w:rPr>
              <w:t>6、单台设备可提供≥64路1920x1080媒体流的分发功能；</w:t>
            </w:r>
          </w:p>
          <w:p>
            <w:pPr>
              <w:pStyle w:val="49"/>
            </w:pPr>
            <w:r>
              <w:rPr>
                <w:rFonts w:hint="eastAsia"/>
              </w:rPr>
              <w:t>7、具有音、视频转发和路由控制功能，流媒体的NAT穿越功能；</w:t>
            </w:r>
          </w:p>
          <w:p>
            <w:pPr>
              <w:pStyle w:val="49"/>
            </w:pPr>
            <w:r>
              <w:rPr>
                <w:rFonts w:hint="eastAsia"/>
              </w:rPr>
              <w:t>8、支持时间同步功能支持网络时间协议（NTP）；</w:t>
            </w:r>
          </w:p>
          <w:p>
            <w:pPr>
              <w:pStyle w:val="49"/>
            </w:pPr>
            <w:r>
              <w:rPr>
                <w:rFonts w:hint="eastAsia"/>
              </w:rPr>
              <w:t>9、设备支持考试计划管理、支持考务人员编排功能，支持物理考场和逻辑考场对应功能，支持摄像机物理与考场逻辑位置对应，系统支持通过查看实时视频，查看该视频涉及考场的考试人员信息；</w:t>
            </w:r>
          </w:p>
          <w:p>
            <w:pPr>
              <w:pStyle w:val="49"/>
            </w:pPr>
            <w:r>
              <w:rPr>
                <w:rFonts w:hint="eastAsia"/>
              </w:rPr>
              <w:t>10、具有≥2个10M/100M/1000M自适应以太网接口；</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4" w:type="dxa"/>
            <w:noWrap/>
            <w:vAlign w:val="center"/>
          </w:tcPr>
          <w:p>
            <w:pPr>
              <w:pStyle w:val="49"/>
            </w:pPr>
            <w:r>
              <w:rPr>
                <w:rFonts w:hint="eastAsia"/>
              </w:rPr>
              <w:t>7</w:t>
            </w:r>
          </w:p>
        </w:tc>
        <w:tc>
          <w:tcPr>
            <w:tcW w:w="992" w:type="dxa"/>
            <w:vAlign w:val="center"/>
          </w:tcPr>
          <w:p>
            <w:pPr>
              <w:pStyle w:val="49"/>
            </w:pPr>
            <w:r>
              <w:rPr>
                <w:rFonts w:hint="eastAsia"/>
              </w:rPr>
              <w:t>网上巡查系统软件</w:t>
            </w:r>
          </w:p>
        </w:tc>
        <w:tc>
          <w:tcPr>
            <w:tcW w:w="11882" w:type="dxa"/>
            <w:vAlign w:val="center"/>
          </w:tcPr>
          <w:p>
            <w:pPr>
              <w:pStyle w:val="49"/>
            </w:pPr>
            <w:r>
              <w:rPr>
                <w:rFonts w:hint="eastAsia"/>
              </w:rPr>
              <w:t xml:space="preserve">1.软件界面明显位置具有帮助按钮，当用户需要时能提供文档说明，功能界面具有导航栏。 </w:t>
            </w:r>
            <w:r>
              <w:rPr>
                <w:rFonts w:hint="eastAsia"/>
              </w:rPr>
              <w:br w:type="textWrapping"/>
            </w:r>
            <w:r>
              <w:rPr>
                <w:rFonts w:hint="eastAsia"/>
              </w:rPr>
              <w:t xml:space="preserve">2.软件平台支持多用户使用，用户登录时经过账号和密码的相关性、安全性验证，防止非法操作。 </w:t>
            </w:r>
            <w:r>
              <w:rPr>
                <w:rFonts w:hint="eastAsia"/>
              </w:rPr>
              <w:br w:type="textWrapping"/>
            </w:r>
            <w:r>
              <w:rPr>
                <w:rFonts w:hint="eastAsia"/>
              </w:rPr>
              <w:t xml:space="preserve">3.软件平台具有较高的安全性，具有加密锁防护，防止软件被非法复制挪用，在加密锁失效或丢失的情况下，软件支持激活码激活。 </w:t>
            </w:r>
            <w:r>
              <w:rPr>
                <w:rFonts w:hint="eastAsia"/>
              </w:rPr>
              <w:br w:type="textWrapping"/>
            </w:r>
            <w:r>
              <w:rPr>
                <w:rFonts w:hint="eastAsia"/>
              </w:rPr>
              <w:t>4.视频预览界面具有导航列表和视频显示窗口，导航列可收缩折叠。</w:t>
            </w:r>
            <w:r>
              <w:rPr>
                <w:rFonts w:hint="eastAsia"/>
              </w:rPr>
              <w:br w:type="textWrapping"/>
            </w:r>
            <w:r>
              <w:rPr>
                <w:rFonts w:hint="eastAsia"/>
              </w:rPr>
              <w:t xml:space="preserve">5.视频预览窗口支持1、4、9、1+5等多画面预览。 </w:t>
            </w:r>
            <w:r>
              <w:rPr>
                <w:rFonts w:hint="eastAsia"/>
              </w:rPr>
              <w:br w:type="textWrapping"/>
            </w:r>
            <w:r>
              <w:rPr>
                <w:rFonts w:hint="eastAsia"/>
              </w:rPr>
              <w:t>6.在视频图像预览时支持抓图、录像、开启或关闭声音以及云台控制等操作。</w:t>
            </w:r>
            <w:r>
              <w:rPr>
                <w:rFonts w:hint="eastAsia"/>
              </w:rPr>
              <w:br w:type="textWrapping"/>
            </w:r>
            <w:r>
              <w:rPr>
                <w:rFonts w:hint="eastAsia"/>
              </w:rPr>
              <w:t xml:space="preserve">7.具有巡查列表提交功能，上传列表可选，可将考务规定的巡查编码设备通道列表上传，考务规定以外的列表可实现不上传但是能本地查看。 </w:t>
            </w:r>
            <w:r>
              <w:rPr>
                <w:rFonts w:hint="eastAsia"/>
              </w:rPr>
              <w:br w:type="textWrapping"/>
            </w:r>
            <w:r>
              <w:rPr>
                <w:rFonts w:hint="eastAsia"/>
              </w:rPr>
              <w:t>8.视频巡查实现分组巡查：支持考场，走廊，保密室独立创建分组进行巡查。</w:t>
            </w:r>
            <w:r>
              <w:rPr>
                <w:rFonts w:hint="eastAsia"/>
              </w:rPr>
              <w:br w:type="textWrapping"/>
            </w:r>
            <w:r>
              <w:rPr>
                <w:rFonts w:hint="eastAsia"/>
              </w:rPr>
              <w:t>9.支持按设备名称、区域节点名称检索设备树列表，支持考试任务接收，上传列表符合性校验，支持自定义设备树，可根据考试任务需求选择性创建设备树列表。</w:t>
            </w:r>
            <w:r>
              <w:rPr>
                <w:rFonts w:hint="eastAsia"/>
              </w:rPr>
              <w:br w:type="textWrapping"/>
            </w:r>
            <w:r>
              <w:rPr>
                <w:rFonts w:hint="eastAsia"/>
              </w:rPr>
              <w:t xml:space="preserve">10.支持对存储设备远程管理，实现存储控制、录像策略制定等功能。 </w:t>
            </w:r>
            <w:r>
              <w:rPr>
                <w:rFonts w:hint="eastAsia"/>
              </w:rPr>
              <w:br w:type="textWrapping"/>
            </w:r>
            <w:r>
              <w:rPr>
                <w:rFonts w:hint="eastAsia"/>
              </w:rPr>
              <w:t xml:space="preserve">11.支持对多台电视墙解码设备远程集中管理，实现远程解码上墙的内容控制、显示模式、轮巡切换、主辅码流等设置功能。 </w:t>
            </w:r>
            <w:r>
              <w:rPr>
                <w:rFonts w:hint="eastAsia"/>
              </w:rPr>
              <w:br w:type="textWrapping"/>
            </w:r>
            <w:r>
              <w:rPr>
                <w:rFonts w:hint="eastAsia"/>
              </w:rPr>
              <w:t xml:space="preserve">12.软件具有对所有网络摄像机、存储服务器、网络数字矩阵画面分割器、SIP服务器远程管理设置、视频预览、OSD设置、校时、设备列表树管理、列表上传、录像文件检索、下载、回放等功能。 </w:t>
            </w:r>
            <w:r>
              <w:rPr>
                <w:rFonts w:hint="eastAsia"/>
              </w:rPr>
              <w:br w:type="textWrapping"/>
            </w:r>
            <w:r>
              <w:rPr>
                <w:rFonts w:hint="eastAsia"/>
              </w:rPr>
              <w:t>13.功能设计符合《国家教育考试网上巡查系统视频标准技术规范》JY/T-KS-JS-2017-1。</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0" w:hRule="atLeast"/>
        </w:trPr>
        <w:tc>
          <w:tcPr>
            <w:tcW w:w="704" w:type="dxa"/>
            <w:noWrap/>
            <w:vAlign w:val="center"/>
          </w:tcPr>
          <w:p>
            <w:pPr>
              <w:pStyle w:val="49"/>
            </w:pPr>
            <w:r>
              <w:rPr>
                <w:rFonts w:hint="eastAsia"/>
              </w:rPr>
              <w:t>8</w:t>
            </w:r>
          </w:p>
        </w:tc>
        <w:tc>
          <w:tcPr>
            <w:tcW w:w="992" w:type="dxa"/>
            <w:vAlign w:val="center"/>
          </w:tcPr>
          <w:p>
            <w:pPr>
              <w:pStyle w:val="49"/>
            </w:pPr>
            <w:r>
              <w:rPr>
                <w:rFonts w:hint="eastAsia"/>
              </w:rPr>
              <w:t>网络硬盘录像机</w:t>
            </w:r>
          </w:p>
        </w:tc>
        <w:tc>
          <w:tcPr>
            <w:tcW w:w="11882" w:type="dxa"/>
            <w:vAlign w:val="center"/>
          </w:tcPr>
          <w:p>
            <w:pPr>
              <w:pStyle w:val="49"/>
            </w:pPr>
            <w:r>
              <w:rPr>
                <w:rFonts w:hint="eastAsia"/>
              </w:rPr>
              <w:t>1、网络视频输入≥64路；</w:t>
            </w:r>
            <w:r>
              <w:rPr>
                <w:rFonts w:hint="eastAsia"/>
              </w:rPr>
              <w:br w:type="textWrapping"/>
            </w:r>
            <w:r>
              <w:rPr>
                <w:rFonts w:hint="eastAsia"/>
              </w:rPr>
              <w:t>2、具有录像回放及检索等功能；</w:t>
            </w:r>
            <w:r>
              <w:rPr>
                <w:rFonts w:hint="eastAsia"/>
              </w:rPr>
              <w:br w:type="textWrapping"/>
            </w:r>
            <w:r>
              <w:rPr>
                <w:rFonts w:hint="eastAsia"/>
              </w:rPr>
              <w:t>3、具有VGA输出：≥2路、HDMI输出：≥2路，RJ45≥2路，SATA接口≥8路，eSATA接口≥1路；</w:t>
            </w:r>
            <w:r>
              <w:rPr>
                <w:rFonts w:hint="eastAsia"/>
              </w:rPr>
              <w:br w:type="textWrapping"/>
            </w:r>
            <w:r>
              <w:rPr>
                <w:rFonts w:hint="eastAsia"/>
              </w:rPr>
              <w:t>4、预览分割：1/4/6/8/9/16/25/32/64画面；</w:t>
            </w:r>
            <w:r>
              <w:rPr>
                <w:rFonts w:hint="eastAsia"/>
              </w:rPr>
              <w:br w:type="textWrapping"/>
            </w:r>
            <w:r>
              <w:rPr>
                <w:rFonts w:hint="eastAsia"/>
              </w:rPr>
              <w:t>5、视频编码格式支持H.264、H.265、MPEG4编码格式，音频编码支持ACC、G.711、MPEG Layer2音频编码格式；</w:t>
            </w:r>
            <w:r>
              <w:rPr>
                <w:rFonts w:hint="eastAsia"/>
              </w:rPr>
              <w:br w:type="textWrapping"/>
            </w:r>
            <w:r>
              <w:rPr>
                <w:rFonts w:hint="eastAsia"/>
              </w:rPr>
              <w:t>6、支持TS、PS流封装格式，支持标准SIP2.0、支持SIP地址解析、信令转发、支持SIP URI 统一命名规则、分级命名；</w:t>
            </w:r>
            <w:r>
              <w:rPr>
                <w:rFonts w:hint="eastAsia"/>
              </w:rPr>
              <w:br w:type="textWrapping"/>
            </w:r>
            <w:r>
              <w:rPr>
                <w:rFonts w:hint="eastAsia"/>
              </w:rPr>
              <w:t>7、支持TCP/IP、DHCP、SIP、RTCP、PPOE等网络协议；</w:t>
            </w:r>
            <w:r>
              <w:rPr>
                <w:rFonts w:hint="eastAsia"/>
              </w:rPr>
              <w:br w:type="textWrapping"/>
            </w:r>
            <w:r>
              <w:rPr>
                <w:rFonts w:hint="eastAsia"/>
              </w:rPr>
              <w:t>8、具有数字时钟显示（OSD）功能，支持时间同步功能，支持网络时间协议（NTP）；</w:t>
            </w:r>
            <w:r>
              <w:rPr>
                <w:rFonts w:hint="eastAsia"/>
              </w:rPr>
              <w:br w:type="textWrapping"/>
            </w:r>
            <w:r>
              <w:rPr>
                <w:rFonts w:hint="eastAsia"/>
              </w:rPr>
              <w:t>9、支持硬盘配额和硬盘盘组两种存储模式，可对不同通道分配不同的录像保存容量，单块硬盘≥10TB；</w:t>
            </w:r>
            <w:r>
              <w:rPr>
                <w:rFonts w:hint="eastAsia"/>
              </w:rPr>
              <w:br w:type="textWrapping"/>
            </w:r>
            <w:r>
              <w:rPr>
                <w:rFonts w:hint="eastAsia"/>
              </w:rPr>
              <w:t>10、支持RAIDO、1、5、10；</w:t>
            </w:r>
            <w:r>
              <w:rPr>
                <w:rFonts w:hint="eastAsia"/>
              </w:rPr>
              <w:br w:type="textWrapping"/>
            </w:r>
            <w:r>
              <w:rPr>
                <w:rFonts w:hint="eastAsia"/>
              </w:rPr>
              <w:t>11、提供产品来源渠道证明文件（包括但不限于销售协议、代理协议、原厂授权）加盖公章。</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9</w:t>
            </w:r>
          </w:p>
        </w:tc>
        <w:tc>
          <w:tcPr>
            <w:tcW w:w="992" w:type="dxa"/>
            <w:vAlign w:val="center"/>
          </w:tcPr>
          <w:p>
            <w:pPr>
              <w:pStyle w:val="49"/>
            </w:pPr>
            <w:r>
              <w:rPr>
                <w:rFonts w:hint="eastAsia"/>
              </w:rPr>
              <w:t>企业级硬盘</w:t>
            </w:r>
          </w:p>
        </w:tc>
        <w:tc>
          <w:tcPr>
            <w:tcW w:w="11882" w:type="dxa"/>
            <w:vAlign w:val="center"/>
          </w:tcPr>
          <w:p>
            <w:pPr>
              <w:pStyle w:val="49"/>
            </w:pPr>
            <w:r>
              <w:rPr>
                <w:rFonts w:hint="eastAsia"/>
              </w:rPr>
              <w:t>≥4T，7200转</w:t>
            </w:r>
          </w:p>
        </w:tc>
        <w:tc>
          <w:tcPr>
            <w:tcW w:w="512" w:type="dxa"/>
            <w:noWrap/>
            <w:vAlign w:val="center"/>
          </w:tcPr>
          <w:p>
            <w:pPr>
              <w:pStyle w:val="49"/>
            </w:pPr>
            <w:r>
              <w:rPr>
                <w:rFonts w:hint="eastAsia"/>
              </w:rPr>
              <w:t>8</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4" w:type="dxa"/>
            <w:noWrap/>
            <w:vAlign w:val="center"/>
          </w:tcPr>
          <w:p>
            <w:pPr>
              <w:pStyle w:val="49"/>
            </w:pPr>
            <w:r>
              <w:rPr>
                <w:rFonts w:hint="eastAsia"/>
              </w:rPr>
              <w:t>10</w:t>
            </w:r>
          </w:p>
        </w:tc>
        <w:tc>
          <w:tcPr>
            <w:tcW w:w="992" w:type="dxa"/>
            <w:vAlign w:val="center"/>
          </w:tcPr>
          <w:p>
            <w:pPr>
              <w:pStyle w:val="49"/>
            </w:pPr>
            <w:r>
              <w:rPr>
                <w:rFonts w:hint="eastAsia"/>
              </w:rPr>
              <w:t>电脑桌</w:t>
            </w:r>
          </w:p>
        </w:tc>
        <w:tc>
          <w:tcPr>
            <w:tcW w:w="11882" w:type="dxa"/>
            <w:vAlign w:val="center"/>
          </w:tcPr>
          <w:p>
            <w:pPr>
              <w:pStyle w:val="49"/>
            </w:pPr>
            <w:r>
              <w:rPr>
                <w:rFonts w:hint="eastAsia"/>
              </w:rPr>
              <w:t>2机位电脑桌，选用优质环保高级中密度纤维板，并经过防虫、防腐、高温、高压处理，；密度：0.72g/cm³;E1级环保标准，甲醛释放量≤9.0mg/100mg面漆：采用环保面漆，透明度高、耐划伤、防黄变，符合国家标准；VOC≤670g/l(苯≤0.3％，甲苯、二甲苯、乙苯总和≤30％等）。</w:t>
            </w:r>
          </w:p>
        </w:tc>
        <w:tc>
          <w:tcPr>
            <w:tcW w:w="512" w:type="dxa"/>
            <w:noWrap/>
            <w:vAlign w:val="center"/>
          </w:tcPr>
          <w:p>
            <w:pPr>
              <w:pStyle w:val="49"/>
            </w:pPr>
            <w:r>
              <w:rPr>
                <w:rFonts w:hint="eastAsia"/>
              </w:rPr>
              <w:t>4</w:t>
            </w:r>
          </w:p>
        </w:tc>
        <w:tc>
          <w:tcPr>
            <w:tcW w:w="470"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704" w:type="dxa"/>
            <w:noWrap/>
            <w:vAlign w:val="center"/>
          </w:tcPr>
          <w:p>
            <w:pPr>
              <w:pStyle w:val="49"/>
            </w:pPr>
            <w:r>
              <w:rPr>
                <w:rFonts w:hint="eastAsia"/>
              </w:rPr>
              <w:t>11</w:t>
            </w:r>
          </w:p>
        </w:tc>
        <w:tc>
          <w:tcPr>
            <w:tcW w:w="992" w:type="dxa"/>
            <w:vAlign w:val="center"/>
          </w:tcPr>
          <w:p>
            <w:pPr>
              <w:pStyle w:val="49"/>
            </w:pPr>
            <w:r>
              <w:rPr>
                <w:rFonts w:hint="eastAsia"/>
              </w:rPr>
              <w:t>多画面数字分割器</w:t>
            </w:r>
          </w:p>
        </w:tc>
        <w:tc>
          <w:tcPr>
            <w:tcW w:w="11882" w:type="dxa"/>
            <w:vAlign w:val="center"/>
          </w:tcPr>
          <w:p>
            <w:pPr>
              <w:pStyle w:val="49"/>
            </w:pPr>
            <w:r>
              <w:rPr>
                <w:rFonts w:hint="eastAsia"/>
              </w:rPr>
              <w:t>1、具有≥8路HDMI输出接口；</w:t>
            </w:r>
          </w:p>
          <w:p>
            <w:pPr>
              <w:pStyle w:val="49"/>
            </w:pPr>
            <w:r>
              <w:rPr>
                <w:rFonts w:hint="eastAsia"/>
              </w:rPr>
              <w:t>2、</w:t>
            </w:r>
            <w:r>
              <w:rPr>
                <w:rFonts w:hint="eastAsia"/>
              </w:rPr>
              <w:br w:type="page"/>
            </w:r>
            <w:r>
              <w:rPr>
                <w:rFonts w:hint="eastAsia"/>
              </w:rPr>
              <w:t>支持≥64个解码通道，解码能力支持64路1080P@30fps及以下分辨率；</w:t>
            </w:r>
          </w:p>
          <w:p>
            <w:pPr>
              <w:pStyle w:val="49"/>
            </w:pPr>
            <w:r>
              <w:rPr>
                <w:rFonts w:hint="eastAsia"/>
              </w:rPr>
              <w:t>3、</w:t>
            </w:r>
            <w:r>
              <w:rPr>
                <w:rFonts w:hint="eastAsia"/>
              </w:rPr>
              <w:br w:type="page"/>
            </w:r>
            <w:r>
              <w:rPr>
                <w:rFonts w:hint="eastAsia"/>
              </w:rPr>
              <w:t>画面分割数支持1/4/6/8/9/12/16/25/36；</w:t>
            </w:r>
          </w:p>
          <w:p>
            <w:pPr>
              <w:pStyle w:val="49"/>
            </w:pPr>
            <w:r>
              <w:rPr>
                <w:rFonts w:hint="eastAsia"/>
              </w:rPr>
              <w:br w:type="page"/>
            </w:r>
            <w:r>
              <w:rPr>
                <w:rFonts w:hint="eastAsia"/>
              </w:rPr>
              <w:t>4、支持SIP2.0协议、支持SIP地址解析、信令转发，SIP、RTP、RTCP等网络协议；4、具有≥20个RJ45接口，具有≥4路音频输出接口，≥1个RS232串行接口、≥1个DVI口、≥1个VGA口、≥2个RCA接口、≥2个USB接口；</w:t>
            </w:r>
          </w:p>
          <w:p>
            <w:pPr>
              <w:pStyle w:val="49"/>
            </w:pPr>
            <w:r>
              <w:rPr>
                <w:rFonts w:hint="eastAsia"/>
              </w:rPr>
              <w:t>5、具有≥8路报警输入及≥8路报警输出接口；</w:t>
            </w:r>
          </w:p>
          <w:p>
            <w:pPr>
              <w:pStyle w:val="49"/>
            </w:pPr>
            <w:r>
              <w:rPr>
                <w:rFonts w:hint="eastAsia"/>
              </w:rPr>
              <w:t>6、符合标准：符合《公共安全视频监控联网系统信息安全技术要求》GB/35114-2017。符合《国家教育考试网上巡查系统视频标准技术规范》JY/T-KS-JS-2017-1。</w:t>
            </w:r>
          </w:p>
          <w:p>
            <w:pPr>
              <w:pStyle w:val="49"/>
            </w:pPr>
            <w:r>
              <w:rPr>
                <w:rFonts w:hint="eastAsia"/>
              </w:rPr>
              <w:t>7、提供产品来源渠道证明文件（包括但不限于销售协议、代理协议、原厂授权）加盖公章。</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trPr>
        <w:tc>
          <w:tcPr>
            <w:tcW w:w="704" w:type="dxa"/>
            <w:noWrap/>
            <w:vAlign w:val="center"/>
          </w:tcPr>
          <w:p>
            <w:pPr>
              <w:pStyle w:val="49"/>
            </w:pPr>
            <w:r>
              <w:rPr>
                <w:rFonts w:hint="eastAsia"/>
              </w:rPr>
              <w:t>12</w:t>
            </w:r>
          </w:p>
        </w:tc>
        <w:tc>
          <w:tcPr>
            <w:tcW w:w="992" w:type="dxa"/>
            <w:vAlign w:val="center"/>
          </w:tcPr>
          <w:p>
            <w:pPr>
              <w:pStyle w:val="49"/>
            </w:pPr>
            <w:r>
              <w:rPr>
                <w:rFonts w:hint="eastAsia"/>
              </w:rPr>
              <w:t>多画面数字分割器</w:t>
            </w:r>
          </w:p>
        </w:tc>
        <w:tc>
          <w:tcPr>
            <w:tcW w:w="11882" w:type="dxa"/>
            <w:vAlign w:val="center"/>
          </w:tcPr>
          <w:p>
            <w:pPr>
              <w:pStyle w:val="49"/>
            </w:pPr>
            <w:r>
              <w:rPr>
                <w:rFonts w:hint="eastAsia"/>
              </w:rPr>
              <w:t>1、具有≥4路HDMI输出接口；</w:t>
            </w:r>
            <w:r>
              <w:rPr>
                <w:rFonts w:hint="eastAsia"/>
              </w:rPr>
              <w:br w:type="textWrapping"/>
            </w:r>
            <w:r>
              <w:rPr>
                <w:rFonts w:hint="eastAsia"/>
              </w:rPr>
              <w:t>2、支持≥32个解码通道，解码能力支持≥32路1080P@30fps及以下分辨率；</w:t>
            </w:r>
            <w:r>
              <w:rPr>
                <w:rFonts w:hint="eastAsia"/>
              </w:rPr>
              <w:br w:type="textWrapping"/>
            </w:r>
            <w:r>
              <w:rPr>
                <w:rFonts w:hint="eastAsia"/>
              </w:rPr>
              <w:t>3、画面分割数支持1/4/6/8/9/12/16/25；</w:t>
            </w:r>
            <w:r>
              <w:rPr>
                <w:rFonts w:hint="eastAsia"/>
              </w:rPr>
              <w:br w:type="textWrapping"/>
            </w:r>
            <w:r>
              <w:rPr>
                <w:rFonts w:hint="eastAsia"/>
              </w:rPr>
              <w:t>4、支持SIP2.0协议、支持SIP地址解析、信令转发，SIP、RTP、RTCP等网络协议；</w:t>
            </w:r>
            <w:r>
              <w:rPr>
                <w:rFonts w:hint="eastAsia"/>
              </w:rPr>
              <w:br w:type="textWrapping"/>
            </w:r>
            <w:r>
              <w:rPr>
                <w:rFonts w:hint="eastAsia"/>
              </w:rPr>
              <w:t>5、具有≥20个RJ45接口，具有≥4路音频输出接口，≥1个RS232串行接口、≥1个DVI口、≥1个VGA口、≥2个RCA接口、≥2个USB接口；</w:t>
            </w:r>
            <w:r>
              <w:rPr>
                <w:rFonts w:hint="eastAsia"/>
              </w:rPr>
              <w:br w:type="textWrapping"/>
            </w:r>
            <w:r>
              <w:rPr>
                <w:rFonts w:hint="eastAsia"/>
              </w:rPr>
              <w:t>6、具有≥8路报警输入及≥8路报警输出接口；</w:t>
            </w:r>
            <w:r>
              <w:rPr>
                <w:rFonts w:hint="eastAsia"/>
              </w:rPr>
              <w:br w:type="textWrapping"/>
            </w:r>
            <w:r>
              <w:rPr>
                <w:rFonts w:hint="eastAsia"/>
              </w:rPr>
              <w:t>7、符合标准：《国家教育考试网上巡查系统视频标准技术规范》JY/T-KS-JS-2017-1。</w:t>
            </w:r>
            <w:r>
              <w:rPr>
                <w:rFonts w:hint="eastAsia"/>
              </w:rPr>
              <w:br w:type="textWrapping"/>
            </w:r>
            <w:r>
              <w:rPr>
                <w:rFonts w:hint="eastAsia"/>
              </w:rPr>
              <w:t>8、提供产品来源渠道证明文件（包括但不限于销售协议、代理协议、原厂授权）加盖公章。</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704" w:type="dxa"/>
            <w:noWrap/>
            <w:vAlign w:val="center"/>
          </w:tcPr>
          <w:p>
            <w:pPr>
              <w:pStyle w:val="49"/>
            </w:pPr>
            <w:r>
              <w:rPr>
                <w:rFonts w:hint="eastAsia"/>
              </w:rPr>
              <w:t>13</w:t>
            </w:r>
          </w:p>
        </w:tc>
        <w:tc>
          <w:tcPr>
            <w:tcW w:w="992" w:type="dxa"/>
            <w:vAlign w:val="center"/>
          </w:tcPr>
          <w:p>
            <w:pPr>
              <w:pStyle w:val="49"/>
            </w:pPr>
            <w:r>
              <w:rPr>
                <w:rFonts w:hint="eastAsia"/>
              </w:rPr>
              <w:t>UPS</w:t>
            </w:r>
          </w:p>
        </w:tc>
        <w:tc>
          <w:tcPr>
            <w:tcW w:w="11882" w:type="dxa"/>
            <w:vAlign w:val="center"/>
          </w:tcPr>
          <w:p>
            <w:pPr>
              <w:pStyle w:val="49"/>
            </w:pPr>
            <w:r>
              <w:rPr>
                <w:rFonts w:hint="eastAsia"/>
              </w:rPr>
              <w:t>采用在线UPS电源，UPS容量为≥10kVA，单套满载延时要求≥2小时；UPS主机逆变器采用三电平技术，保证可靠性的同时提高系统效率；UPS主机具有独立旁路功能，确保主路系统出现异常或故障时，旁路系统仍能正常输出，确保负载不间断供电；采用全数字化充电器，电池电压和电流可任意设置；为避免误操作，UPS的开、关机采用双键组合的形式来实现开关机；UPS主机应具有LCD显示和LED状态显示， 可以显示：输入电压/频率、输出电压/频率、有功功率、视在功率、电池节数、电池电压、电池容量百分比；输入额定电压：208Vac/220 Vac/230Vac/240Vac；输入电压可变范围：110~176Vac（50%~100%负载线性降额） 176~288Vac（不降额）；输入频率变化范围：40~70Hz；输入功率因数≥0.99；输出额定电压：208 Vac（PF=0.9）/220 Vac /230 Vac /240Vac；输出功率因数不小于1；输出波形失真度：≤1%(线性负载）；≤4%（非线性负载）；系统效率：在线模式：≥95%@100%负载，ECO 模式：≥98%；防护等级：IP20；16节100AH电池，</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14</w:t>
            </w:r>
          </w:p>
        </w:tc>
        <w:tc>
          <w:tcPr>
            <w:tcW w:w="992" w:type="dxa"/>
            <w:vAlign w:val="center"/>
          </w:tcPr>
          <w:p>
            <w:pPr>
              <w:pStyle w:val="49"/>
            </w:pPr>
            <w:r>
              <w:rPr>
                <w:rFonts w:hint="eastAsia"/>
              </w:rPr>
              <w:t>汇聚交换机</w:t>
            </w:r>
          </w:p>
        </w:tc>
        <w:tc>
          <w:tcPr>
            <w:tcW w:w="11882" w:type="dxa"/>
            <w:vAlign w:val="center"/>
          </w:tcPr>
          <w:p>
            <w:pPr>
              <w:pStyle w:val="49"/>
            </w:pPr>
            <w:r>
              <w:rPr>
                <w:rFonts w:hint="eastAsia"/>
              </w:rPr>
              <w:t>L3，≥24口光纤接口,≥8口光电复用</w:t>
            </w:r>
          </w:p>
        </w:tc>
        <w:tc>
          <w:tcPr>
            <w:tcW w:w="512" w:type="dxa"/>
            <w:noWrap/>
            <w:vAlign w:val="center"/>
          </w:tcPr>
          <w:p>
            <w:pPr>
              <w:pStyle w:val="49"/>
            </w:pPr>
            <w:r>
              <w:rPr>
                <w:rFonts w:hint="eastAsia"/>
              </w:rPr>
              <w:t>1</w:t>
            </w:r>
          </w:p>
        </w:tc>
        <w:tc>
          <w:tcPr>
            <w:tcW w:w="47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15</w:t>
            </w:r>
          </w:p>
        </w:tc>
        <w:tc>
          <w:tcPr>
            <w:tcW w:w="992" w:type="dxa"/>
            <w:vAlign w:val="center"/>
          </w:tcPr>
          <w:p>
            <w:pPr>
              <w:pStyle w:val="49"/>
            </w:pPr>
            <w:r>
              <w:rPr>
                <w:rFonts w:hint="eastAsia"/>
              </w:rPr>
              <w:t>交换机</w:t>
            </w:r>
          </w:p>
        </w:tc>
        <w:tc>
          <w:tcPr>
            <w:tcW w:w="11882" w:type="dxa"/>
            <w:vAlign w:val="center"/>
          </w:tcPr>
          <w:p>
            <w:pPr>
              <w:pStyle w:val="49"/>
            </w:pPr>
            <w:r>
              <w:rPr>
                <w:rFonts w:hint="eastAsia"/>
              </w:rPr>
              <w:t>交换容量≥336Gbps/3.36Tbps，包转发率：≥51Mpps/108Mpps；≥24个10/100/1000M Base-T以太网端口，≥2个1000M SFP光口；支持静态域名解析；支持动态域名解析客户端；支持IPv4和IPv6地址。</w:t>
            </w:r>
          </w:p>
        </w:tc>
        <w:tc>
          <w:tcPr>
            <w:tcW w:w="512" w:type="dxa"/>
            <w:noWrap/>
            <w:vAlign w:val="center"/>
          </w:tcPr>
          <w:p>
            <w:pPr>
              <w:pStyle w:val="49"/>
            </w:pPr>
            <w:r>
              <w:rPr>
                <w:rFonts w:hint="eastAsia"/>
              </w:rPr>
              <w:t>4</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16</w:t>
            </w:r>
          </w:p>
        </w:tc>
        <w:tc>
          <w:tcPr>
            <w:tcW w:w="992" w:type="dxa"/>
            <w:vAlign w:val="center"/>
          </w:tcPr>
          <w:p>
            <w:pPr>
              <w:pStyle w:val="49"/>
            </w:pPr>
            <w:r>
              <w:rPr>
                <w:rFonts w:hint="eastAsia"/>
              </w:rPr>
              <w:t>单模光纤模块</w:t>
            </w:r>
          </w:p>
        </w:tc>
        <w:tc>
          <w:tcPr>
            <w:tcW w:w="11882" w:type="dxa"/>
            <w:vAlign w:val="center"/>
          </w:tcPr>
          <w:p>
            <w:pPr>
              <w:pStyle w:val="49"/>
            </w:pPr>
            <w:r>
              <w:rPr>
                <w:rFonts w:hint="eastAsia"/>
              </w:rPr>
              <w:t>光模块-SFP-GE-单模模块-（1310nm,10km,LC）</w:t>
            </w:r>
          </w:p>
        </w:tc>
        <w:tc>
          <w:tcPr>
            <w:tcW w:w="512" w:type="dxa"/>
            <w:noWrap/>
            <w:vAlign w:val="center"/>
          </w:tcPr>
          <w:p>
            <w:pPr>
              <w:pStyle w:val="49"/>
            </w:pPr>
            <w:r>
              <w:rPr>
                <w:rFonts w:hint="eastAsia"/>
              </w:rPr>
              <w:t>6</w:t>
            </w:r>
          </w:p>
        </w:tc>
        <w:tc>
          <w:tcPr>
            <w:tcW w:w="470"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17</w:t>
            </w:r>
          </w:p>
        </w:tc>
        <w:tc>
          <w:tcPr>
            <w:tcW w:w="992" w:type="dxa"/>
            <w:vAlign w:val="center"/>
          </w:tcPr>
          <w:p>
            <w:pPr>
              <w:pStyle w:val="49"/>
            </w:pPr>
            <w:r>
              <w:rPr>
                <w:rFonts w:hint="eastAsia"/>
              </w:rPr>
              <w:t>42U机柜</w:t>
            </w:r>
          </w:p>
        </w:tc>
        <w:tc>
          <w:tcPr>
            <w:tcW w:w="11882" w:type="dxa"/>
            <w:vAlign w:val="center"/>
          </w:tcPr>
          <w:p>
            <w:pPr>
              <w:pStyle w:val="49"/>
            </w:pPr>
            <w:r>
              <w:rPr>
                <w:rFonts w:hint="eastAsia"/>
              </w:rPr>
              <w:t>600*900*2000mm，隔板≥3个，≥</w:t>
            </w:r>
            <w:r>
              <w:t>2</w:t>
            </w:r>
            <w:r>
              <w:rPr>
                <w:rFonts w:hint="eastAsia"/>
              </w:rPr>
              <w:t>个1</w:t>
            </w:r>
            <w:r>
              <w:t>0</w:t>
            </w:r>
            <w:r>
              <w:rPr>
                <w:rFonts w:hint="eastAsia"/>
              </w:rPr>
              <w:t>口PDU</w:t>
            </w:r>
          </w:p>
        </w:tc>
        <w:tc>
          <w:tcPr>
            <w:tcW w:w="512" w:type="dxa"/>
            <w:noWrap/>
            <w:vAlign w:val="center"/>
          </w:tcPr>
          <w:p>
            <w:pPr>
              <w:pStyle w:val="49"/>
            </w:pPr>
            <w:r>
              <w:rPr>
                <w:rFonts w:hint="eastAsia"/>
              </w:rPr>
              <w:t>1</w:t>
            </w:r>
          </w:p>
        </w:tc>
        <w:tc>
          <w:tcPr>
            <w:tcW w:w="47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18</w:t>
            </w:r>
          </w:p>
        </w:tc>
        <w:tc>
          <w:tcPr>
            <w:tcW w:w="992" w:type="dxa"/>
            <w:vAlign w:val="center"/>
          </w:tcPr>
          <w:p>
            <w:pPr>
              <w:pStyle w:val="49"/>
            </w:pPr>
            <w:r>
              <w:rPr>
                <w:rFonts w:hint="eastAsia"/>
              </w:rPr>
              <w:t>9U机柜</w:t>
            </w:r>
          </w:p>
        </w:tc>
        <w:tc>
          <w:tcPr>
            <w:tcW w:w="11882" w:type="dxa"/>
            <w:vAlign w:val="center"/>
          </w:tcPr>
          <w:p>
            <w:pPr>
              <w:pStyle w:val="49"/>
            </w:pPr>
            <w:r>
              <w:rPr>
                <w:rFonts w:hint="eastAsia"/>
              </w:rPr>
              <w:t>9U网络机柜，1个电源插座</w:t>
            </w:r>
          </w:p>
        </w:tc>
        <w:tc>
          <w:tcPr>
            <w:tcW w:w="512" w:type="dxa"/>
            <w:noWrap/>
            <w:vAlign w:val="center"/>
          </w:tcPr>
          <w:p>
            <w:pPr>
              <w:pStyle w:val="49"/>
            </w:pPr>
            <w:r>
              <w:rPr>
                <w:rFonts w:hint="eastAsia"/>
              </w:rPr>
              <w:t>1</w:t>
            </w:r>
          </w:p>
        </w:tc>
        <w:tc>
          <w:tcPr>
            <w:tcW w:w="47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19</w:t>
            </w:r>
          </w:p>
        </w:tc>
        <w:tc>
          <w:tcPr>
            <w:tcW w:w="992" w:type="dxa"/>
            <w:vAlign w:val="center"/>
          </w:tcPr>
          <w:p>
            <w:pPr>
              <w:pStyle w:val="49"/>
            </w:pPr>
            <w:r>
              <w:rPr>
                <w:rFonts w:hint="eastAsia"/>
              </w:rPr>
              <w:t>光纤</w:t>
            </w:r>
          </w:p>
        </w:tc>
        <w:tc>
          <w:tcPr>
            <w:tcW w:w="11882" w:type="dxa"/>
            <w:vAlign w:val="center"/>
          </w:tcPr>
          <w:p>
            <w:pPr>
              <w:pStyle w:val="49"/>
            </w:pPr>
            <w:r>
              <w:rPr>
                <w:rFonts w:hint="eastAsia"/>
              </w:rPr>
              <w:t>室外铠装单模光纤，≥12芯，根据现场调整数量。</w:t>
            </w:r>
          </w:p>
        </w:tc>
        <w:tc>
          <w:tcPr>
            <w:tcW w:w="512" w:type="dxa"/>
            <w:noWrap/>
            <w:vAlign w:val="center"/>
          </w:tcPr>
          <w:p>
            <w:pPr>
              <w:pStyle w:val="49"/>
            </w:pPr>
            <w:r>
              <w:rPr>
                <w:rFonts w:hint="eastAsia"/>
              </w:rPr>
              <w:t>1</w:t>
            </w:r>
          </w:p>
        </w:tc>
        <w:tc>
          <w:tcPr>
            <w:tcW w:w="470"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20</w:t>
            </w:r>
          </w:p>
        </w:tc>
        <w:tc>
          <w:tcPr>
            <w:tcW w:w="992" w:type="dxa"/>
            <w:vAlign w:val="center"/>
          </w:tcPr>
          <w:p>
            <w:pPr>
              <w:pStyle w:val="49"/>
            </w:pPr>
            <w:r>
              <w:rPr>
                <w:rFonts w:hint="eastAsia"/>
              </w:rPr>
              <w:t>光纤辅料</w:t>
            </w:r>
          </w:p>
        </w:tc>
        <w:tc>
          <w:tcPr>
            <w:tcW w:w="11882" w:type="dxa"/>
            <w:vAlign w:val="center"/>
          </w:tcPr>
          <w:p>
            <w:pPr>
              <w:pStyle w:val="49"/>
            </w:pPr>
            <w:r>
              <w:rPr>
                <w:rFonts w:hint="eastAsia"/>
              </w:rPr>
              <w:t>配置机架光纤盒、耦合器、尾纤、光纤跳线</w:t>
            </w:r>
          </w:p>
        </w:tc>
        <w:tc>
          <w:tcPr>
            <w:tcW w:w="512" w:type="dxa"/>
            <w:noWrap/>
            <w:vAlign w:val="center"/>
          </w:tcPr>
          <w:p>
            <w:pPr>
              <w:pStyle w:val="49"/>
            </w:pPr>
            <w:r>
              <w:rPr>
                <w:rFonts w:hint="eastAsia"/>
              </w:rPr>
              <w:t>1</w:t>
            </w:r>
          </w:p>
        </w:tc>
        <w:tc>
          <w:tcPr>
            <w:tcW w:w="470"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704" w:type="dxa"/>
            <w:noWrap/>
            <w:vAlign w:val="center"/>
          </w:tcPr>
          <w:p>
            <w:pPr>
              <w:pStyle w:val="49"/>
            </w:pPr>
            <w:r>
              <w:rPr>
                <w:rFonts w:hint="eastAsia"/>
              </w:rPr>
              <w:t>21</w:t>
            </w:r>
          </w:p>
        </w:tc>
        <w:tc>
          <w:tcPr>
            <w:tcW w:w="992" w:type="dxa"/>
            <w:vAlign w:val="center"/>
          </w:tcPr>
          <w:p>
            <w:pPr>
              <w:pStyle w:val="49"/>
            </w:pPr>
            <w:r>
              <w:rPr>
                <w:rFonts w:hint="eastAsia"/>
              </w:rPr>
              <w:t>线缆线材</w:t>
            </w:r>
          </w:p>
        </w:tc>
        <w:tc>
          <w:tcPr>
            <w:tcW w:w="11882" w:type="dxa"/>
            <w:vAlign w:val="center"/>
          </w:tcPr>
          <w:p>
            <w:pPr>
              <w:pStyle w:val="49"/>
            </w:pPr>
            <w:r>
              <w:rPr>
                <w:rFonts w:hint="eastAsia"/>
              </w:rPr>
              <w:t>电源线、六类网线、PVC槽、电源插座、电源空开等。</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78" w:type="dxa"/>
            <w:gridSpan w:val="3"/>
            <w:noWrap/>
            <w:vAlign w:val="center"/>
          </w:tcPr>
          <w:p>
            <w:pPr>
              <w:pStyle w:val="49"/>
            </w:pPr>
            <w:r>
              <w:rPr>
                <w:rFonts w:hint="eastAsia"/>
                <w:b/>
                <w:bCs w:val="0"/>
              </w:rPr>
              <w:t>二、身份验证系统</w:t>
            </w:r>
          </w:p>
        </w:tc>
        <w:tc>
          <w:tcPr>
            <w:tcW w:w="512" w:type="dxa"/>
            <w:noWrap/>
            <w:vAlign w:val="center"/>
          </w:tcPr>
          <w:p>
            <w:pPr>
              <w:pStyle w:val="49"/>
            </w:pPr>
            <w:r>
              <w:rPr>
                <w:rFonts w:hint="eastAsia"/>
              </w:rPr>
              <w:t>　</w:t>
            </w:r>
          </w:p>
        </w:tc>
        <w:tc>
          <w:tcPr>
            <w:tcW w:w="47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4" w:type="dxa"/>
            <w:noWrap/>
            <w:vAlign w:val="center"/>
          </w:tcPr>
          <w:p>
            <w:pPr>
              <w:pStyle w:val="49"/>
            </w:pPr>
            <w:r>
              <w:rPr>
                <w:rFonts w:hint="eastAsia"/>
              </w:rPr>
              <w:t>1</w:t>
            </w:r>
          </w:p>
        </w:tc>
        <w:tc>
          <w:tcPr>
            <w:tcW w:w="992" w:type="dxa"/>
            <w:vAlign w:val="center"/>
          </w:tcPr>
          <w:p>
            <w:pPr>
              <w:pStyle w:val="49"/>
            </w:pPr>
            <w:r>
              <w:rPr>
                <w:rFonts w:hint="eastAsia"/>
              </w:rPr>
              <w:t>考生身份认证系统软件平台</w:t>
            </w:r>
          </w:p>
        </w:tc>
        <w:tc>
          <w:tcPr>
            <w:tcW w:w="11882" w:type="dxa"/>
            <w:vAlign w:val="center"/>
          </w:tcPr>
          <w:p>
            <w:pPr>
              <w:pStyle w:val="49"/>
            </w:pPr>
            <w:r>
              <w:rPr>
                <w:rFonts w:hint="eastAsia"/>
              </w:rPr>
              <w:t>1.用户管理：应能够对用户进行增、删、改以及用户的权限和角色划分。统一账户管理,统一授权管理，统一认证管理,统一审计管理；</w:t>
            </w:r>
            <w:r>
              <w:rPr>
                <w:rFonts w:hint="eastAsia"/>
              </w:rPr>
              <w:br w:type="textWrapping"/>
            </w:r>
            <w:r>
              <w:rPr>
                <w:rFonts w:hint="eastAsia"/>
              </w:rPr>
              <w:t>2.机构管理：应能够对各级机构进行增、删、改，可对用户进行按市、县区、考点等行政划分进行权限控制；考区编号；</w:t>
            </w:r>
            <w:r>
              <w:rPr>
                <w:rFonts w:hint="eastAsia"/>
              </w:rPr>
              <w:br w:type="textWrapping"/>
            </w:r>
            <w:r>
              <w:rPr>
                <w:rFonts w:hint="eastAsia"/>
              </w:rPr>
              <w:t>3.角色管理：应能够对系统角色的增、删、改。例如：系统管理员、用户等角色；</w:t>
            </w:r>
            <w:r>
              <w:rPr>
                <w:rFonts w:hint="eastAsia"/>
              </w:rPr>
              <w:br w:type="textWrapping"/>
            </w:r>
            <w:r>
              <w:rPr>
                <w:rFonts w:hint="eastAsia"/>
              </w:rPr>
              <w:t>4.终端管理：管理终端应能够批量设置、批量数据下发、批量更新终端版本；</w:t>
            </w:r>
            <w:r>
              <w:rPr>
                <w:rFonts w:hint="eastAsia"/>
              </w:rPr>
              <w:br w:type="textWrapping"/>
            </w:r>
            <w:r>
              <w:rPr>
                <w:rFonts w:hint="eastAsia"/>
              </w:rPr>
              <w:t>5.考试计划：应能够根据每年的考试情况，制定各场考试的考试计划，可绑定科目，身份认证终端验证时间。按设定时间计划主动上传验证结果数据；</w:t>
            </w:r>
          </w:p>
          <w:p>
            <w:pPr>
              <w:pStyle w:val="49"/>
            </w:pPr>
            <w:r>
              <w:rPr>
                <w:rFonts w:hint="eastAsia"/>
              </w:rPr>
              <w:t>6.服务器采用1U标准机架式服务器，C</w:t>
            </w:r>
            <w:r>
              <w:t xml:space="preserve">PU </w:t>
            </w:r>
            <w:r>
              <w:rPr>
                <w:rFonts w:hint="eastAsia"/>
              </w:rPr>
              <w:t>≥2.8GHz处理器，内存≥8GB，≥500GB/SATA，≥6个U</w:t>
            </w:r>
            <w:r>
              <w:t>SB</w:t>
            </w:r>
            <w:r>
              <w:rPr>
                <w:rFonts w:hint="eastAsia"/>
              </w:rPr>
              <w:t>接口，出具型号及彩页</w:t>
            </w:r>
            <w:r>
              <w:rPr>
                <w:rFonts w:hint="eastAsia"/>
              </w:rPr>
              <w:br w:type="textWrapping"/>
            </w:r>
            <w:r>
              <w:t>7</w:t>
            </w:r>
            <w:r>
              <w:rPr>
                <w:rFonts w:hint="eastAsia"/>
              </w:rPr>
              <w:t>.数据导入：应能够导入考点库、考场库、考生库、图像库、指纹库和删除相关批次等相关数据。提供数据接口供下级服务器按考点编号或考区编号下载本区域内所有考生身份数据库；</w:t>
            </w:r>
            <w:r>
              <w:rPr>
                <w:rFonts w:hint="eastAsia"/>
              </w:rPr>
              <w:br w:type="textWrapping"/>
            </w:r>
            <w:r>
              <w:t>8</w:t>
            </w:r>
            <w:r>
              <w:rPr>
                <w:rFonts w:hint="eastAsia"/>
              </w:rPr>
              <w:t>.数据打包：应能够对导入系统的考生数据进行打包，为身份认证终端下载做准备。平台数据进行加密处理,保证数据安全；</w:t>
            </w:r>
            <w:r>
              <w:rPr>
                <w:rFonts w:hint="eastAsia"/>
              </w:rPr>
              <w:br w:type="textWrapping"/>
            </w:r>
            <w:r>
              <w:t>9</w:t>
            </w:r>
            <w:r>
              <w:rPr>
                <w:rFonts w:hint="eastAsia"/>
              </w:rPr>
              <w:t>.认证结果：应能够查看考生认证数据情况。可导出excel报表，可导出dbf数据库和认证照片。导出报告。支持考务需求的各类报表打印、套打、批量打印等；</w:t>
            </w:r>
            <w:r>
              <w:rPr>
                <w:rFonts w:hint="eastAsia"/>
              </w:rPr>
              <w:br w:type="textWrapping"/>
            </w:r>
            <w:r>
              <w:t>10</w:t>
            </w:r>
            <w:r>
              <w:rPr>
                <w:rFonts w:hint="eastAsia"/>
              </w:rPr>
              <w:t>.违纪管理：应能够管理终端上传上来的违纪数据，应可导出excel报表；</w:t>
            </w:r>
            <w:r>
              <w:rPr>
                <w:rFonts w:hint="eastAsia"/>
              </w:rPr>
              <w:br w:type="textWrapping"/>
            </w:r>
            <w:r>
              <w:rPr>
                <w:rFonts w:hint="eastAsia"/>
              </w:rPr>
              <w:t>1</w:t>
            </w:r>
            <w:r>
              <w:t>1</w:t>
            </w:r>
            <w:r>
              <w:rPr>
                <w:rFonts w:hint="eastAsia"/>
              </w:rPr>
              <w:t>.缺考管理：应能够管理终端上传上来的缺考数据，应可导出excel报表；</w:t>
            </w:r>
            <w:r>
              <w:rPr>
                <w:rFonts w:hint="eastAsia"/>
              </w:rPr>
              <w:br w:type="textWrapping"/>
            </w:r>
            <w:r>
              <w:rPr>
                <w:rFonts w:hint="eastAsia"/>
              </w:rPr>
              <w:t>1</w:t>
            </w:r>
            <w:r>
              <w:t>2</w:t>
            </w:r>
            <w:r>
              <w:rPr>
                <w:rFonts w:hint="eastAsia"/>
              </w:rPr>
              <w:t>.考生入场情况：大屏总览应能够展示考生入场实时的认证数据以及对认证数据的图形分析。汇总与统计结果以报表和图表形式输出；</w:t>
            </w:r>
            <w:r>
              <w:rPr>
                <w:rFonts w:hint="eastAsia"/>
              </w:rPr>
              <w:br w:type="textWrapping"/>
            </w:r>
            <w:r>
              <w:rPr>
                <w:rFonts w:hint="eastAsia"/>
              </w:rPr>
              <w:t>1</w:t>
            </w:r>
            <w:r>
              <w:t>3</w:t>
            </w:r>
            <w:r>
              <w:rPr>
                <w:rFonts w:hint="eastAsia"/>
              </w:rPr>
              <w:t>.应可实现与中心平台的数据交互，实现考务指挥；</w:t>
            </w:r>
            <w:r>
              <w:rPr>
                <w:rFonts w:hint="eastAsia"/>
              </w:rPr>
              <w:br w:type="textWrapping"/>
            </w:r>
            <w:r>
              <w:rPr>
                <w:rFonts w:hint="eastAsia"/>
              </w:rPr>
              <w:t>1</w:t>
            </w:r>
            <w:r>
              <w:t>4</w:t>
            </w:r>
            <w:r>
              <w:rPr>
                <w:rFonts w:hint="eastAsia"/>
              </w:rPr>
              <w:t>.应可根据用户需求定制开发功能。</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04" w:type="dxa"/>
            <w:noWrap/>
            <w:vAlign w:val="center"/>
          </w:tcPr>
          <w:p>
            <w:pPr>
              <w:pStyle w:val="49"/>
            </w:pPr>
            <w:r>
              <w:rPr>
                <w:rFonts w:hint="eastAsia"/>
              </w:rPr>
              <w:t>2</w:t>
            </w:r>
          </w:p>
        </w:tc>
        <w:tc>
          <w:tcPr>
            <w:tcW w:w="992" w:type="dxa"/>
            <w:vAlign w:val="center"/>
          </w:tcPr>
          <w:p>
            <w:pPr>
              <w:pStyle w:val="49"/>
            </w:pPr>
            <w:r>
              <w:rPr>
                <w:rFonts w:hint="eastAsia"/>
              </w:rPr>
              <w:t>管理计算机</w:t>
            </w:r>
          </w:p>
        </w:tc>
        <w:tc>
          <w:tcPr>
            <w:tcW w:w="11882" w:type="dxa"/>
            <w:vAlign w:val="center"/>
          </w:tcPr>
          <w:p>
            <w:pPr>
              <w:pStyle w:val="49"/>
            </w:pPr>
            <w:r>
              <w:rPr>
                <w:rFonts w:hint="eastAsia"/>
              </w:rPr>
              <w:t>≥I7-9700 ≥8G DDRIII 2133MHz，≥128G固态硬盘，≥1TG SATA3 7200rpm， ≥2G独立显卡，≥23”显示器,USB鼠标键盘，win10</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vAlign w:val="center"/>
          </w:tcPr>
          <w:p>
            <w:pPr>
              <w:pStyle w:val="49"/>
            </w:pPr>
            <w:r>
              <w:rPr>
                <w:rFonts w:hint="eastAsia"/>
              </w:rPr>
              <w:t>3</w:t>
            </w:r>
          </w:p>
        </w:tc>
        <w:tc>
          <w:tcPr>
            <w:tcW w:w="992" w:type="dxa"/>
            <w:vAlign w:val="center"/>
          </w:tcPr>
          <w:p>
            <w:pPr>
              <w:pStyle w:val="49"/>
            </w:pPr>
            <w:r>
              <w:rPr>
                <w:rFonts w:hint="eastAsia"/>
              </w:rPr>
              <w:t>身份验证终端</w:t>
            </w:r>
          </w:p>
        </w:tc>
        <w:tc>
          <w:tcPr>
            <w:tcW w:w="11882" w:type="dxa"/>
            <w:vAlign w:val="center"/>
          </w:tcPr>
          <w:p>
            <w:pPr>
              <w:pStyle w:val="49"/>
            </w:pPr>
            <w:r>
              <w:rPr>
                <w:rFonts w:hint="eastAsia"/>
              </w:rPr>
              <w:t xml:space="preserve">1.屏幕尺寸大于等于8英寸IPS显示屏，分辨率大于等于1280*800，可触控。可视角度大于等于170°； </w:t>
            </w:r>
            <w:r>
              <w:rPr>
                <w:rFonts w:hint="eastAsia"/>
              </w:rPr>
              <w:br w:type="textWrapping"/>
            </w:r>
            <w:r>
              <w:rPr>
                <w:rFonts w:hint="eastAsia"/>
              </w:rPr>
              <w:t>2.CPU不低于4核，主频≥1.8GHz；</w:t>
            </w:r>
            <w:r>
              <w:rPr>
                <w:rFonts w:hint="eastAsia"/>
              </w:rPr>
              <w:br w:type="textWrapping"/>
            </w:r>
            <w:r>
              <w:rPr>
                <w:rFonts w:hint="eastAsia"/>
              </w:rPr>
              <w:t>3.存储：运行内存≥4GB，存储容量≥64GB；</w:t>
            </w:r>
            <w:r>
              <w:rPr>
                <w:rFonts w:hint="eastAsia"/>
              </w:rPr>
              <w:br w:type="textWrapping"/>
            </w:r>
            <w:r>
              <w:rPr>
                <w:rFonts w:hint="eastAsia"/>
              </w:rPr>
              <w:t>4.拍照模块：前置大于等于500w摄像头，具备自动聚焦功能，后置大于等于800w摄像头，且带有录像功能，能录制考生入场的视频并保存；（出具证明材料，不限于检测报告、彩页、</w:t>
            </w:r>
            <w:r>
              <w:rPr>
                <w:rFonts w:hint="eastAsia"/>
                <w:color w:val="auto"/>
              </w:rPr>
              <w:t>官网截图复印件并加盖公章）</w:t>
            </w:r>
            <w:r>
              <w:rPr>
                <w:rFonts w:hint="eastAsia"/>
                <w:color w:val="auto"/>
              </w:rPr>
              <w:br w:type="textWrapping"/>
            </w:r>
            <w:r>
              <w:rPr>
                <w:rFonts w:hint="eastAsia"/>
                <w:color w:val="auto"/>
              </w:rPr>
              <w:t>5.为实现多种数据传输方式，终端应能够扫描并识别综合管理平台下发的二维码；（出具证明材料，不限于检测报告、彩页、官网截</w:t>
            </w:r>
            <w:r>
              <w:rPr>
                <w:rFonts w:hint="eastAsia"/>
                <w:color w:val="auto"/>
                <w:lang w:eastAsia="zh-CN"/>
              </w:rPr>
              <w:t>图</w:t>
            </w:r>
            <w:r>
              <w:rPr>
                <w:rFonts w:hint="eastAsia"/>
                <w:color w:val="auto"/>
              </w:rPr>
              <w:t>复印件并加盖公章）</w:t>
            </w:r>
            <w:r>
              <w:rPr>
                <w:rFonts w:hint="eastAsia"/>
                <w:color w:val="auto"/>
              </w:rPr>
              <w:br w:type="textWrapping"/>
            </w:r>
            <w:r>
              <w:rPr>
                <w:rFonts w:hint="eastAsia"/>
                <w:color w:val="auto"/>
              </w:rPr>
              <w:t>6.扬声器：身份认证设备自带扬声器，能够进行语音提示，声音清晰，音量可调，最大音量≥100分贝，且能播报验证认证姓名；（出具证明材料，不限于检测报告、彩页、官网截图复印件并加盖公章）</w:t>
            </w:r>
            <w:r>
              <w:rPr>
                <w:rFonts w:hint="eastAsia"/>
                <w:color w:val="auto"/>
              </w:rPr>
              <w:br w:type="textWrapping"/>
            </w:r>
            <w:r>
              <w:rPr>
                <w:rFonts w:hint="eastAsia"/>
                <w:color w:val="auto"/>
              </w:rPr>
              <w:t>7.通行指示灯：具有通行颜色光源指示灯，满足在室外环境快速通行的指示要求，至少具有三种颜色指示灯分别表示通过、不通过、需复核；（出具证明材料，不限于检测报告、彩页、官网截图复</w:t>
            </w:r>
            <w:r>
              <w:rPr>
                <w:rFonts w:hint="eastAsia"/>
              </w:rPr>
              <w:t>印件并加盖公章）</w:t>
            </w:r>
            <w:r>
              <w:rPr>
                <w:rFonts w:hint="eastAsia"/>
              </w:rPr>
              <w:br w:type="textWrapping"/>
            </w:r>
            <w:r>
              <w:rPr>
                <w:rFonts w:hint="eastAsia"/>
              </w:rPr>
              <w:t>8.供电：采用电池供电模式时可持续使用10小时以上；</w:t>
            </w:r>
            <w:r>
              <w:rPr>
                <w:rFonts w:hint="eastAsia"/>
              </w:rPr>
              <w:br w:type="textWrapping"/>
            </w:r>
            <w:r>
              <w:rPr>
                <w:rFonts w:hint="eastAsia"/>
              </w:rPr>
              <w:t>9..联网功能：支持WiFi和以太网；</w:t>
            </w:r>
            <w:r>
              <w:rPr>
                <w:rFonts w:hint="eastAsia"/>
              </w:rPr>
              <w:br w:type="textWrapping"/>
            </w:r>
            <w:r>
              <w:rPr>
                <w:rFonts w:hint="eastAsia"/>
              </w:rPr>
              <w:t>10.二代身份证信息采集模块：可读取二代身份证信息，包括姓名、证件照片、指纹信息、证件有效期等。符合公安部《手持式居民身份证阅器》（GA 1153-2014）或符合公安部《台式居民身份证阅读器通用技术要求》（GA450-2013）；</w:t>
            </w:r>
            <w:r>
              <w:rPr>
                <w:rFonts w:hint="eastAsia"/>
              </w:rPr>
              <w:br w:type="textWrapping"/>
            </w:r>
            <w:r>
              <w:rPr>
                <w:rFonts w:hint="eastAsia"/>
              </w:rPr>
              <w:t>11.指纹采集模块：身份认证设备能够采集手指指纹信息，只对活体指纹进行识别。指纹采集器符合公安部GA/T 1011-2012《居民身份证指纹采集器通用技术要求》。</w:t>
            </w:r>
            <w:r>
              <w:rPr>
                <w:rFonts w:hint="eastAsia"/>
              </w:rPr>
              <w:br w:type="textWrapping"/>
            </w:r>
            <w:r>
              <w:rPr>
                <w:rFonts w:hint="eastAsia"/>
              </w:rPr>
              <w:t>12.人脸识别模块：可在软件界面中检测并采集人脸图像、人脸定位框可跟随人脸移动；（出具证明材料，不限于检测报告、彩页、官网截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13.人性化设计：身份证模块位于终端右下方，方便客户刷身份证。符合客户使用习惯；验证提示灯位于终端右上方，提示效果明显；</w:t>
            </w:r>
            <w:r>
              <w:rPr>
                <w:rFonts w:hint="eastAsia"/>
              </w:rPr>
              <w:br w:type="textWrapping"/>
            </w:r>
            <w:r>
              <w:rPr>
                <w:rFonts w:hint="eastAsia"/>
              </w:rPr>
              <w:t>14.补光灯：具有双LED光源补光组件，补光灯色温4500K~6500K、显色指数（Ra）不小于90；光源为LED恒定光源；（提供检测报告复印件并加盖公章）</w:t>
            </w:r>
            <w:r>
              <w:rPr>
                <w:rFonts w:hint="eastAsia"/>
              </w:rPr>
              <w:br w:type="textWrapping"/>
            </w:r>
            <w:r>
              <w:rPr>
                <w:rFonts w:hint="eastAsia"/>
              </w:rPr>
              <w:t>15.可定时备份数据，如误删除数据，可进行数据恢复；（出具证明材料，不限于检测报告、彩页、官网截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16.断网重传：若身份认证系统上传认证结果时无法接入专网，身份认证系统能够将认证结果保存，待恢复联网后上传；</w:t>
            </w:r>
            <w:r>
              <w:rPr>
                <w:rFonts w:hint="eastAsia"/>
              </w:rPr>
              <w:br w:type="textWrapping"/>
            </w:r>
            <w:r>
              <w:rPr>
                <w:rFonts w:hint="eastAsia"/>
              </w:rPr>
              <w:t>17.扩展性：身份认证系统软件保证以后能够进行更新、升级，根据新的身份认证系统建设技术要求，软件做相应的调整，以连接省端的数据交换接口；</w:t>
            </w:r>
          </w:p>
          <w:p>
            <w:pPr>
              <w:pStyle w:val="49"/>
            </w:pPr>
            <w:r>
              <w:rPr>
                <w:rFonts w:hint="eastAsia"/>
              </w:rPr>
              <w:t>18.设备需符合《GA/T 1324-2017 安全防范人脸识别应用静态人脸图像采集规范》的相关要求；</w:t>
            </w:r>
            <w:r>
              <w:rPr>
                <w:rFonts w:hint="eastAsia"/>
              </w:rPr>
              <w:br w:type="textWrapping"/>
            </w:r>
            <w:r>
              <w:rPr>
                <w:rFonts w:hint="eastAsia"/>
              </w:rPr>
              <w:t>19.测温模块：测温精度标：0.1℃ ；测温范围：32-43(℃)；测量误差≤±0.3℃；测温时间＜1s；</w:t>
            </w:r>
            <w:r>
              <w:rPr>
                <w:rFonts w:hint="eastAsia"/>
              </w:rPr>
              <w:br w:type="textWrapping"/>
            </w:r>
            <w:r>
              <w:t>20</w:t>
            </w:r>
            <w:r>
              <w:rPr>
                <w:rFonts w:hint="eastAsia"/>
              </w:rPr>
              <w:t>.多种组合模式：应支持手持验证方式。支持立式支架验证方式；</w:t>
            </w:r>
          </w:p>
          <w:p>
            <w:pPr>
              <w:pStyle w:val="49"/>
            </w:pPr>
            <w:r>
              <w:rPr>
                <w:rFonts w:hint="eastAsia"/>
              </w:rPr>
              <w:t>21.提供产品来源渠道证明文件（包括但不限于销售协议、代理协议、原厂授权）加盖公章。</w:t>
            </w:r>
          </w:p>
        </w:tc>
        <w:tc>
          <w:tcPr>
            <w:tcW w:w="512" w:type="dxa"/>
            <w:noWrap/>
            <w:vAlign w:val="center"/>
          </w:tcPr>
          <w:p>
            <w:pPr>
              <w:pStyle w:val="49"/>
            </w:pPr>
            <w:r>
              <w:rPr>
                <w:rFonts w:hint="eastAsia"/>
              </w:rPr>
              <w:t>4</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992" w:type="dxa"/>
            <w:vAlign w:val="center"/>
          </w:tcPr>
          <w:p>
            <w:pPr>
              <w:pStyle w:val="49"/>
            </w:pPr>
            <w:r>
              <w:rPr>
                <w:rFonts w:hint="eastAsia"/>
              </w:rPr>
              <w:t>交换机</w:t>
            </w:r>
          </w:p>
        </w:tc>
        <w:tc>
          <w:tcPr>
            <w:tcW w:w="11882" w:type="dxa"/>
            <w:vAlign w:val="center"/>
          </w:tcPr>
          <w:p>
            <w:pPr>
              <w:pStyle w:val="49"/>
            </w:pPr>
            <w:r>
              <w:rPr>
                <w:rFonts w:hint="eastAsia"/>
              </w:rPr>
              <w:t>交换容量≥336Gbps/3.36Tbps，包转发率：≥51Mpps/108Mpps；≥24个10/100/1000M Base-T以太网端口，≥2个1000M SFP光口；支持静态域名解析；支持动态域名解析客户端；支持IPv4和IPv6地址。</w:t>
            </w:r>
          </w:p>
        </w:tc>
        <w:tc>
          <w:tcPr>
            <w:tcW w:w="512" w:type="dxa"/>
            <w:noWrap/>
            <w:vAlign w:val="center"/>
          </w:tcPr>
          <w:p>
            <w:pPr>
              <w:pStyle w:val="49"/>
            </w:pPr>
            <w:r>
              <w:t>2</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992" w:type="dxa"/>
            <w:vAlign w:val="center"/>
          </w:tcPr>
          <w:p>
            <w:pPr>
              <w:pStyle w:val="49"/>
            </w:pPr>
            <w:r>
              <w:rPr>
                <w:rFonts w:hint="eastAsia"/>
              </w:rPr>
              <w:t>单模光纤模块</w:t>
            </w:r>
          </w:p>
        </w:tc>
        <w:tc>
          <w:tcPr>
            <w:tcW w:w="11882" w:type="dxa"/>
            <w:vAlign w:val="center"/>
          </w:tcPr>
          <w:p>
            <w:pPr>
              <w:pStyle w:val="49"/>
            </w:pPr>
            <w:r>
              <w:rPr>
                <w:rFonts w:hint="eastAsia"/>
              </w:rPr>
              <w:t>光模块-SFP-GE-单模模块-（1310nm,10km,LC）</w:t>
            </w:r>
          </w:p>
        </w:tc>
        <w:tc>
          <w:tcPr>
            <w:tcW w:w="512" w:type="dxa"/>
            <w:noWrap/>
            <w:vAlign w:val="center"/>
          </w:tcPr>
          <w:p>
            <w:pPr>
              <w:pStyle w:val="49"/>
            </w:pPr>
            <w:r>
              <w:rPr>
                <w:rFonts w:hint="eastAsia"/>
              </w:rPr>
              <w:t>2</w:t>
            </w:r>
          </w:p>
        </w:tc>
        <w:tc>
          <w:tcPr>
            <w:tcW w:w="470"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992" w:type="dxa"/>
            <w:vAlign w:val="center"/>
          </w:tcPr>
          <w:p>
            <w:pPr>
              <w:pStyle w:val="49"/>
            </w:pPr>
            <w:r>
              <w:rPr>
                <w:rFonts w:hint="eastAsia"/>
              </w:rPr>
              <w:t>线缆线材</w:t>
            </w:r>
          </w:p>
        </w:tc>
        <w:tc>
          <w:tcPr>
            <w:tcW w:w="11882" w:type="dxa"/>
            <w:vAlign w:val="center"/>
          </w:tcPr>
          <w:p>
            <w:pPr>
              <w:pStyle w:val="49"/>
            </w:pPr>
            <w:r>
              <w:rPr>
                <w:rFonts w:hint="eastAsia"/>
              </w:rPr>
              <w:t>电源线、六类网线、PVC槽、电源插座、电源空开、U型槽、隔离栏。</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78" w:type="dxa"/>
            <w:gridSpan w:val="3"/>
            <w:noWrap/>
            <w:vAlign w:val="center"/>
          </w:tcPr>
          <w:p>
            <w:pPr>
              <w:pStyle w:val="49"/>
            </w:pPr>
            <w:r>
              <w:rPr>
                <w:rFonts w:hint="eastAsia"/>
                <w:b/>
                <w:bCs w:val="0"/>
              </w:rPr>
              <w:t>三、无线电作弊防控系统</w:t>
            </w:r>
          </w:p>
        </w:tc>
        <w:tc>
          <w:tcPr>
            <w:tcW w:w="512" w:type="dxa"/>
            <w:noWrap/>
            <w:vAlign w:val="center"/>
          </w:tcPr>
          <w:p>
            <w:pPr>
              <w:pStyle w:val="49"/>
            </w:pPr>
            <w:r>
              <w:rPr>
                <w:rFonts w:hint="eastAsia"/>
              </w:rPr>
              <w:t>　</w:t>
            </w:r>
          </w:p>
        </w:tc>
        <w:tc>
          <w:tcPr>
            <w:tcW w:w="47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704" w:type="dxa"/>
            <w:noWrap/>
            <w:vAlign w:val="center"/>
          </w:tcPr>
          <w:p>
            <w:pPr>
              <w:pStyle w:val="49"/>
            </w:pPr>
            <w:r>
              <w:rPr>
                <w:rFonts w:hint="eastAsia"/>
              </w:rPr>
              <w:t>1</w:t>
            </w:r>
          </w:p>
        </w:tc>
        <w:tc>
          <w:tcPr>
            <w:tcW w:w="992" w:type="dxa"/>
            <w:vAlign w:val="center"/>
          </w:tcPr>
          <w:p>
            <w:pPr>
              <w:pStyle w:val="49"/>
            </w:pPr>
            <w:r>
              <w:rPr>
                <w:rFonts w:hint="eastAsia"/>
              </w:rPr>
              <w:t>屏蔽终端</w:t>
            </w:r>
          </w:p>
          <w:p>
            <w:pPr>
              <w:pStyle w:val="49"/>
            </w:pPr>
          </w:p>
        </w:tc>
        <w:tc>
          <w:tcPr>
            <w:tcW w:w="11882" w:type="dxa"/>
            <w:vAlign w:val="center"/>
          </w:tcPr>
          <w:p>
            <w:pPr>
              <w:pStyle w:val="49"/>
            </w:pPr>
            <w:r>
              <w:rPr>
                <w:rFonts w:hint="eastAsia"/>
              </w:rPr>
              <w:t>1、 支持对2G/3G/4G/5G电信、联通、移动的全网屏蔽以及蓝牙、WiFi2.4G及5.8G的实时全屏蔽；</w:t>
            </w:r>
            <w:r>
              <w:rPr>
                <w:rFonts w:hint="eastAsia"/>
              </w:rPr>
              <w:br w:type="textWrapping"/>
            </w:r>
            <w:r>
              <w:rPr>
                <w:rFonts w:hint="eastAsia"/>
              </w:rPr>
              <w:t>2、 可有效屏蔽考场中的数传作弊设备信号，语音作弊设备信号等专业作弊设备信号；</w:t>
            </w:r>
            <w:r>
              <w:rPr>
                <w:rFonts w:hint="eastAsia"/>
              </w:rPr>
              <w:br w:type="textWrapping"/>
            </w:r>
            <w:r>
              <w:rPr>
                <w:rFonts w:hint="eastAsia"/>
              </w:rPr>
              <w:t>3、 支持对50MHz-1.6GHz频段的专业作弊设备，采用侦测引导阻断方式，支持不少于11路以上屏，固定有效阻断考场内信号强度≤-65dBm的无线电信号；</w:t>
            </w:r>
            <w:r>
              <w:rPr>
                <w:rFonts w:hint="eastAsia"/>
              </w:rPr>
              <w:br w:type="textWrapping"/>
            </w:r>
            <w:r>
              <w:rPr>
                <w:rFonts w:hint="eastAsia"/>
              </w:rPr>
              <w:t>4、 蔽信号的同时引导阻断，对作弊信号频点实现点对点的精准屏蔽，≥20路；</w:t>
            </w:r>
            <w:r>
              <w:rPr>
                <w:rFonts w:hint="eastAsia"/>
              </w:rPr>
              <w:br w:type="textWrapping"/>
            </w:r>
            <w:r>
              <w:rPr>
                <w:rFonts w:hint="eastAsia"/>
              </w:rPr>
              <w:t>5、 屏蔽以设备为中心≥10米内无线信号；</w:t>
            </w:r>
            <w:r>
              <w:rPr>
                <w:rFonts w:hint="eastAsia"/>
              </w:rPr>
              <w:br w:type="textWrapping"/>
            </w:r>
            <w:r>
              <w:rPr>
                <w:rFonts w:hint="eastAsia"/>
              </w:rPr>
              <w:t>6、 对国家公开的对讲频段采用直接屏蔽方式；</w:t>
            </w:r>
            <w:r>
              <w:rPr>
                <w:rFonts w:hint="eastAsia"/>
              </w:rPr>
              <w:br w:type="textWrapping"/>
            </w:r>
            <w:r>
              <w:rPr>
                <w:rFonts w:hint="eastAsia"/>
              </w:rPr>
              <w:t>7、 在50MHz-1.6GHz频段，仅在发现作弊信号的频点和出现时刻发射屏蔽信号，无作弊信号时不发射屏蔽信号；</w:t>
            </w:r>
            <w:r>
              <w:rPr>
                <w:rFonts w:hint="eastAsia"/>
              </w:rPr>
              <w:br w:type="textWrapping"/>
            </w:r>
            <w:r>
              <w:rPr>
                <w:rFonts w:hint="eastAsia"/>
              </w:rPr>
              <w:t>8、 在50MHz-1.6GHz频段可调节输出增益,能通过设置避免对考场周边军用、警用、航空，医疗等特殊用途的通讯的干扰；根据用户的考务工作设置的考务通讯频点，不受干扰；</w:t>
            </w:r>
            <w:r>
              <w:rPr>
                <w:rFonts w:hint="eastAsia"/>
              </w:rPr>
              <w:br w:type="textWrapping"/>
            </w:r>
            <w:r>
              <w:rPr>
                <w:rFonts w:hint="eastAsia"/>
              </w:rPr>
              <w:t>9、 具有≥2个RJ45网络接口，可接应急电话，支持TCP/IP协议和UDP广播/组播协议，具备联网能力；</w:t>
            </w:r>
            <w:r>
              <w:rPr>
                <w:rFonts w:hint="eastAsia"/>
              </w:rPr>
              <w:br w:type="textWrapping"/>
            </w:r>
            <w:r>
              <w:rPr>
                <w:rFonts w:hint="eastAsia"/>
              </w:rPr>
              <w:t>10、设备能够接受远程开关指令，实现单独或整体通道开启/关闭，设备能够根据管理平台软件设定的考试时间自动开启/关闭设备的通道；</w:t>
            </w:r>
            <w:r>
              <w:rPr>
                <w:rFonts w:hint="eastAsia"/>
              </w:rPr>
              <w:br w:type="textWrapping"/>
            </w:r>
            <w:r>
              <w:rPr>
                <w:rFonts w:hint="eastAsia"/>
              </w:rPr>
              <w:t>11、支持平台远程管理，屏蔽终端工作状态查看和管理；</w:t>
            </w:r>
            <w:r>
              <w:rPr>
                <w:rFonts w:hint="eastAsia"/>
              </w:rPr>
              <w:br w:type="textWrapping"/>
            </w:r>
            <w:r>
              <w:rPr>
                <w:rFonts w:hint="eastAsia"/>
              </w:rPr>
              <w:t>12、可以考场为单位对设备进行集中管理；设备支持远程批量固件升级；</w:t>
            </w:r>
            <w:r>
              <w:rPr>
                <w:rFonts w:hint="eastAsia"/>
              </w:rPr>
              <w:br w:type="textWrapping"/>
            </w:r>
            <w:r>
              <w:rPr>
                <w:rFonts w:hint="eastAsia"/>
              </w:rPr>
              <w:t>13、支持壁挂等多种使用场景；</w:t>
            </w:r>
            <w:r>
              <w:rPr>
                <w:rFonts w:hint="eastAsia"/>
              </w:rPr>
              <w:br w:type="textWrapping"/>
            </w:r>
            <w:r>
              <w:rPr>
                <w:rFonts w:hint="eastAsia"/>
              </w:rPr>
              <w:t>14、满足GB8702-2014《电磁环境控制限值》辐射标准要求，（包括但不限于检验报告、官网和功能截图等）</w:t>
            </w:r>
          </w:p>
        </w:tc>
        <w:tc>
          <w:tcPr>
            <w:tcW w:w="512" w:type="dxa"/>
            <w:noWrap/>
            <w:vAlign w:val="center"/>
          </w:tcPr>
          <w:p>
            <w:pPr>
              <w:pStyle w:val="49"/>
            </w:pPr>
            <w:r>
              <w:rPr>
                <w:rFonts w:hint="eastAsia"/>
              </w:rPr>
              <w:t>28</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1" w:hRule="atLeast"/>
        </w:trPr>
        <w:tc>
          <w:tcPr>
            <w:tcW w:w="704" w:type="dxa"/>
            <w:noWrap/>
            <w:vAlign w:val="center"/>
          </w:tcPr>
          <w:p>
            <w:pPr>
              <w:pStyle w:val="49"/>
            </w:pPr>
            <w:r>
              <w:rPr>
                <w:rFonts w:hint="eastAsia"/>
              </w:rPr>
              <w:t>2</w:t>
            </w:r>
          </w:p>
        </w:tc>
        <w:tc>
          <w:tcPr>
            <w:tcW w:w="992" w:type="dxa"/>
            <w:vAlign w:val="center"/>
          </w:tcPr>
          <w:p>
            <w:pPr>
              <w:pStyle w:val="49"/>
            </w:pPr>
            <w:r>
              <w:rPr>
                <w:rFonts w:hint="eastAsia"/>
              </w:rPr>
              <w:t>作弊防控系统管理平台</w:t>
            </w:r>
          </w:p>
        </w:tc>
        <w:tc>
          <w:tcPr>
            <w:tcW w:w="11882" w:type="dxa"/>
            <w:vAlign w:val="center"/>
          </w:tcPr>
          <w:p>
            <w:r>
              <w:rPr>
                <w:rFonts w:hint="eastAsia"/>
              </w:rPr>
              <w:t>符合《陕西省国家教育考试综合管理平台建设规划》（陕教考办〔2018〕4号），符合《西安市国家教育考试综合管理平台建设规划方案》（市教发〔2020〕64号）要求；可通过浏览器页面进行系统管理工作；支持对系统设备进行查询、增加、删除、远程开关、固件升级等操作；可实现对系统设备的IP地址、工作状态、教室信息、在线状态、MAC地址、版本等信息的查询和管理；可自动呈现所有作弊信号特征，包括信号类型（语音或数传)、出现时间、考试场次、出现时的频点等；管理平台对作弊信息进行数据储存和传输时支持加密处理，系统还原的作弊答案信息生成、传输、展示环节均经过加密处理，信息脱离系统后无法正常播放、显示；信号文件自动解调添加考试计划场次后，在计划场次时间范围内会自动对设备检测到的文件进行解调。在解调文件列表中可呈现所有作弊信号特征，包括信号类型（语音或数传)、出现时间、考试场次、出现时的频点等，且提供已还原的语音和数传类作弊器材发射信号内容的播放、下载功能；提供已还原的语音和数传类作弊器材发射信号内容的回放、查看、记录、查询、下载、统计功能；不影响屏蔽效果的情况下，对作弊语音信号监听内容进行保存取证；系统能实现多级级联，上级平台能够查看下级管理平台的所有信息，包括设备信息，信号统计，信号还原等信息；黑白名单库支持手工编辑、上级平台下发；实现资源共享，可预留考务通信频点，不影响正常通讯；平台支持设备信息实时显示,可直接预览查看屏蔽设备各通道的运行状态,侦测服务器在线运行情况；支持分布式网络部署架构，可根据业务需要不断扩展；当管理软件与侦测服务器无法正常工作，或网络中断时，阻断器可以独立开展工作，并可以屏蔽工作频率上的全部信号；对接综合管理平台：须能与西安市综合管理平台无缝对接，方便进行数据交换。</w:t>
            </w:r>
          </w:p>
        </w:tc>
        <w:tc>
          <w:tcPr>
            <w:tcW w:w="512" w:type="dxa"/>
            <w:noWrap/>
            <w:vAlign w:val="center"/>
          </w:tcPr>
          <w:p>
            <w:pPr>
              <w:pStyle w:val="49"/>
            </w:pPr>
            <w:r>
              <w:rPr>
                <w:rFonts w:hint="eastAsia"/>
              </w:rPr>
              <w:t>1</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vAlign w:val="center"/>
          </w:tcPr>
          <w:p>
            <w:pPr>
              <w:pStyle w:val="49"/>
            </w:pPr>
            <w:r>
              <w:rPr>
                <w:rFonts w:hint="eastAsia"/>
              </w:rPr>
              <w:t>3</w:t>
            </w:r>
          </w:p>
        </w:tc>
        <w:tc>
          <w:tcPr>
            <w:tcW w:w="992" w:type="dxa"/>
            <w:vAlign w:val="center"/>
          </w:tcPr>
          <w:p>
            <w:pPr>
              <w:pStyle w:val="49"/>
            </w:pPr>
            <w:r>
              <w:rPr>
                <w:rFonts w:hint="eastAsia"/>
              </w:rPr>
              <w:t>无线信号侦测服务器</w:t>
            </w:r>
          </w:p>
        </w:tc>
        <w:tc>
          <w:tcPr>
            <w:tcW w:w="11882" w:type="dxa"/>
            <w:vAlign w:val="center"/>
          </w:tcPr>
          <w:p>
            <w:pPr>
              <w:pStyle w:val="49"/>
            </w:pPr>
            <w:r>
              <w:rPr>
                <w:rFonts w:hint="eastAsia"/>
              </w:rPr>
              <w:t>符合《陕西省国家教育考试综合管理平台建设规划》（陕教考办〔2018〕4号）相关规范,符合《西安市国家教育考试综合管理平台建设规划方案》（市教发〔2020〕64号）要求。</w:t>
            </w:r>
            <w:r>
              <w:rPr>
                <w:rFonts w:hint="eastAsia"/>
              </w:rPr>
              <w:br w:type="textWrapping"/>
            </w:r>
            <w:r>
              <w:rPr>
                <w:rFonts w:hint="eastAsia"/>
              </w:rPr>
              <w:t>1、侦测主机：支持对40MHz~3000MHz频率范围自动进行频谱扫描，可侦测最低信号强度≤-80dbm，侦测动态范围≥70dB，能将考前合法的背景信号通过侦测扫描和外部导入等多种方式进行背景信号的学习和存储，建立黑白名单库；</w:t>
            </w:r>
            <w:r>
              <w:rPr>
                <w:rFonts w:hint="eastAsia"/>
              </w:rPr>
              <w:br w:type="textWrapping"/>
            </w:r>
            <w:r>
              <w:rPr>
                <w:rFonts w:hint="eastAsia"/>
              </w:rPr>
              <w:t>2、侦测主机可以通过网络为多个屏蔽设备提供实时的信号服务，为其提供作弊信号的特征信息；</w:t>
            </w:r>
            <w:r>
              <w:rPr>
                <w:rFonts w:hint="eastAsia"/>
              </w:rPr>
              <w:br w:type="textWrapping"/>
            </w:r>
            <w:r>
              <w:rPr>
                <w:rFonts w:hint="eastAsia"/>
              </w:rPr>
              <w:t>3、侦测主机自带液晶显示屏，用于直观显示系统信息；</w:t>
            </w:r>
            <w:r>
              <w:rPr>
                <w:rFonts w:hint="eastAsia"/>
              </w:rPr>
              <w:br w:type="textWrapping"/>
            </w:r>
            <w:r>
              <w:rPr>
                <w:rFonts w:hint="eastAsia"/>
              </w:rPr>
              <w:t>4、在没有网络的情况下也能够自动校时；</w:t>
            </w:r>
            <w:r>
              <w:rPr>
                <w:rFonts w:hint="eastAsia"/>
              </w:rPr>
              <w:br w:type="textWrapping"/>
            </w:r>
            <w:r>
              <w:rPr>
                <w:rFonts w:hint="eastAsia"/>
              </w:rPr>
              <w:t>5、设备运行支持无人值守，支持过热保护、短路保护等功能；</w:t>
            </w:r>
            <w:r>
              <w:rPr>
                <w:rFonts w:hint="eastAsia"/>
              </w:rPr>
              <w:br w:type="textWrapping"/>
            </w:r>
            <w:r>
              <w:rPr>
                <w:rFonts w:hint="eastAsia"/>
              </w:rPr>
              <w:t>6、引导阻断信号支持50MHz-1.6GHz间任意频点的作弊信号进行11路以上作弊信号引导阻断；</w:t>
            </w:r>
            <w:r>
              <w:rPr>
                <w:rFonts w:hint="eastAsia"/>
              </w:rPr>
              <w:br w:type="textWrapping"/>
            </w:r>
            <w:r>
              <w:rPr>
                <w:rFonts w:hint="eastAsia"/>
              </w:rPr>
              <w:t>7、可对50MHz-1.6GHz间各类教材作弊器材，如数传橡皮、笔、格尺等作弊信号进行有效引导屏蔽；</w:t>
            </w:r>
            <w:r>
              <w:rPr>
                <w:rFonts w:hint="eastAsia"/>
              </w:rPr>
              <w:br w:type="textWrapping"/>
            </w:r>
            <w:r>
              <w:rPr>
                <w:rFonts w:hint="eastAsia"/>
              </w:rPr>
              <w:t>8、对讲频段范围：136MHz-174MHz、400MHz-470MHz实现全时侦测阻断；</w:t>
            </w:r>
            <w:r>
              <w:rPr>
                <w:rFonts w:hint="eastAsia"/>
              </w:rPr>
              <w:br w:type="textWrapping"/>
            </w:r>
            <w:r>
              <w:rPr>
                <w:rFonts w:hint="eastAsia"/>
              </w:rPr>
              <w:t>9、侦测主机向无线屏蔽系统管理软件注册，支持背景信号学习和黑白名单库建立；</w:t>
            </w:r>
            <w:r>
              <w:rPr>
                <w:rFonts w:hint="eastAsia"/>
              </w:rPr>
              <w:br w:type="textWrapping"/>
            </w:r>
            <w:r>
              <w:rPr>
                <w:rFonts w:hint="eastAsia"/>
              </w:rPr>
              <w:t>10、支持信号特征分析和显示并对屏蔽断设备进行策略引导，能够对可疑信号进行还原取证；</w:t>
            </w:r>
            <w:r>
              <w:rPr>
                <w:rFonts w:hint="eastAsia"/>
              </w:rPr>
              <w:br w:type="textWrapping"/>
            </w:r>
            <w:r>
              <w:rPr>
                <w:rFonts w:hint="eastAsia"/>
              </w:rPr>
              <w:t>11、侦测主机与考点无线屏蔽系统管理软件采用网络连接，对侦测主机的所有操作均在无线屏蔽系统管理软件上完成。</w:t>
            </w:r>
            <w:r>
              <w:rPr>
                <w:rFonts w:hint="eastAsia"/>
              </w:rPr>
              <w:br w:type="textWrapping"/>
            </w:r>
            <w:r>
              <w:rPr>
                <w:rFonts w:hint="eastAsia"/>
              </w:rPr>
              <w:t>12、提供相应功能证明材料（包括但不限于检验报告、官网和功能截图等）</w:t>
            </w:r>
          </w:p>
        </w:tc>
        <w:tc>
          <w:tcPr>
            <w:tcW w:w="512" w:type="dxa"/>
            <w:vAlign w:val="center"/>
          </w:tcPr>
          <w:p>
            <w:pPr>
              <w:pStyle w:val="49"/>
            </w:pPr>
            <w:r>
              <w:rPr>
                <w:rFonts w:hint="eastAsia"/>
              </w:rPr>
              <w:t xml:space="preserve">1 </w:t>
            </w:r>
          </w:p>
        </w:tc>
        <w:tc>
          <w:tcPr>
            <w:tcW w:w="47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992" w:type="dxa"/>
            <w:vAlign w:val="center"/>
          </w:tcPr>
          <w:p>
            <w:pPr>
              <w:pStyle w:val="49"/>
            </w:pPr>
            <w:r>
              <w:rPr>
                <w:rFonts w:hint="eastAsia"/>
              </w:rPr>
              <w:t>交换机</w:t>
            </w:r>
          </w:p>
        </w:tc>
        <w:tc>
          <w:tcPr>
            <w:tcW w:w="11882" w:type="dxa"/>
            <w:vAlign w:val="center"/>
          </w:tcPr>
          <w:p>
            <w:pPr>
              <w:pStyle w:val="49"/>
            </w:pPr>
            <w:r>
              <w:rPr>
                <w:rFonts w:hint="eastAsia"/>
              </w:rPr>
              <w:t>L2，交换容量≥256Gbps；≥24个10/100/1000Base-T以太网端口，≥2个1000Base-X SFP千兆以太网端口</w:t>
            </w:r>
          </w:p>
        </w:tc>
        <w:tc>
          <w:tcPr>
            <w:tcW w:w="512" w:type="dxa"/>
            <w:noWrap/>
            <w:vAlign w:val="center"/>
          </w:tcPr>
          <w:p>
            <w:pPr>
              <w:pStyle w:val="49"/>
            </w:pPr>
            <w:r>
              <w:rPr>
                <w:rFonts w:hint="eastAsia"/>
              </w:rPr>
              <w:t>2</w:t>
            </w:r>
          </w:p>
        </w:tc>
        <w:tc>
          <w:tcPr>
            <w:tcW w:w="47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992" w:type="dxa"/>
            <w:vAlign w:val="center"/>
          </w:tcPr>
          <w:p>
            <w:pPr>
              <w:pStyle w:val="49"/>
            </w:pPr>
            <w:r>
              <w:rPr>
                <w:rFonts w:hint="eastAsia"/>
              </w:rPr>
              <w:t>单模光纤模块</w:t>
            </w:r>
          </w:p>
        </w:tc>
        <w:tc>
          <w:tcPr>
            <w:tcW w:w="11882" w:type="dxa"/>
            <w:vAlign w:val="center"/>
          </w:tcPr>
          <w:p>
            <w:pPr>
              <w:pStyle w:val="49"/>
            </w:pPr>
            <w:r>
              <w:rPr>
                <w:rFonts w:hint="eastAsia"/>
              </w:rPr>
              <w:t>光模块-SFP-GE-单模模块-（1310nm,10km,LC）</w:t>
            </w:r>
          </w:p>
        </w:tc>
        <w:tc>
          <w:tcPr>
            <w:tcW w:w="512" w:type="dxa"/>
            <w:vAlign w:val="center"/>
          </w:tcPr>
          <w:p>
            <w:pPr>
              <w:pStyle w:val="49"/>
            </w:pPr>
            <w:r>
              <w:rPr>
                <w:rFonts w:hint="eastAsia"/>
              </w:rPr>
              <w:t xml:space="preserve">4 </w:t>
            </w:r>
          </w:p>
        </w:tc>
        <w:tc>
          <w:tcPr>
            <w:tcW w:w="470"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992" w:type="dxa"/>
            <w:vAlign w:val="center"/>
          </w:tcPr>
          <w:p>
            <w:pPr>
              <w:pStyle w:val="49"/>
            </w:pPr>
            <w:r>
              <w:rPr>
                <w:rFonts w:hint="eastAsia"/>
              </w:rPr>
              <w:t>线缆线材</w:t>
            </w:r>
          </w:p>
        </w:tc>
        <w:tc>
          <w:tcPr>
            <w:tcW w:w="11882" w:type="dxa"/>
            <w:vAlign w:val="center"/>
          </w:tcPr>
          <w:p>
            <w:pPr>
              <w:pStyle w:val="49"/>
            </w:pPr>
            <w:r>
              <w:rPr>
                <w:rFonts w:hint="eastAsia"/>
              </w:rPr>
              <w:t>电源线、六类网线、PVC槽、电源插座、电源空开等。</w:t>
            </w:r>
          </w:p>
        </w:tc>
        <w:tc>
          <w:tcPr>
            <w:tcW w:w="512" w:type="dxa"/>
            <w:noWrap/>
            <w:vAlign w:val="center"/>
          </w:tcPr>
          <w:p>
            <w:pPr>
              <w:pStyle w:val="49"/>
            </w:pPr>
            <w:r>
              <w:rPr>
                <w:rFonts w:hint="eastAsia"/>
              </w:rPr>
              <w:t xml:space="preserve">1 </w:t>
            </w:r>
          </w:p>
        </w:tc>
        <w:tc>
          <w:tcPr>
            <w:tcW w:w="470"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704" w:type="dxa"/>
            <w:noWrap/>
            <w:vAlign w:val="center"/>
          </w:tcPr>
          <w:p>
            <w:pPr>
              <w:pStyle w:val="49"/>
            </w:pPr>
            <w:r>
              <w:rPr>
                <w:rFonts w:hint="eastAsia"/>
              </w:rPr>
              <w:t>7</w:t>
            </w:r>
          </w:p>
        </w:tc>
        <w:tc>
          <w:tcPr>
            <w:tcW w:w="992" w:type="dxa"/>
            <w:vAlign w:val="center"/>
          </w:tcPr>
          <w:p>
            <w:pPr>
              <w:pStyle w:val="49"/>
            </w:pPr>
            <w:r>
              <w:rPr>
                <w:rFonts w:hint="eastAsia"/>
              </w:rPr>
              <w:t>考务办桌</w:t>
            </w:r>
          </w:p>
        </w:tc>
        <w:tc>
          <w:tcPr>
            <w:tcW w:w="11882" w:type="dxa"/>
            <w:vAlign w:val="center"/>
          </w:tcPr>
          <w:p>
            <w:pPr>
              <w:pStyle w:val="49"/>
            </w:pPr>
            <w:r>
              <w:rPr>
                <w:rFonts w:hint="eastAsia"/>
              </w:rPr>
              <w:t>1. 主要规格： 台面打开尺寸： 总长为 1400mm;宽为 600mm;高度为 760mm；</w:t>
            </w:r>
            <w:r>
              <w:rPr>
                <w:rFonts w:hint="eastAsia"/>
              </w:rPr>
              <w:br w:type="textWrapping"/>
            </w:r>
            <w:r>
              <w:rPr>
                <w:rFonts w:hint="eastAsia"/>
              </w:rPr>
              <w:t xml:space="preserve">2. 台面常规为白色， 也可根据客户需求订制其它颜色； </w:t>
            </w:r>
            <w:r>
              <w:rPr>
                <w:rFonts w:hint="eastAsia"/>
              </w:rPr>
              <w:br w:type="textWrapping"/>
            </w:r>
            <w:r>
              <w:rPr>
                <w:rFonts w:hint="eastAsia"/>
              </w:rPr>
              <w:t>3. 台面板： 饰面采用优质三聚氰胺板， 长为 1400mm， 宽为 600mm，厚度 25mm， 面粘防火板， PU 胶边， 具防火、 耐磨、 防污、 牢固耐用。台面形状是长方形。</w:t>
            </w:r>
            <w:r>
              <w:rPr>
                <w:rFonts w:hint="eastAsia"/>
              </w:rPr>
              <w:br w:type="textWrapping"/>
            </w:r>
            <w:r>
              <w:rPr>
                <w:rFonts w:hint="eastAsia"/>
              </w:rPr>
              <w:t>4. 脚管： 前脚管采用 方型钢管， 后脚管采用方形钢管， 采用防锈静电喷涂处理。</w:t>
            </w:r>
            <w:r>
              <w:rPr>
                <w:rFonts w:hint="eastAsia"/>
              </w:rPr>
              <w:br w:type="textWrapping"/>
            </w:r>
            <w:r>
              <w:rPr>
                <w:rFonts w:hint="eastAsia"/>
              </w:rPr>
              <w:t>5. 连接件为一次性压铸铝件，重量轻，结实美观耐用。</w:t>
            </w:r>
            <w:r>
              <w:rPr>
                <w:rFonts w:hint="eastAsia"/>
              </w:rPr>
              <w:br w:type="textWrapping"/>
            </w:r>
            <w:r>
              <w:rPr>
                <w:rFonts w:hint="eastAsia"/>
              </w:rPr>
              <w:t>6. 桌面两侧配备折叠拉手，可自由腿部折叠，桌面折起便于集中存放，节省空间。</w:t>
            </w:r>
          </w:p>
        </w:tc>
        <w:tc>
          <w:tcPr>
            <w:tcW w:w="512" w:type="dxa"/>
            <w:noWrap/>
            <w:vAlign w:val="center"/>
          </w:tcPr>
          <w:p>
            <w:pPr>
              <w:pStyle w:val="49"/>
            </w:pPr>
            <w:r>
              <w:rPr>
                <w:rFonts w:hint="eastAsia"/>
              </w:rPr>
              <w:t xml:space="preserve">45 </w:t>
            </w:r>
          </w:p>
        </w:tc>
        <w:tc>
          <w:tcPr>
            <w:tcW w:w="470" w:type="dxa"/>
            <w:noWrap/>
            <w:vAlign w:val="center"/>
          </w:tcPr>
          <w:p>
            <w:pPr>
              <w:pStyle w:val="49"/>
            </w:pPr>
            <w:r>
              <w:rPr>
                <w:rFonts w:hint="eastAsia"/>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704" w:type="dxa"/>
            <w:noWrap/>
            <w:vAlign w:val="center"/>
          </w:tcPr>
          <w:p>
            <w:pPr>
              <w:pStyle w:val="49"/>
            </w:pPr>
            <w:r>
              <w:rPr>
                <w:rFonts w:hint="eastAsia"/>
              </w:rPr>
              <w:t>8</w:t>
            </w:r>
          </w:p>
        </w:tc>
        <w:tc>
          <w:tcPr>
            <w:tcW w:w="992" w:type="dxa"/>
            <w:vAlign w:val="center"/>
          </w:tcPr>
          <w:p>
            <w:pPr>
              <w:pStyle w:val="49"/>
            </w:pPr>
            <w:r>
              <w:rPr>
                <w:rFonts w:hint="eastAsia"/>
              </w:rPr>
              <w:t>考务办椅子</w:t>
            </w:r>
          </w:p>
        </w:tc>
        <w:tc>
          <w:tcPr>
            <w:tcW w:w="11882" w:type="dxa"/>
            <w:vAlign w:val="center"/>
          </w:tcPr>
          <w:p>
            <w:pPr>
              <w:pStyle w:val="49"/>
            </w:pPr>
            <w:r>
              <w:rPr>
                <w:rFonts w:hint="eastAsia"/>
              </w:rPr>
              <w:t>尺寸400*365mm,包边颜色均匀、平整、光滑。</w:t>
            </w:r>
            <w:r>
              <w:rPr>
                <w:rFonts w:hint="eastAsia"/>
              </w:rPr>
              <w:br w:type="textWrapping"/>
            </w:r>
            <w:r>
              <w:rPr>
                <w:rFonts w:hint="eastAsia"/>
              </w:rPr>
              <w:t>椅靠板：尺寸400*170mm,采用优质钢管。靠背上方为弧形边，包边颜色均匀、平整、光滑。"</w:t>
            </w:r>
            <w:r>
              <w:rPr>
                <w:rFonts w:hint="eastAsia"/>
              </w:rPr>
              <w:br w:type="textWrapping"/>
            </w:r>
            <w:r>
              <w:rPr>
                <w:rFonts w:hint="eastAsia"/>
              </w:rPr>
              <w:t>椅地脚采用：30*60*1.2mm优质钢管平焊。立柱采用：≥1.2mm优质钢管。均采用二氧化碳保护焊接，保证无稀焊、漏焊。</w:t>
            </w:r>
            <w:r>
              <w:rPr>
                <w:rFonts w:hint="eastAsia"/>
              </w:rPr>
              <w:br w:type="textWrapping"/>
            </w:r>
            <w:r>
              <w:rPr>
                <w:rFonts w:hint="eastAsia"/>
              </w:rPr>
              <w:t>脚套尺寸：采用全新进口环保PP工程塑料注塑成型。颜色为蓝色，抗压耐磨，采用自锁式结构，防滑防松。</w:t>
            </w:r>
          </w:p>
        </w:tc>
        <w:tc>
          <w:tcPr>
            <w:tcW w:w="512" w:type="dxa"/>
            <w:noWrap/>
            <w:vAlign w:val="center"/>
          </w:tcPr>
          <w:p>
            <w:pPr>
              <w:pStyle w:val="49"/>
            </w:pPr>
            <w:r>
              <w:rPr>
                <w:rFonts w:hint="eastAsia"/>
              </w:rPr>
              <w:t xml:space="preserve">90 </w:t>
            </w:r>
          </w:p>
        </w:tc>
        <w:tc>
          <w:tcPr>
            <w:tcW w:w="470" w:type="dxa"/>
            <w:noWrap/>
            <w:vAlign w:val="center"/>
          </w:tcPr>
          <w:p>
            <w:pPr>
              <w:pStyle w:val="49"/>
            </w:pPr>
            <w:r>
              <w:rPr>
                <w:rFonts w:hint="eastAsia"/>
              </w:rPr>
              <w:t>把</w:t>
            </w:r>
          </w:p>
        </w:tc>
      </w:tr>
    </w:tbl>
    <w:p>
      <w:pPr>
        <w:jc w:val="left"/>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1"/>
        <w:gridCol w:w="11937"/>
        <w:gridCol w:w="558"/>
        <w:gridCol w:w="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560" w:type="dxa"/>
            <w:gridSpan w:val="5"/>
            <w:noWrap/>
            <w:vAlign w:val="center"/>
          </w:tcPr>
          <w:p>
            <w:pPr>
              <w:pStyle w:val="49"/>
            </w:pPr>
            <w:r>
              <w:rPr>
                <w:rFonts w:hint="eastAsia"/>
                <w:b/>
                <w:bCs w:val="0"/>
              </w:rPr>
              <w:t>阎良一中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vAlign w:val="center"/>
          </w:tcPr>
          <w:p>
            <w:pPr>
              <w:pStyle w:val="49"/>
              <w:rPr>
                <w:b/>
                <w:bCs w:val="0"/>
              </w:rPr>
            </w:pPr>
            <w:r>
              <w:rPr>
                <w:rFonts w:hint="eastAsia"/>
                <w:b/>
                <w:bCs w:val="0"/>
              </w:rPr>
              <w:t>序号</w:t>
            </w:r>
          </w:p>
        </w:tc>
        <w:tc>
          <w:tcPr>
            <w:tcW w:w="851" w:type="dxa"/>
            <w:noWrap/>
            <w:vAlign w:val="center"/>
          </w:tcPr>
          <w:p>
            <w:pPr>
              <w:pStyle w:val="49"/>
              <w:rPr>
                <w:b/>
                <w:bCs w:val="0"/>
              </w:rPr>
            </w:pPr>
            <w:r>
              <w:rPr>
                <w:rFonts w:hint="eastAsia"/>
                <w:b/>
                <w:bCs w:val="0"/>
              </w:rPr>
              <w:t>设备名称</w:t>
            </w:r>
          </w:p>
        </w:tc>
        <w:tc>
          <w:tcPr>
            <w:tcW w:w="11937" w:type="dxa"/>
            <w:noWrap/>
            <w:vAlign w:val="center"/>
          </w:tcPr>
          <w:p>
            <w:pPr>
              <w:pStyle w:val="49"/>
              <w:rPr>
                <w:b/>
                <w:bCs w:val="0"/>
              </w:rPr>
            </w:pPr>
            <w:r>
              <w:rPr>
                <w:rFonts w:hint="eastAsia"/>
                <w:b/>
                <w:bCs w:val="0"/>
              </w:rPr>
              <w:t>技术参数</w:t>
            </w:r>
          </w:p>
        </w:tc>
        <w:tc>
          <w:tcPr>
            <w:tcW w:w="558" w:type="dxa"/>
            <w:noWrap/>
            <w:vAlign w:val="center"/>
          </w:tcPr>
          <w:p>
            <w:pPr>
              <w:pStyle w:val="49"/>
              <w:rPr>
                <w:b/>
                <w:bCs w:val="0"/>
              </w:rPr>
            </w:pPr>
            <w:r>
              <w:rPr>
                <w:rFonts w:hint="eastAsia"/>
                <w:b/>
                <w:bCs w:val="0"/>
              </w:rPr>
              <w:t>数量</w:t>
            </w:r>
          </w:p>
        </w:tc>
        <w:tc>
          <w:tcPr>
            <w:tcW w:w="510" w:type="dxa"/>
            <w:noWrap/>
            <w:vAlign w:val="center"/>
          </w:tcPr>
          <w:p>
            <w:pPr>
              <w:pStyle w:val="49"/>
              <w:rPr>
                <w:b/>
                <w:bCs w:val="0"/>
              </w:rPr>
            </w:pPr>
            <w:r>
              <w:rPr>
                <w:rFonts w:hint="eastAsia"/>
                <w:b/>
                <w:bCs w:val="0"/>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492" w:type="dxa"/>
            <w:gridSpan w:val="3"/>
            <w:noWrap/>
            <w:vAlign w:val="center"/>
          </w:tcPr>
          <w:p>
            <w:pPr>
              <w:pStyle w:val="49"/>
            </w:pPr>
            <w:r>
              <w:rPr>
                <w:rFonts w:hint="eastAsia"/>
                <w:b/>
                <w:bCs w:val="0"/>
              </w:rPr>
              <w:t>一、巡查系统</w:t>
            </w:r>
          </w:p>
        </w:tc>
        <w:tc>
          <w:tcPr>
            <w:tcW w:w="558" w:type="dxa"/>
            <w:noWrap/>
            <w:vAlign w:val="center"/>
          </w:tcPr>
          <w:p>
            <w:pPr>
              <w:pStyle w:val="49"/>
            </w:pPr>
            <w:r>
              <w:rPr>
                <w:rFonts w:hint="eastAsia"/>
              </w:rPr>
              <w:t>　</w:t>
            </w:r>
          </w:p>
        </w:tc>
        <w:tc>
          <w:tcPr>
            <w:tcW w:w="51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04" w:type="dxa"/>
            <w:noWrap/>
            <w:vAlign w:val="center"/>
          </w:tcPr>
          <w:p>
            <w:pPr>
              <w:pStyle w:val="49"/>
            </w:pPr>
            <w:r>
              <w:rPr>
                <w:rFonts w:hint="eastAsia"/>
              </w:rPr>
              <w:t>1</w:t>
            </w:r>
          </w:p>
        </w:tc>
        <w:tc>
          <w:tcPr>
            <w:tcW w:w="851" w:type="dxa"/>
            <w:vAlign w:val="center"/>
          </w:tcPr>
          <w:p>
            <w:pPr>
              <w:pStyle w:val="49"/>
            </w:pPr>
            <w:r>
              <w:rPr>
                <w:rFonts w:hint="eastAsia"/>
              </w:rPr>
              <w:t>管理计算机</w:t>
            </w:r>
          </w:p>
        </w:tc>
        <w:tc>
          <w:tcPr>
            <w:tcW w:w="11937" w:type="dxa"/>
            <w:vAlign w:val="center"/>
          </w:tcPr>
          <w:p>
            <w:pPr>
              <w:pStyle w:val="49"/>
            </w:pPr>
            <w:r>
              <w:rPr>
                <w:rFonts w:hint="eastAsia"/>
              </w:rPr>
              <w:t>性能不低于：I7-9700 8G DDRIII 2133MHz，128G固态硬盘，1TG SATA3 7200rpm， 2G独立显卡，23”显示器,USB鼠标键盘，win10</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04" w:type="dxa"/>
            <w:noWrap/>
            <w:vAlign w:val="center"/>
          </w:tcPr>
          <w:p>
            <w:pPr>
              <w:pStyle w:val="49"/>
            </w:pPr>
            <w:r>
              <w:rPr>
                <w:rFonts w:hint="eastAsia"/>
              </w:rPr>
              <w:t>2</w:t>
            </w:r>
          </w:p>
        </w:tc>
        <w:tc>
          <w:tcPr>
            <w:tcW w:w="851" w:type="dxa"/>
            <w:vAlign w:val="center"/>
          </w:tcPr>
          <w:p>
            <w:pPr>
              <w:pStyle w:val="49"/>
            </w:pPr>
            <w:r>
              <w:rPr>
                <w:rFonts w:hint="eastAsia"/>
              </w:rPr>
              <w:t>高清网络半球摄像机</w:t>
            </w:r>
          </w:p>
        </w:tc>
        <w:tc>
          <w:tcPr>
            <w:tcW w:w="11937" w:type="dxa"/>
            <w:vAlign w:val="center"/>
          </w:tcPr>
          <w:p>
            <w:pPr>
              <w:pStyle w:val="49"/>
            </w:pPr>
            <w:r>
              <w:rPr>
                <w:rFonts w:hint="eastAsia"/>
              </w:rPr>
              <w:t>1、≥400万半球型网络摄像机，采用1/2.7" CMOS传感器</w:t>
            </w:r>
            <w:r>
              <w:rPr>
                <w:rFonts w:hint="eastAsia"/>
              </w:rPr>
              <w:br w:type="textWrapping"/>
            </w:r>
            <w:r>
              <w:rPr>
                <w:rFonts w:hint="eastAsia"/>
              </w:rPr>
              <w:t>2、照度≤0.005Lux，0Lux with IR；</w:t>
            </w:r>
            <w:r>
              <w:rPr>
                <w:rFonts w:hint="eastAsia"/>
              </w:rPr>
              <w:br w:type="textWrapping"/>
            </w:r>
            <w:r>
              <w:rPr>
                <w:rFonts w:hint="eastAsia"/>
              </w:rPr>
              <w:t>3、采用2.7mm-12mm镜头, 水平视场角93°～35°；</w:t>
            </w:r>
            <w:r>
              <w:rPr>
                <w:rFonts w:hint="eastAsia"/>
              </w:rPr>
              <w:br w:type="textWrapping"/>
            </w:r>
            <w:r>
              <w:rPr>
                <w:rFonts w:hint="eastAsia"/>
              </w:rPr>
              <w:t>4、视频编码标准支持H.265、H.264、MJPEG编码格式，音频编码标准支持G.711/MP2L2/AAC，图像尺寸≥2560×1440；</w:t>
            </w:r>
            <w:r>
              <w:rPr>
                <w:rFonts w:hint="eastAsia"/>
              </w:rPr>
              <w:br w:type="textWrapping"/>
            </w:r>
            <w:r>
              <w:rPr>
                <w:rFonts w:hint="eastAsia"/>
              </w:rPr>
              <w:t>5、支持Micro SD/SDHC/SDXC卡(128G)本地存储；</w:t>
            </w:r>
            <w:r>
              <w:rPr>
                <w:rFonts w:hint="eastAsia"/>
              </w:rPr>
              <w:br w:type="textWrapping"/>
            </w:r>
            <w:r>
              <w:rPr>
                <w:rFonts w:hint="eastAsia"/>
              </w:rPr>
              <w:t>6、支持SIP、RTP、RTCP等网络协议，支持TS、PS流封装，支持标准SIP2.0协议；</w:t>
            </w:r>
            <w:r>
              <w:rPr>
                <w:rFonts w:hint="eastAsia"/>
              </w:rPr>
              <w:br w:type="textWrapping"/>
            </w:r>
            <w:r>
              <w:rPr>
                <w:rFonts w:hint="eastAsia"/>
              </w:rPr>
              <w:t>7、具有视频移动侦测能力，可根据设置策略实现相应的编码、传输、存储或视频报警；</w:t>
            </w:r>
            <w:r>
              <w:rPr>
                <w:rFonts w:hint="eastAsia"/>
              </w:rPr>
              <w:br w:type="textWrapping"/>
            </w:r>
            <w:r>
              <w:rPr>
                <w:rFonts w:hint="eastAsia"/>
              </w:rPr>
              <w:t>8、支持SIP的地址解析、信令转发，支持SIP URI统一命名规则、分级命名；</w:t>
            </w:r>
            <w:r>
              <w:rPr>
                <w:rFonts w:hint="eastAsia"/>
              </w:rPr>
              <w:br w:type="textWrapping"/>
            </w:r>
            <w:r>
              <w:rPr>
                <w:rFonts w:hint="eastAsia"/>
              </w:rPr>
              <w:t>9、支持UDP回放方式，支持UDP下载方式；</w:t>
            </w:r>
            <w:r>
              <w:rPr>
                <w:rFonts w:hint="eastAsia"/>
              </w:rPr>
              <w:br w:type="textWrapping"/>
            </w:r>
            <w:r>
              <w:rPr>
                <w:rFonts w:hint="eastAsia"/>
              </w:rPr>
              <w:t>10、支持时间同步功能，支持网络时间协议（NTP）；</w:t>
            </w:r>
            <w:r>
              <w:rPr>
                <w:rFonts w:hint="eastAsia"/>
              </w:rPr>
              <w:br w:type="textWrapping"/>
            </w:r>
            <w:r>
              <w:rPr>
                <w:rFonts w:hint="eastAsia"/>
              </w:rPr>
              <w:t>11、具有≥1个RJ45 10M/100M自适应以太网口、≥1对音频输入/输出接口、≥2对报警输入/输出接口；</w:t>
            </w:r>
            <w:r>
              <w:rPr>
                <w:rFonts w:hint="eastAsia"/>
              </w:rPr>
              <w:br w:type="textWrapping"/>
            </w:r>
            <w:r>
              <w:rPr>
                <w:rFonts w:hint="eastAsia"/>
              </w:rPr>
              <w:t>12、支持DC12V/PoE(802.3af)供电；</w:t>
            </w:r>
            <w:r>
              <w:rPr>
                <w:rFonts w:hint="eastAsia"/>
              </w:rPr>
              <w:br w:type="textWrapping"/>
            </w:r>
            <w:r>
              <w:rPr>
                <w:rFonts w:hint="eastAsia"/>
              </w:rPr>
              <w:t>13、红外照射距离≥30米；</w:t>
            </w:r>
            <w:r>
              <w:rPr>
                <w:rFonts w:hint="eastAsia"/>
              </w:rPr>
              <w:br w:type="textWrapping"/>
            </w:r>
            <w:r>
              <w:rPr>
                <w:rFonts w:hint="eastAsia"/>
              </w:rPr>
              <w:t>14、防护等级为IP67。</w:t>
            </w:r>
            <w:r>
              <w:rPr>
                <w:rFonts w:hint="eastAsia"/>
              </w:rPr>
              <w:br w:type="textWrapping"/>
            </w:r>
            <w:r>
              <w:rPr>
                <w:rFonts w:hint="eastAsia"/>
              </w:rPr>
              <w:t>15、符合标准：符合《公共安全视频监控联网系统信息传输、交换、控制技术要求》GB/T28181-2016。符合《国家教育考试网上巡查系统视频标准技术规范》JY/T-KS-JS-2017-1。</w:t>
            </w:r>
            <w:r>
              <w:rPr>
                <w:rFonts w:hint="eastAsia"/>
              </w:rPr>
              <w:br w:type="textWrapping"/>
            </w:r>
            <w:r>
              <w:rPr>
                <w:rFonts w:hint="eastAsia"/>
              </w:rPr>
              <w:t>16、包含支架和电源；</w:t>
            </w:r>
            <w:r>
              <w:rPr>
                <w:rFonts w:hint="eastAsia"/>
              </w:rPr>
              <w:br w:type="textWrapping"/>
            </w:r>
            <w:r>
              <w:rPr>
                <w:rFonts w:hint="eastAsia"/>
              </w:rPr>
              <w:t>17、提供产品来源渠道证明文件（包括但不限于销售协议、代理协议、原厂授权）加盖公章。</w:t>
            </w:r>
          </w:p>
        </w:tc>
        <w:tc>
          <w:tcPr>
            <w:tcW w:w="558" w:type="dxa"/>
            <w:noWrap/>
            <w:vAlign w:val="center"/>
          </w:tcPr>
          <w:p>
            <w:pPr>
              <w:pStyle w:val="49"/>
            </w:pPr>
            <w:r>
              <w:rPr>
                <w:rFonts w:hint="eastAsia"/>
              </w:rPr>
              <w:t>27</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vAlign w:val="center"/>
          </w:tcPr>
          <w:p>
            <w:pPr>
              <w:pStyle w:val="49"/>
            </w:pPr>
            <w:r>
              <w:rPr>
                <w:rFonts w:hint="eastAsia"/>
              </w:rPr>
              <w:t>3</w:t>
            </w:r>
          </w:p>
        </w:tc>
        <w:tc>
          <w:tcPr>
            <w:tcW w:w="851" w:type="dxa"/>
            <w:vAlign w:val="center"/>
          </w:tcPr>
          <w:p>
            <w:pPr>
              <w:pStyle w:val="49"/>
            </w:pPr>
            <w:r>
              <w:rPr>
                <w:rFonts w:hint="eastAsia"/>
              </w:rPr>
              <w:t>拾音器</w:t>
            </w:r>
          </w:p>
        </w:tc>
        <w:tc>
          <w:tcPr>
            <w:tcW w:w="11937" w:type="dxa"/>
            <w:vAlign w:val="center"/>
          </w:tcPr>
          <w:p>
            <w:pPr>
              <w:pStyle w:val="49"/>
            </w:pPr>
            <w:r>
              <w:rPr>
                <w:rFonts w:hint="eastAsia"/>
              </w:rPr>
              <w:t>监听面积：50平方米-100平方米；音频传输距离: 3000米 ；适配器：内置前置放大电路，不需要适配器；频率响应：20Hz ～ 20kHz； 连接方式：3条引线 (电源,音频,公共地)；灵敏度：-32dB；传输线缆：3芯0.5mm2 RVVP电缆；信噪比 ；80dB ( 1米40 dB音源) 30dB (10米40 dB音源) 1KHz at 1 Pa；指向特性；全指向性 动态范围：104dB (1KHz at Max dB SPL)；环境温度： -25℃ ～ 75℃；最大承受音压： 120dB SPL (1KHz,THD 1%)；输出阻抗；600欧姆非平衡；输出信号幅度 ：2.5Vpp/-25db。</w:t>
            </w:r>
          </w:p>
        </w:tc>
        <w:tc>
          <w:tcPr>
            <w:tcW w:w="558" w:type="dxa"/>
            <w:noWrap/>
            <w:vAlign w:val="center"/>
          </w:tcPr>
          <w:p>
            <w:pPr>
              <w:pStyle w:val="49"/>
            </w:pPr>
            <w:r>
              <w:rPr>
                <w:rFonts w:hint="eastAsia"/>
              </w:rPr>
              <w:t>27</w:t>
            </w:r>
          </w:p>
        </w:tc>
        <w:tc>
          <w:tcPr>
            <w:tcW w:w="510" w:type="dxa"/>
            <w:noWrap/>
            <w:vAlign w:val="center"/>
          </w:tcPr>
          <w:p>
            <w:pPr>
              <w:pStyle w:val="49"/>
            </w:pPr>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vAlign w:val="center"/>
          </w:tcPr>
          <w:p>
            <w:pPr>
              <w:pStyle w:val="49"/>
            </w:pPr>
            <w:r>
              <w:rPr>
                <w:rFonts w:hint="eastAsia"/>
              </w:rPr>
              <w:t>4</w:t>
            </w:r>
          </w:p>
        </w:tc>
        <w:tc>
          <w:tcPr>
            <w:tcW w:w="851" w:type="dxa"/>
            <w:vAlign w:val="center"/>
          </w:tcPr>
          <w:p>
            <w:pPr>
              <w:pStyle w:val="49"/>
            </w:pPr>
            <w:r>
              <w:rPr>
                <w:rFonts w:hint="eastAsia"/>
              </w:rPr>
              <w:t>筒型网络摄像机</w:t>
            </w:r>
          </w:p>
        </w:tc>
        <w:tc>
          <w:tcPr>
            <w:tcW w:w="11937" w:type="dxa"/>
            <w:vAlign w:val="center"/>
          </w:tcPr>
          <w:p>
            <w:pPr>
              <w:pStyle w:val="49"/>
            </w:pPr>
            <w:r>
              <w:rPr>
                <w:rFonts w:hint="eastAsia"/>
              </w:rPr>
              <w:t>≥400万筒型摄像机，采用1/2.7" CMOS传感器；最小照度最小照度≤0.005Lux，0Lux with IR；采用2.7mm-12mm镜头, 水平视场角93°～35°，视频编码标准支持H.265/H.264，音频编码标准支持G.711/MP2L2/AAC，图像尺寸≥2560×1440；支持Micro SD/SDHC/SDXC卡(≥128G)本地存储；具有≥1个RJ45 10M/100M自适应以太网口、1对音频输入/输出接口、2对报警输入/输出接口；支持DC12V/PoE(802.3af)供电；红外照射距离≥30米；防护等级为IP67。符合标准：符合《公共安全视频监控联网系统信息传输、交换、控制技术要求》GB/T28181-2016。符合《国家教育考试网上巡查系统视频标准技术规范》JY/T-KS-JS-2017-1。</w:t>
            </w:r>
          </w:p>
        </w:tc>
        <w:tc>
          <w:tcPr>
            <w:tcW w:w="558" w:type="dxa"/>
            <w:noWrap/>
            <w:vAlign w:val="center"/>
          </w:tcPr>
          <w:p>
            <w:pPr>
              <w:pStyle w:val="49"/>
              <w:jc w:val="center"/>
            </w:pPr>
            <w:r>
              <w:t>9</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4" w:type="dxa"/>
            <w:noWrap/>
            <w:vAlign w:val="center"/>
          </w:tcPr>
          <w:p>
            <w:pPr>
              <w:pStyle w:val="49"/>
            </w:pPr>
            <w:r>
              <w:rPr>
                <w:rFonts w:hint="eastAsia"/>
              </w:rPr>
              <w:t>5</w:t>
            </w:r>
          </w:p>
        </w:tc>
        <w:tc>
          <w:tcPr>
            <w:tcW w:w="851" w:type="dxa"/>
            <w:vAlign w:val="center"/>
          </w:tcPr>
          <w:p>
            <w:pPr>
              <w:pStyle w:val="49"/>
            </w:pPr>
            <w:r>
              <w:rPr>
                <w:rFonts w:hint="eastAsia"/>
              </w:rPr>
              <w:t>高清网络球型摄像机</w:t>
            </w:r>
          </w:p>
        </w:tc>
        <w:tc>
          <w:tcPr>
            <w:tcW w:w="11937" w:type="dxa"/>
            <w:vAlign w:val="center"/>
          </w:tcPr>
          <w:p>
            <w:pPr>
              <w:pStyle w:val="49"/>
            </w:pPr>
            <w:r>
              <w:rPr>
                <w:rFonts w:hint="eastAsia"/>
              </w:rPr>
              <w:t>1、≥400万7寸红外网络高清智能球机，采用1/2.5" CMOS传感器，最小照度≤0.005Lux，0Lux with IR；</w:t>
            </w:r>
          </w:p>
          <w:p>
            <w:pPr>
              <w:pStyle w:val="49"/>
            </w:pPr>
            <w:r>
              <w:rPr>
                <w:rFonts w:hint="eastAsia"/>
              </w:rPr>
              <w:t>2、采用4.8mm-110mm镜头, ≥ 23倍光学变倍、≥16倍数字变倍；</w:t>
            </w:r>
          </w:p>
          <w:p>
            <w:pPr>
              <w:pStyle w:val="49"/>
            </w:pPr>
            <w:r>
              <w:rPr>
                <w:rFonts w:hint="eastAsia"/>
              </w:rPr>
              <w:t>3、视频编码标准支持H.265/H.264，音频编码标准支持G.711/MP2L2/AAC等，≥2560×1440；</w:t>
            </w:r>
          </w:p>
          <w:p>
            <w:pPr>
              <w:pStyle w:val="49"/>
            </w:pPr>
            <w:r>
              <w:rPr>
                <w:rFonts w:hint="eastAsia"/>
              </w:rPr>
              <w:t>4、最高输出帧率为30fps、输出分辨率支持2560×1440/1920×1080/1280×960/1280×720；</w:t>
            </w:r>
          </w:p>
          <w:p>
            <w:pPr>
              <w:pStyle w:val="49"/>
            </w:pPr>
            <w:r>
              <w:rPr>
                <w:rFonts w:hint="eastAsia"/>
              </w:rPr>
              <w:t>5、支持Micro SD/SDHC/SDXC卡(≥256G)本地存储；</w:t>
            </w:r>
          </w:p>
          <w:p>
            <w:pPr>
              <w:pStyle w:val="49"/>
            </w:pPr>
            <w:r>
              <w:rPr>
                <w:rFonts w:hint="eastAsia"/>
              </w:rPr>
              <w:t>6、具有智能报警功能，支持越界侦测、区域入侵侦测、音频异常侦测和移动侦测等报警类型；</w:t>
            </w:r>
          </w:p>
          <w:p>
            <w:pPr>
              <w:pStyle w:val="49"/>
            </w:pPr>
            <w:r>
              <w:rPr>
                <w:rFonts w:hint="eastAsia"/>
              </w:rPr>
              <w:t>7、支持宽动态、透雾、强光抑制、3D定位和电子防抖；</w:t>
            </w:r>
          </w:p>
          <w:p>
            <w:pPr>
              <w:pStyle w:val="49"/>
            </w:pPr>
            <w:r>
              <w:rPr>
                <w:rFonts w:hint="eastAsia"/>
              </w:rPr>
              <w:t>8、水平及垂直：水平范围360°，垂直范围-15°～90°，水平转速：0.1°～160°/s，速度可设，水平预置点速度：240°/s，垂直速度：垂直转速：0.1°～120°/s，速度可设，垂直预置点速度：200°/s；</w:t>
            </w:r>
          </w:p>
          <w:p>
            <w:pPr>
              <w:pStyle w:val="49"/>
            </w:pPr>
            <w:r>
              <w:rPr>
                <w:rFonts w:hint="eastAsia"/>
              </w:rPr>
              <w:t>9、支持≥300个预置点；</w:t>
            </w:r>
          </w:p>
          <w:p>
            <w:pPr>
              <w:pStyle w:val="49"/>
            </w:pPr>
            <w:r>
              <w:rPr>
                <w:rFonts w:hint="eastAsia"/>
              </w:rPr>
              <w:t>10、≥8条巡航扫描，每条可设置≥32个预置点，支持断电记忆；</w:t>
            </w:r>
          </w:p>
          <w:p>
            <w:pPr>
              <w:pStyle w:val="49"/>
            </w:pPr>
            <w:r>
              <w:rPr>
                <w:rFonts w:hint="eastAsia"/>
              </w:rPr>
              <w:t>11、支持标准SIP2.0，支持统一SIP URI统一命名规则、分级命名；</w:t>
            </w:r>
          </w:p>
          <w:p>
            <w:pPr>
              <w:pStyle w:val="49"/>
            </w:pPr>
            <w:r>
              <w:rPr>
                <w:rFonts w:hint="eastAsia"/>
              </w:rPr>
              <w:t xml:space="preserve">12、具有≥1个RJ45 10M/100M自适应以太网口、≥1对音频输入/输出接口、≥1对报警输入/输出接口； </w:t>
            </w:r>
          </w:p>
          <w:p>
            <w:pPr>
              <w:pStyle w:val="49"/>
            </w:pPr>
            <w:r>
              <w:rPr>
                <w:rFonts w:hint="eastAsia"/>
              </w:rPr>
              <w:t>13、红外照射距离≥150米；</w:t>
            </w:r>
          </w:p>
          <w:p>
            <w:pPr>
              <w:pStyle w:val="49"/>
            </w:pPr>
            <w:r>
              <w:rPr>
                <w:rFonts w:hint="eastAsia"/>
              </w:rPr>
              <w:t>14、防护等级：IP66，TVS 4000V 防雷、防浪涌、防突波，符合GB/T17626.5 四级标准；</w:t>
            </w:r>
          </w:p>
          <w:p>
            <w:pPr>
              <w:pStyle w:val="49"/>
            </w:pPr>
            <w:r>
              <w:rPr>
                <w:rFonts w:hint="eastAsia"/>
              </w:rPr>
              <w:t>15、符合标准：符合《国家教育考试网上巡查系统视频标准技术规范》JY/T-KS-JS-2017-1。</w:t>
            </w:r>
          </w:p>
        </w:tc>
        <w:tc>
          <w:tcPr>
            <w:tcW w:w="558" w:type="dxa"/>
            <w:noWrap/>
            <w:vAlign w:val="center"/>
          </w:tcPr>
          <w:p>
            <w:pPr>
              <w:pStyle w:val="49"/>
              <w:jc w:val="center"/>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vAlign w:val="center"/>
          </w:tcPr>
          <w:p>
            <w:pPr>
              <w:pStyle w:val="49"/>
            </w:pPr>
            <w:r>
              <w:rPr>
                <w:rFonts w:hint="eastAsia"/>
              </w:rPr>
              <w:t>6</w:t>
            </w:r>
          </w:p>
        </w:tc>
        <w:tc>
          <w:tcPr>
            <w:tcW w:w="851" w:type="dxa"/>
            <w:vAlign w:val="center"/>
          </w:tcPr>
          <w:p>
            <w:pPr>
              <w:pStyle w:val="49"/>
            </w:pPr>
            <w:r>
              <w:rPr>
                <w:rFonts w:hint="eastAsia"/>
              </w:rPr>
              <w:t>SIP网关及媒体转发服务器</w:t>
            </w:r>
          </w:p>
        </w:tc>
        <w:tc>
          <w:tcPr>
            <w:tcW w:w="11937" w:type="dxa"/>
            <w:vAlign w:val="center"/>
          </w:tcPr>
          <w:p>
            <w:pPr>
              <w:pStyle w:val="49"/>
            </w:pPr>
            <w:r>
              <w:rPr>
                <w:rFonts w:hint="eastAsia"/>
              </w:rPr>
              <w:t>1、SIP网关为嵌入式，内置linux操作系统；本身具有抗病毒和抗攻击能力，避免遭受病毒攻击，确保服务器能够长期稳定运行。具有点播、录像等功能。</w:t>
            </w:r>
          </w:p>
          <w:p>
            <w:pPr>
              <w:pStyle w:val="49"/>
            </w:pPr>
            <w:r>
              <w:rPr>
                <w:rFonts w:hint="eastAsia"/>
              </w:rPr>
              <w:t>2、能实现《国家教育考试网上巡查系统视频标准技术规范》JY/T-KS-JS-2017-1中规定的SIP协议与其它协议相互转换；（提供满足参数的证明材料，不限于检测报告、彩页官网截图等）</w:t>
            </w:r>
          </w:p>
          <w:p>
            <w:pPr>
              <w:pStyle w:val="49"/>
            </w:pPr>
            <w:r>
              <w:rPr>
                <w:rFonts w:hint="eastAsia"/>
              </w:rPr>
              <w:t>3、支持标准SIP2.0；支持SIP地址解析、信令转发；</w:t>
            </w:r>
          </w:p>
          <w:p>
            <w:pPr>
              <w:pStyle w:val="49"/>
            </w:pPr>
            <w:r>
              <w:rPr>
                <w:rFonts w:hint="eastAsia"/>
              </w:rPr>
              <w:t>4、支持H.264、H.265、MPEG4视频编码格式；支持ACC、G.711、MPEG Layer2音频编码格式；</w:t>
            </w:r>
          </w:p>
          <w:p>
            <w:pPr>
              <w:pStyle w:val="49"/>
            </w:pPr>
            <w:r>
              <w:rPr>
                <w:rFonts w:hint="eastAsia"/>
              </w:rPr>
              <w:t>5、支持IP、UDP、RTP、RTCP、SIP等网络协议；</w:t>
            </w:r>
          </w:p>
          <w:p>
            <w:pPr>
              <w:pStyle w:val="49"/>
            </w:pPr>
            <w:r>
              <w:rPr>
                <w:rFonts w:hint="eastAsia"/>
              </w:rPr>
              <w:t>6、单台设备可提供≥64路1920x1080媒体流的分发功能；</w:t>
            </w:r>
          </w:p>
          <w:p>
            <w:pPr>
              <w:pStyle w:val="49"/>
            </w:pPr>
            <w:r>
              <w:rPr>
                <w:rFonts w:hint="eastAsia"/>
              </w:rPr>
              <w:t>7、具有音、视频转发和路由控制功能，流媒体的NAT穿越功能；</w:t>
            </w:r>
          </w:p>
          <w:p>
            <w:pPr>
              <w:pStyle w:val="49"/>
            </w:pPr>
            <w:r>
              <w:rPr>
                <w:rFonts w:hint="eastAsia"/>
              </w:rPr>
              <w:t>8、支持时间同步功能支持网络时间协议（NTP）；</w:t>
            </w:r>
          </w:p>
          <w:p>
            <w:pPr>
              <w:pStyle w:val="49"/>
            </w:pPr>
            <w:r>
              <w:rPr>
                <w:rFonts w:hint="eastAsia"/>
              </w:rPr>
              <w:t>9、设备支持考试计划管理、支持考务人员编排功能，支持物理考场和逻辑考场对应功能，支持摄像机物理与考场逻辑位置对应，系统支持通过查看实时视频，查看该视频涉及考场的考试人员信息；</w:t>
            </w:r>
          </w:p>
          <w:p>
            <w:pPr>
              <w:pStyle w:val="49"/>
            </w:pPr>
            <w:r>
              <w:rPr>
                <w:rFonts w:hint="eastAsia"/>
              </w:rPr>
              <w:t>10、具有≥2个10M/100M/1000M自适应以太网接口；</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0" w:hRule="atLeast"/>
        </w:trPr>
        <w:tc>
          <w:tcPr>
            <w:tcW w:w="704" w:type="dxa"/>
            <w:noWrap/>
            <w:vAlign w:val="center"/>
          </w:tcPr>
          <w:p>
            <w:pPr>
              <w:pStyle w:val="49"/>
            </w:pPr>
            <w:r>
              <w:rPr>
                <w:rFonts w:hint="eastAsia"/>
              </w:rPr>
              <w:t>7</w:t>
            </w:r>
          </w:p>
        </w:tc>
        <w:tc>
          <w:tcPr>
            <w:tcW w:w="851" w:type="dxa"/>
            <w:vAlign w:val="center"/>
          </w:tcPr>
          <w:p>
            <w:pPr>
              <w:pStyle w:val="49"/>
            </w:pPr>
            <w:r>
              <w:rPr>
                <w:rFonts w:hint="eastAsia"/>
              </w:rPr>
              <w:t>网上巡查系统软件</w:t>
            </w:r>
          </w:p>
        </w:tc>
        <w:tc>
          <w:tcPr>
            <w:tcW w:w="11937" w:type="dxa"/>
            <w:vAlign w:val="center"/>
          </w:tcPr>
          <w:p>
            <w:pPr>
              <w:pStyle w:val="49"/>
            </w:pPr>
            <w:r>
              <w:rPr>
                <w:rFonts w:hint="eastAsia"/>
              </w:rPr>
              <w:t xml:space="preserve">1.软件界面明显位置具有帮助按钮，当用户需要时能提供文档说明，功能界面具有导航栏。 </w:t>
            </w:r>
            <w:r>
              <w:rPr>
                <w:rFonts w:hint="eastAsia"/>
              </w:rPr>
              <w:br w:type="textWrapping"/>
            </w:r>
            <w:r>
              <w:rPr>
                <w:rFonts w:hint="eastAsia"/>
              </w:rPr>
              <w:t xml:space="preserve">2.软件平台支持多用户使用，用户登录时经过账号和密码的相关性、安全性验证，防止非法操作。 </w:t>
            </w:r>
            <w:r>
              <w:rPr>
                <w:rFonts w:hint="eastAsia"/>
              </w:rPr>
              <w:br w:type="textWrapping"/>
            </w:r>
            <w:r>
              <w:rPr>
                <w:rFonts w:hint="eastAsia"/>
              </w:rPr>
              <w:t xml:space="preserve">3.软件平台具有较高的安全性，具有加密锁防护，防止软件被非法复制挪用，在加密锁失效或丢失的情况下，软件支持激活码激活。 </w:t>
            </w:r>
            <w:r>
              <w:rPr>
                <w:rFonts w:hint="eastAsia"/>
              </w:rPr>
              <w:br w:type="textWrapping"/>
            </w:r>
            <w:r>
              <w:rPr>
                <w:rFonts w:hint="eastAsia"/>
              </w:rPr>
              <w:t>4.视频预览界面具有导航列表和视频显示窗口，导航列可收缩折叠。</w:t>
            </w:r>
            <w:r>
              <w:rPr>
                <w:rFonts w:hint="eastAsia"/>
              </w:rPr>
              <w:br w:type="textWrapping"/>
            </w:r>
            <w:r>
              <w:rPr>
                <w:rFonts w:hint="eastAsia"/>
              </w:rPr>
              <w:t xml:space="preserve">5.视频预览窗口支持1、4、9、1+5等多画面预览。 </w:t>
            </w:r>
            <w:r>
              <w:rPr>
                <w:rFonts w:hint="eastAsia"/>
              </w:rPr>
              <w:br w:type="textWrapping"/>
            </w:r>
            <w:r>
              <w:rPr>
                <w:rFonts w:hint="eastAsia"/>
              </w:rPr>
              <w:t>6.在视频图像预览时支持抓图、录像、开启或关闭声音以及云台控制等操作。</w:t>
            </w:r>
            <w:r>
              <w:rPr>
                <w:rFonts w:hint="eastAsia"/>
              </w:rPr>
              <w:br w:type="textWrapping"/>
            </w:r>
            <w:r>
              <w:rPr>
                <w:rFonts w:hint="eastAsia"/>
              </w:rPr>
              <w:t xml:space="preserve">7.具有巡查列表提交功能，上传列表可选，可将考务规定的巡查编码设备通道列表上传，考务规定以外的列表可实现不上传但是能本地查看。 </w:t>
            </w:r>
            <w:r>
              <w:rPr>
                <w:rFonts w:hint="eastAsia"/>
              </w:rPr>
              <w:br w:type="textWrapping"/>
            </w:r>
            <w:r>
              <w:rPr>
                <w:rFonts w:hint="eastAsia"/>
              </w:rPr>
              <w:t>8.视频巡查实现分组巡查：支持考场，走廊，保密室独立创建分组进行巡查。</w:t>
            </w:r>
            <w:r>
              <w:rPr>
                <w:rFonts w:hint="eastAsia"/>
              </w:rPr>
              <w:br w:type="textWrapping"/>
            </w:r>
            <w:r>
              <w:rPr>
                <w:rFonts w:hint="eastAsia"/>
              </w:rPr>
              <w:t>9.支持按设备名称、区域节点名称检索设备树列表，支持考试任务接收，上传列表符合性校验，支持自定义设备树，可根据考试任务需求选择性创建设备树列表。</w:t>
            </w:r>
            <w:r>
              <w:rPr>
                <w:rFonts w:hint="eastAsia"/>
              </w:rPr>
              <w:br w:type="textWrapping"/>
            </w:r>
            <w:r>
              <w:rPr>
                <w:rFonts w:hint="eastAsia"/>
              </w:rPr>
              <w:t xml:space="preserve">10.支持对存储设备远程管理，实现存储控制、录像策略制定等功能。 </w:t>
            </w:r>
            <w:r>
              <w:rPr>
                <w:rFonts w:hint="eastAsia"/>
              </w:rPr>
              <w:br w:type="textWrapping"/>
            </w:r>
            <w:r>
              <w:rPr>
                <w:rFonts w:hint="eastAsia"/>
              </w:rPr>
              <w:t xml:space="preserve">11.支持对多台电视墙解码设备远程集中管理，实现远程解码上墙的内容控制、显示模式、轮巡切换、主辅码流等设置功能。 </w:t>
            </w:r>
            <w:r>
              <w:rPr>
                <w:rFonts w:hint="eastAsia"/>
              </w:rPr>
              <w:br w:type="textWrapping"/>
            </w:r>
            <w:r>
              <w:rPr>
                <w:rFonts w:hint="eastAsia"/>
              </w:rPr>
              <w:t xml:space="preserve">12.软件具有对所有网络摄像机、存储服务器、网络数字矩阵画面分割器、SIP服务器远程管理设置、视频预览、OSD设置、校时、设备列表树管理、列表上传、录像文件检索、下载、回放等功能。 </w:t>
            </w:r>
            <w:r>
              <w:rPr>
                <w:rFonts w:hint="eastAsia"/>
              </w:rPr>
              <w:br w:type="textWrapping"/>
            </w:r>
            <w:r>
              <w:rPr>
                <w:rFonts w:hint="eastAsia"/>
              </w:rPr>
              <w:t>13.功能设计符合《国家教育考试网上巡查系统视频标准技术规范》JY/T-KS-JS-2017-1。</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4" w:hRule="atLeast"/>
        </w:trPr>
        <w:tc>
          <w:tcPr>
            <w:tcW w:w="704" w:type="dxa"/>
            <w:noWrap/>
            <w:vAlign w:val="center"/>
          </w:tcPr>
          <w:p>
            <w:pPr>
              <w:pStyle w:val="49"/>
            </w:pPr>
            <w:r>
              <w:rPr>
                <w:rFonts w:hint="eastAsia"/>
              </w:rPr>
              <w:t>8</w:t>
            </w:r>
          </w:p>
        </w:tc>
        <w:tc>
          <w:tcPr>
            <w:tcW w:w="851" w:type="dxa"/>
            <w:vAlign w:val="center"/>
          </w:tcPr>
          <w:p>
            <w:pPr>
              <w:pStyle w:val="49"/>
            </w:pPr>
            <w:r>
              <w:rPr>
                <w:rFonts w:hint="eastAsia"/>
              </w:rPr>
              <w:t>网络硬盘录像机</w:t>
            </w:r>
          </w:p>
        </w:tc>
        <w:tc>
          <w:tcPr>
            <w:tcW w:w="11937" w:type="dxa"/>
            <w:vAlign w:val="center"/>
          </w:tcPr>
          <w:p>
            <w:pPr>
              <w:pStyle w:val="49"/>
            </w:pPr>
            <w:r>
              <w:rPr>
                <w:rFonts w:hint="eastAsia"/>
              </w:rPr>
              <w:t>1、网络视频输入≥64路；</w:t>
            </w:r>
            <w:r>
              <w:rPr>
                <w:rFonts w:hint="eastAsia"/>
              </w:rPr>
              <w:br w:type="textWrapping"/>
            </w:r>
            <w:r>
              <w:rPr>
                <w:rFonts w:hint="eastAsia"/>
              </w:rPr>
              <w:t>2、具有录像回放及检索等功能；</w:t>
            </w:r>
            <w:r>
              <w:rPr>
                <w:rFonts w:hint="eastAsia"/>
              </w:rPr>
              <w:br w:type="textWrapping"/>
            </w:r>
            <w:r>
              <w:rPr>
                <w:rFonts w:hint="eastAsia"/>
              </w:rPr>
              <w:t>3、具有VGA输出：≥2路、HDMI输出：≥2路，RJ45≥2路，SATA接口≥8路，eSATA接口≥1路；</w:t>
            </w:r>
            <w:r>
              <w:rPr>
                <w:rFonts w:hint="eastAsia"/>
              </w:rPr>
              <w:br w:type="textWrapping"/>
            </w:r>
            <w:r>
              <w:rPr>
                <w:rFonts w:hint="eastAsia"/>
              </w:rPr>
              <w:t>4、预览分割：1/4/6/8/9/16/25/32/64画面；</w:t>
            </w:r>
            <w:r>
              <w:rPr>
                <w:rFonts w:hint="eastAsia"/>
              </w:rPr>
              <w:br w:type="textWrapping"/>
            </w:r>
            <w:r>
              <w:rPr>
                <w:rFonts w:hint="eastAsia"/>
              </w:rPr>
              <w:t>5、视频编码格式支持H.264、H.265、MPEG4编码格式，音频编码支持ACC、G.711、MPEG Layer2音频编码格式；</w:t>
            </w:r>
            <w:r>
              <w:rPr>
                <w:rFonts w:hint="eastAsia"/>
              </w:rPr>
              <w:br w:type="textWrapping"/>
            </w:r>
            <w:r>
              <w:rPr>
                <w:rFonts w:hint="eastAsia"/>
              </w:rPr>
              <w:t>6、支持TS、PS流封装格式，支持标准SIP2.0、支持SIP地址解析、信令转发、支持SIP URI 统一命名规则、分级命名；</w:t>
            </w:r>
            <w:r>
              <w:rPr>
                <w:rFonts w:hint="eastAsia"/>
              </w:rPr>
              <w:br w:type="textWrapping"/>
            </w:r>
            <w:r>
              <w:rPr>
                <w:rFonts w:hint="eastAsia"/>
              </w:rPr>
              <w:t>7、支持TCP/IP、DHCP、SIP、RTCP、PPOE等网络协议；</w:t>
            </w:r>
            <w:r>
              <w:rPr>
                <w:rFonts w:hint="eastAsia"/>
              </w:rPr>
              <w:br w:type="textWrapping"/>
            </w:r>
            <w:r>
              <w:rPr>
                <w:rFonts w:hint="eastAsia"/>
              </w:rPr>
              <w:t>8、具有数字时钟显示（OSD）功能，支持时间同步功能，支持网络时间协议（NTP）；</w:t>
            </w:r>
            <w:r>
              <w:rPr>
                <w:rFonts w:hint="eastAsia"/>
              </w:rPr>
              <w:br w:type="textWrapping"/>
            </w:r>
            <w:r>
              <w:rPr>
                <w:rFonts w:hint="eastAsia"/>
              </w:rPr>
              <w:t>9、支持硬盘配额和硬盘盘组两种存储模式，可对不同通道分配不同的录像保存容量，单块硬盘≥10TB；</w:t>
            </w:r>
            <w:r>
              <w:rPr>
                <w:rFonts w:hint="eastAsia"/>
              </w:rPr>
              <w:br w:type="textWrapping"/>
            </w:r>
            <w:r>
              <w:rPr>
                <w:rFonts w:hint="eastAsia"/>
              </w:rPr>
              <w:t>10、支持RAIDO、1、5、10；</w:t>
            </w:r>
            <w:r>
              <w:rPr>
                <w:rFonts w:hint="eastAsia"/>
              </w:rPr>
              <w:br w:type="textWrapping"/>
            </w:r>
            <w:r>
              <w:rPr>
                <w:rFonts w:hint="eastAsia"/>
              </w:rPr>
              <w:t>11、提供产品来源渠道证明文件（包括但不限于销售协议、代理协议、原厂授权）加盖公章。</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9</w:t>
            </w:r>
          </w:p>
        </w:tc>
        <w:tc>
          <w:tcPr>
            <w:tcW w:w="851" w:type="dxa"/>
            <w:vAlign w:val="center"/>
          </w:tcPr>
          <w:p>
            <w:pPr>
              <w:pStyle w:val="49"/>
            </w:pPr>
            <w:r>
              <w:rPr>
                <w:rFonts w:hint="eastAsia"/>
              </w:rPr>
              <w:t>企业级硬盘</w:t>
            </w:r>
          </w:p>
        </w:tc>
        <w:tc>
          <w:tcPr>
            <w:tcW w:w="11937" w:type="dxa"/>
            <w:vAlign w:val="center"/>
          </w:tcPr>
          <w:p>
            <w:pPr>
              <w:pStyle w:val="49"/>
            </w:pPr>
            <w:r>
              <w:rPr>
                <w:rFonts w:hint="eastAsia"/>
              </w:rPr>
              <w:t>≥4T，7200转</w:t>
            </w:r>
          </w:p>
        </w:tc>
        <w:tc>
          <w:tcPr>
            <w:tcW w:w="558" w:type="dxa"/>
            <w:noWrap/>
            <w:vAlign w:val="center"/>
          </w:tcPr>
          <w:p>
            <w:pPr>
              <w:pStyle w:val="49"/>
            </w:pPr>
            <w:r>
              <w:rPr>
                <w:rFonts w:hint="eastAsia"/>
              </w:rPr>
              <w:t>8</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10</w:t>
            </w:r>
          </w:p>
        </w:tc>
        <w:tc>
          <w:tcPr>
            <w:tcW w:w="851" w:type="dxa"/>
            <w:vAlign w:val="center"/>
          </w:tcPr>
          <w:p>
            <w:pPr>
              <w:pStyle w:val="49"/>
            </w:pPr>
            <w:r>
              <w:rPr>
                <w:rFonts w:hint="eastAsia"/>
              </w:rPr>
              <w:t>显示器</w:t>
            </w:r>
          </w:p>
        </w:tc>
        <w:tc>
          <w:tcPr>
            <w:tcW w:w="11937" w:type="dxa"/>
            <w:vAlign w:val="center"/>
          </w:tcPr>
          <w:p>
            <w:pPr>
              <w:pStyle w:val="49"/>
            </w:pPr>
            <w:r>
              <w:rPr>
                <w:rFonts w:hint="eastAsia"/>
              </w:rPr>
              <w:t>≥23寸显示器，支持HDMI或DVI输入</w:t>
            </w:r>
          </w:p>
        </w:tc>
        <w:tc>
          <w:tcPr>
            <w:tcW w:w="558" w:type="dxa"/>
            <w:noWrap/>
            <w:vAlign w:val="center"/>
          </w:tcPr>
          <w:p>
            <w:pPr>
              <w:pStyle w:val="49"/>
            </w:pPr>
            <w:r>
              <w:rPr>
                <w:rFonts w:hint="eastAsia"/>
              </w:rPr>
              <w:t>3</w:t>
            </w:r>
          </w:p>
        </w:tc>
        <w:tc>
          <w:tcPr>
            <w:tcW w:w="510"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704" w:type="dxa"/>
            <w:noWrap/>
            <w:vAlign w:val="center"/>
          </w:tcPr>
          <w:p>
            <w:pPr>
              <w:pStyle w:val="49"/>
            </w:pPr>
            <w:r>
              <w:rPr>
                <w:rFonts w:hint="eastAsia"/>
              </w:rPr>
              <w:t>11</w:t>
            </w:r>
          </w:p>
        </w:tc>
        <w:tc>
          <w:tcPr>
            <w:tcW w:w="851" w:type="dxa"/>
            <w:vAlign w:val="center"/>
          </w:tcPr>
          <w:p>
            <w:pPr>
              <w:pStyle w:val="49"/>
            </w:pPr>
            <w:r>
              <w:rPr>
                <w:rFonts w:hint="eastAsia"/>
              </w:rPr>
              <w:t>电脑桌</w:t>
            </w:r>
          </w:p>
        </w:tc>
        <w:tc>
          <w:tcPr>
            <w:tcW w:w="11937" w:type="dxa"/>
            <w:vAlign w:val="center"/>
          </w:tcPr>
          <w:p>
            <w:pPr>
              <w:pStyle w:val="49"/>
            </w:pPr>
            <w:r>
              <w:rPr>
                <w:rFonts w:hint="eastAsia"/>
              </w:rPr>
              <w:t>2机位电脑桌，选用优质环保高级中密度纤维板，并经过防虫、防腐、高温、高压处理，；密度：0.72g/cm³;E1级环保标准，甲醛释放量≤9.0mg/100mg面漆：采用环保面漆，透明度高、耐划伤、防黄变，符合国家标准；VOC≤670g/l(苯≤0.3％，甲苯、二甲苯、乙苯总和≤30％等）；</w:t>
            </w:r>
            <w:r>
              <w:t xml:space="preserve"> </w:t>
            </w:r>
          </w:p>
        </w:tc>
        <w:tc>
          <w:tcPr>
            <w:tcW w:w="558" w:type="dxa"/>
            <w:noWrap/>
            <w:vAlign w:val="center"/>
          </w:tcPr>
          <w:p>
            <w:pPr>
              <w:pStyle w:val="49"/>
            </w:pPr>
            <w:r>
              <w:rPr>
                <w:rFonts w:hint="eastAsia"/>
              </w:rPr>
              <w:t>4</w:t>
            </w:r>
          </w:p>
        </w:tc>
        <w:tc>
          <w:tcPr>
            <w:tcW w:w="510"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04" w:type="dxa"/>
            <w:noWrap/>
            <w:vAlign w:val="center"/>
          </w:tcPr>
          <w:p>
            <w:pPr>
              <w:pStyle w:val="49"/>
            </w:pPr>
            <w:r>
              <w:rPr>
                <w:rFonts w:hint="eastAsia"/>
              </w:rPr>
              <w:t>12</w:t>
            </w:r>
          </w:p>
        </w:tc>
        <w:tc>
          <w:tcPr>
            <w:tcW w:w="851" w:type="dxa"/>
            <w:vAlign w:val="center"/>
          </w:tcPr>
          <w:p>
            <w:pPr>
              <w:pStyle w:val="49"/>
            </w:pPr>
            <w:r>
              <w:rPr>
                <w:rFonts w:hint="eastAsia"/>
              </w:rPr>
              <w:t>多画面数字分割器</w:t>
            </w:r>
          </w:p>
        </w:tc>
        <w:tc>
          <w:tcPr>
            <w:tcW w:w="11937" w:type="dxa"/>
            <w:vAlign w:val="center"/>
          </w:tcPr>
          <w:p>
            <w:pPr>
              <w:pStyle w:val="49"/>
            </w:pPr>
            <w:r>
              <w:rPr>
                <w:rFonts w:hint="eastAsia"/>
              </w:rPr>
              <w:t>1、具有≥4路HDMI输出接口；</w:t>
            </w:r>
            <w:r>
              <w:rPr>
                <w:rFonts w:hint="eastAsia"/>
              </w:rPr>
              <w:br w:type="textWrapping"/>
            </w:r>
            <w:r>
              <w:rPr>
                <w:rFonts w:hint="eastAsia"/>
              </w:rPr>
              <w:t>2、支持≥32个解码通道，解码能力支持≥32路1080P@30fps及以下分辨率；</w:t>
            </w:r>
            <w:r>
              <w:rPr>
                <w:rFonts w:hint="eastAsia"/>
              </w:rPr>
              <w:br w:type="textWrapping"/>
            </w:r>
            <w:r>
              <w:rPr>
                <w:rFonts w:hint="eastAsia"/>
              </w:rPr>
              <w:t>3、画面分割数支持1/4/6/8/9/12/16/25；</w:t>
            </w:r>
            <w:r>
              <w:rPr>
                <w:rFonts w:hint="eastAsia"/>
              </w:rPr>
              <w:br w:type="textWrapping"/>
            </w:r>
            <w:r>
              <w:rPr>
                <w:rFonts w:hint="eastAsia"/>
              </w:rPr>
              <w:t>4、支持SIP2.0协议、支持SIP地址解析、信令转发，SIP、RTP、RTCP等网络协议；</w:t>
            </w:r>
            <w:r>
              <w:rPr>
                <w:rFonts w:hint="eastAsia"/>
              </w:rPr>
              <w:br w:type="textWrapping"/>
            </w:r>
            <w:r>
              <w:rPr>
                <w:rFonts w:hint="eastAsia"/>
              </w:rPr>
              <w:t>5、具有≥20个RJ45接口，具有≥4路音频输出接口，≥1个RS232串行接口、≥1个DVI口、≥1个VGA口、≥2个RCA接口、≥2个USB接口；</w:t>
            </w:r>
            <w:r>
              <w:rPr>
                <w:rFonts w:hint="eastAsia"/>
              </w:rPr>
              <w:br w:type="textWrapping"/>
            </w:r>
            <w:r>
              <w:rPr>
                <w:rFonts w:hint="eastAsia"/>
              </w:rPr>
              <w:t>6、具有≥8路报警输入及≥8路报警输出接口；</w:t>
            </w:r>
            <w:r>
              <w:rPr>
                <w:rFonts w:hint="eastAsia"/>
              </w:rPr>
              <w:br w:type="textWrapping"/>
            </w:r>
            <w:r>
              <w:rPr>
                <w:rFonts w:hint="eastAsia"/>
              </w:rPr>
              <w:t>7、符合标准：《国家教育考试网上巡查系统视频标准技术规范》JY/T-KS-JS-2017-1。</w:t>
            </w:r>
            <w:r>
              <w:rPr>
                <w:rFonts w:hint="eastAsia"/>
              </w:rPr>
              <w:br w:type="textWrapping"/>
            </w:r>
            <w:r>
              <w:rPr>
                <w:rFonts w:hint="eastAsia"/>
              </w:rPr>
              <w:t>8、提供产品来源渠道证明文件（包括但不限于销售协议、代理协议、原厂授权）加盖公章。</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trPr>
        <w:tc>
          <w:tcPr>
            <w:tcW w:w="704" w:type="dxa"/>
            <w:noWrap/>
            <w:vAlign w:val="center"/>
          </w:tcPr>
          <w:p>
            <w:pPr>
              <w:pStyle w:val="49"/>
            </w:pPr>
            <w:r>
              <w:rPr>
                <w:rFonts w:hint="eastAsia"/>
              </w:rPr>
              <w:t>13</w:t>
            </w:r>
          </w:p>
        </w:tc>
        <w:tc>
          <w:tcPr>
            <w:tcW w:w="851" w:type="dxa"/>
            <w:vAlign w:val="center"/>
          </w:tcPr>
          <w:p>
            <w:pPr>
              <w:pStyle w:val="49"/>
            </w:pPr>
            <w:r>
              <w:rPr>
                <w:rFonts w:hint="eastAsia"/>
              </w:rPr>
              <w:t>UPS</w:t>
            </w:r>
          </w:p>
        </w:tc>
        <w:tc>
          <w:tcPr>
            <w:tcW w:w="11937" w:type="dxa"/>
            <w:vAlign w:val="center"/>
          </w:tcPr>
          <w:p>
            <w:pPr>
              <w:pStyle w:val="49"/>
            </w:pPr>
            <w:r>
              <w:rPr>
                <w:rFonts w:hint="eastAsia"/>
              </w:rPr>
              <w:t>采用在线UPS电源，UPS容量为≥10kVA，单套满载延时要求≥2小时；UPS主机逆变器采用三电平技术，保证可靠性的同时提高系统效率；UPS主机具有独立旁路功能，确保主路系统出现异常或故障时，旁路系统仍能正常输出，确保负载不间断供电；采用全数字化充电器，电池电压和电流可任意设置；为避免误操作，UPS的开、关机采用双键组合的形式来实现开关机；UPS主机应具有LCD显示和LED状态显示， 可以显示：输入电压/频率、输出电压/频率、有功功率、视在功率、电池节数、电池电压、电池容量百分比；输入额定电压：208Vac/220 Vac/230Vac/240Vac；输入电压可变范围：110~176Vac（50%~100%负载线性降额） 176~288Vac（不降额）；输入频率变化范围：40~70Hz；输入功率因数≥0.99；输出额定电压：208 Vac（PF=0.9）/220 Vac /230 Vac /240Vac；输出功率因数不小于1；输出波形失真度：≤1%(线性负载）；≤4%（非线性负载）；系统效率：在线模式：≥95%@100%负载，ECO 模式：≥98%；防护等级：IP20；16节100AH电池，</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14</w:t>
            </w:r>
          </w:p>
        </w:tc>
        <w:tc>
          <w:tcPr>
            <w:tcW w:w="851" w:type="dxa"/>
            <w:vAlign w:val="center"/>
          </w:tcPr>
          <w:p>
            <w:pPr>
              <w:pStyle w:val="49"/>
            </w:pPr>
            <w:r>
              <w:rPr>
                <w:rFonts w:hint="eastAsia"/>
              </w:rPr>
              <w:t>汇聚交换机</w:t>
            </w:r>
          </w:p>
        </w:tc>
        <w:tc>
          <w:tcPr>
            <w:tcW w:w="11937" w:type="dxa"/>
            <w:vAlign w:val="center"/>
          </w:tcPr>
          <w:p>
            <w:pPr>
              <w:pStyle w:val="49"/>
            </w:pPr>
            <w:r>
              <w:rPr>
                <w:rFonts w:hint="eastAsia"/>
              </w:rPr>
              <w:t>L3，≥24口光纤接口,≥8口光电复用</w:t>
            </w:r>
          </w:p>
        </w:tc>
        <w:tc>
          <w:tcPr>
            <w:tcW w:w="558" w:type="dxa"/>
            <w:noWrap/>
            <w:vAlign w:val="center"/>
          </w:tcPr>
          <w:p>
            <w:pPr>
              <w:pStyle w:val="49"/>
            </w:pPr>
            <w:r>
              <w:rPr>
                <w:rFonts w:hint="eastAsia"/>
              </w:rPr>
              <w:t>1</w:t>
            </w:r>
          </w:p>
        </w:tc>
        <w:tc>
          <w:tcPr>
            <w:tcW w:w="51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15</w:t>
            </w:r>
          </w:p>
        </w:tc>
        <w:tc>
          <w:tcPr>
            <w:tcW w:w="851" w:type="dxa"/>
            <w:vAlign w:val="center"/>
          </w:tcPr>
          <w:p>
            <w:pPr>
              <w:pStyle w:val="49"/>
            </w:pPr>
            <w:r>
              <w:rPr>
                <w:rFonts w:hint="eastAsia"/>
              </w:rPr>
              <w:t>交换机</w:t>
            </w:r>
          </w:p>
        </w:tc>
        <w:tc>
          <w:tcPr>
            <w:tcW w:w="11937" w:type="dxa"/>
            <w:vAlign w:val="center"/>
          </w:tcPr>
          <w:p>
            <w:pPr>
              <w:pStyle w:val="49"/>
            </w:pPr>
            <w:r>
              <w:rPr>
                <w:rFonts w:hint="eastAsia"/>
              </w:rPr>
              <w:t>L2，交换容量≥256Gbps；≥24个10/100/1000Base-T以太网端口，≥2个1000Base-X SFP千兆以太网端口</w:t>
            </w:r>
          </w:p>
        </w:tc>
        <w:tc>
          <w:tcPr>
            <w:tcW w:w="558" w:type="dxa"/>
            <w:noWrap/>
            <w:vAlign w:val="center"/>
          </w:tcPr>
          <w:p>
            <w:pPr>
              <w:pStyle w:val="49"/>
            </w:pPr>
            <w:r>
              <w:t>4</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16</w:t>
            </w:r>
          </w:p>
        </w:tc>
        <w:tc>
          <w:tcPr>
            <w:tcW w:w="851" w:type="dxa"/>
            <w:vAlign w:val="center"/>
          </w:tcPr>
          <w:p>
            <w:pPr>
              <w:pStyle w:val="49"/>
            </w:pPr>
            <w:r>
              <w:rPr>
                <w:rFonts w:hint="eastAsia"/>
              </w:rPr>
              <w:t>单模光纤模块</w:t>
            </w:r>
          </w:p>
        </w:tc>
        <w:tc>
          <w:tcPr>
            <w:tcW w:w="11937" w:type="dxa"/>
            <w:vAlign w:val="center"/>
          </w:tcPr>
          <w:p>
            <w:pPr>
              <w:pStyle w:val="49"/>
            </w:pPr>
            <w:r>
              <w:rPr>
                <w:rFonts w:hint="eastAsia"/>
              </w:rPr>
              <w:t>光模块-SFP-GE-单模模块-（1310nm,10km,LC）</w:t>
            </w:r>
          </w:p>
        </w:tc>
        <w:tc>
          <w:tcPr>
            <w:tcW w:w="558" w:type="dxa"/>
            <w:noWrap/>
            <w:vAlign w:val="center"/>
          </w:tcPr>
          <w:p>
            <w:pPr>
              <w:pStyle w:val="49"/>
            </w:pPr>
            <w:r>
              <w:rPr>
                <w:rFonts w:hint="eastAsia"/>
              </w:rPr>
              <w:t>6</w:t>
            </w:r>
          </w:p>
        </w:tc>
        <w:tc>
          <w:tcPr>
            <w:tcW w:w="510"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17</w:t>
            </w:r>
          </w:p>
        </w:tc>
        <w:tc>
          <w:tcPr>
            <w:tcW w:w="851" w:type="dxa"/>
            <w:vAlign w:val="center"/>
          </w:tcPr>
          <w:p>
            <w:pPr>
              <w:pStyle w:val="49"/>
            </w:pPr>
            <w:r>
              <w:rPr>
                <w:rFonts w:hint="eastAsia"/>
              </w:rPr>
              <w:t>42U机柜</w:t>
            </w:r>
          </w:p>
        </w:tc>
        <w:tc>
          <w:tcPr>
            <w:tcW w:w="11937" w:type="dxa"/>
            <w:vAlign w:val="center"/>
          </w:tcPr>
          <w:p>
            <w:pPr>
              <w:pStyle w:val="49"/>
            </w:pPr>
            <w:r>
              <w:rPr>
                <w:rFonts w:hint="eastAsia"/>
              </w:rPr>
              <w:t>600*900*2000mm，隔板≥3个，≥</w:t>
            </w:r>
            <w:r>
              <w:t>4</w:t>
            </w:r>
            <w:r>
              <w:rPr>
                <w:rFonts w:hint="eastAsia"/>
              </w:rPr>
              <w:t>个8口PDU</w:t>
            </w:r>
          </w:p>
        </w:tc>
        <w:tc>
          <w:tcPr>
            <w:tcW w:w="558" w:type="dxa"/>
            <w:noWrap/>
            <w:vAlign w:val="center"/>
          </w:tcPr>
          <w:p>
            <w:pPr>
              <w:pStyle w:val="49"/>
            </w:pPr>
            <w:r>
              <w:rPr>
                <w:rFonts w:hint="eastAsia"/>
              </w:rPr>
              <w:t>1</w:t>
            </w:r>
          </w:p>
        </w:tc>
        <w:tc>
          <w:tcPr>
            <w:tcW w:w="51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18</w:t>
            </w:r>
          </w:p>
        </w:tc>
        <w:tc>
          <w:tcPr>
            <w:tcW w:w="851" w:type="dxa"/>
            <w:vAlign w:val="center"/>
          </w:tcPr>
          <w:p>
            <w:pPr>
              <w:pStyle w:val="49"/>
            </w:pPr>
            <w:r>
              <w:rPr>
                <w:rFonts w:hint="eastAsia"/>
              </w:rPr>
              <w:t>9U机柜</w:t>
            </w:r>
          </w:p>
        </w:tc>
        <w:tc>
          <w:tcPr>
            <w:tcW w:w="11937" w:type="dxa"/>
            <w:vAlign w:val="center"/>
          </w:tcPr>
          <w:p>
            <w:pPr>
              <w:pStyle w:val="49"/>
            </w:pPr>
            <w:r>
              <w:rPr>
                <w:rFonts w:hint="eastAsia"/>
              </w:rPr>
              <w:t>9U网络机柜，1个电源插座</w:t>
            </w:r>
          </w:p>
        </w:tc>
        <w:tc>
          <w:tcPr>
            <w:tcW w:w="558" w:type="dxa"/>
            <w:noWrap/>
            <w:vAlign w:val="center"/>
          </w:tcPr>
          <w:p>
            <w:pPr>
              <w:pStyle w:val="49"/>
            </w:pPr>
            <w:r>
              <w:rPr>
                <w:rFonts w:hint="eastAsia"/>
              </w:rPr>
              <w:t>1</w:t>
            </w:r>
          </w:p>
        </w:tc>
        <w:tc>
          <w:tcPr>
            <w:tcW w:w="51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19</w:t>
            </w:r>
          </w:p>
        </w:tc>
        <w:tc>
          <w:tcPr>
            <w:tcW w:w="851" w:type="dxa"/>
            <w:vAlign w:val="center"/>
          </w:tcPr>
          <w:p>
            <w:pPr>
              <w:pStyle w:val="49"/>
            </w:pPr>
            <w:r>
              <w:rPr>
                <w:rFonts w:hint="eastAsia"/>
              </w:rPr>
              <w:t>光纤</w:t>
            </w:r>
          </w:p>
        </w:tc>
        <w:tc>
          <w:tcPr>
            <w:tcW w:w="11937" w:type="dxa"/>
            <w:vAlign w:val="center"/>
          </w:tcPr>
          <w:p>
            <w:pPr>
              <w:pStyle w:val="49"/>
            </w:pPr>
            <w:r>
              <w:rPr>
                <w:rFonts w:hint="eastAsia"/>
              </w:rPr>
              <w:t>室外铠装单模光纤，12芯，根据现场调整数量。</w:t>
            </w:r>
          </w:p>
        </w:tc>
        <w:tc>
          <w:tcPr>
            <w:tcW w:w="558" w:type="dxa"/>
            <w:noWrap/>
            <w:vAlign w:val="center"/>
          </w:tcPr>
          <w:p>
            <w:pPr>
              <w:pStyle w:val="49"/>
            </w:pPr>
            <w:r>
              <w:rPr>
                <w:rFonts w:hint="eastAsia"/>
              </w:rPr>
              <w:t>1</w:t>
            </w:r>
          </w:p>
        </w:tc>
        <w:tc>
          <w:tcPr>
            <w:tcW w:w="510"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20</w:t>
            </w:r>
          </w:p>
        </w:tc>
        <w:tc>
          <w:tcPr>
            <w:tcW w:w="851" w:type="dxa"/>
            <w:vAlign w:val="center"/>
          </w:tcPr>
          <w:p>
            <w:pPr>
              <w:pStyle w:val="49"/>
            </w:pPr>
            <w:r>
              <w:rPr>
                <w:rFonts w:hint="eastAsia"/>
              </w:rPr>
              <w:t>光纤辅料</w:t>
            </w:r>
          </w:p>
        </w:tc>
        <w:tc>
          <w:tcPr>
            <w:tcW w:w="11937" w:type="dxa"/>
            <w:vAlign w:val="center"/>
          </w:tcPr>
          <w:p>
            <w:pPr>
              <w:pStyle w:val="49"/>
            </w:pPr>
            <w:r>
              <w:rPr>
                <w:rFonts w:hint="eastAsia"/>
              </w:rPr>
              <w:t>配置机架光纤盒、耦合器、尾纤、光纤跳线</w:t>
            </w:r>
          </w:p>
        </w:tc>
        <w:tc>
          <w:tcPr>
            <w:tcW w:w="558" w:type="dxa"/>
            <w:noWrap/>
            <w:vAlign w:val="center"/>
          </w:tcPr>
          <w:p>
            <w:pPr>
              <w:pStyle w:val="49"/>
            </w:pPr>
            <w:r>
              <w:rPr>
                <w:rFonts w:hint="eastAsia"/>
              </w:rPr>
              <w:t>1</w:t>
            </w:r>
          </w:p>
        </w:tc>
        <w:tc>
          <w:tcPr>
            <w:tcW w:w="510"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21</w:t>
            </w:r>
          </w:p>
        </w:tc>
        <w:tc>
          <w:tcPr>
            <w:tcW w:w="851" w:type="dxa"/>
            <w:vAlign w:val="center"/>
          </w:tcPr>
          <w:p>
            <w:pPr>
              <w:pStyle w:val="49"/>
            </w:pPr>
            <w:r>
              <w:rPr>
                <w:rFonts w:hint="eastAsia"/>
              </w:rPr>
              <w:t>线缆线材</w:t>
            </w:r>
          </w:p>
        </w:tc>
        <w:tc>
          <w:tcPr>
            <w:tcW w:w="11937" w:type="dxa"/>
            <w:vAlign w:val="center"/>
          </w:tcPr>
          <w:p>
            <w:pPr>
              <w:pStyle w:val="49"/>
            </w:pPr>
            <w:r>
              <w:rPr>
                <w:rFonts w:hint="eastAsia"/>
              </w:rPr>
              <w:t>电源线、六类网线、PVC槽、电源插座、电源空开等。</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13492" w:type="dxa"/>
            <w:gridSpan w:val="3"/>
            <w:noWrap/>
            <w:vAlign w:val="center"/>
          </w:tcPr>
          <w:p>
            <w:pPr>
              <w:pStyle w:val="49"/>
            </w:pPr>
            <w:r>
              <w:rPr>
                <w:rFonts w:hint="eastAsia"/>
                <w:b/>
                <w:bCs w:val="0"/>
              </w:rPr>
              <w:t>二、身份验证系统</w:t>
            </w:r>
          </w:p>
        </w:tc>
        <w:tc>
          <w:tcPr>
            <w:tcW w:w="558" w:type="dxa"/>
            <w:noWrap/>
            <w:vAlign w:val="center"/>
          </w:tcPr>
          <w:p>
            <w:pPr>
              <w:pStyle w:val="49"/>
            </w:pPr>
            <w:r>
              <w:rPr>
                <w:rFonts w:hint="eastAsia"/>
              </w:rPr>
              <w:t>　</w:t>
            </w:r>
          </w:p>
        </w:tc>
        <w:tc>
          <w:tcPr>
            <w:tcW w:w="51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704" w:type="dxa"/>
            <w:noWrap/>
            <w:vAlign w:val="center"/>
          </w:tcPr>
          <w:p>
            <w:pPr>
              <w:pStyle w:val="49"/>
            </w:pPr>
            <w:r>
              <w:rPr>
                <w:rFonts w:hint="eastAsia"/>
              </w:rPr>
              <w:t>1</w:t>
            </w:r>
          </w:p>
        </w:tc>
        <w:tc>
          <w:tcPr>
            <w:tcW w:w="851" w:type="dxa"/>
            <w:vAlign w:val="center"/>
          </w:tcPr>
          <w:p>
            <w:pPr>
              <w:pStyle w:val="49"/>
            </w:pPr>
            <w:r>
              <w:rPr>
                <w:rFonts w:hint="eastAsia"/>
              </w:rPr>
              <w:t>考生身份认证系统软件平台</w:t>
            </w:r>
          </w:p>
        </w:tc>
        <w:tc>
          <w:tcPr>
            <w:tcW w:w="11937" w:type="dxa"/>
            <w:vAlign w:val="center"/>
          </w:tcPr>
          <w:p>
            <w:pPr>
              <w:pStyle w:val="49"/>
            </w:pPr>
            <w:r>
              <w:rPr>
                <w:rFonts w:hint="eastAsia"/>
              </w:rPr>
              <w:t>1.用户管理：应能够对用户进行增、删、改以及用户的权限和角色划分。统一账户管理,统一授权管理，统一认证管理,统一审计管理；</w:t>
            </w:r>
            <w:r>
              <w:rPr>
                <w:rFonts w:hint="eastAsia"/>
              </w:rPr>
              <w:br w:type="textWrapping"/>
            </w:r>
            <w:r>
              <w:rPr>
                <w:rFonts w:hint="eastAsia"/>
              </w:rPr>
              <w:t>2.机构管理：应能够对各级机构进行增、删、改，可对用户进行按市、县区、考点等行政划分进行权限控制；考区编号；</w:t>
            </w:r>
            <w:r>
              <w:rPr>
                <w:rFonts w:hint="eastAsia"/>
              </w:rPr>
              <w:br w:type="textWrapping"/>
            </w:r>
            <w:r>
              <w:rPr>
                <w:rFonts w:hint="eastAsia"/>
              </w:rPr>
              <w:t>3.角色管理：应能够对系统角色的增、删、改。例如：系统管理员、用户等角色；</w:t>
            </w:r>
            <w:r>
              <w:rPr>
                <w:rFonts w:hint="eastAsia"/>
              </w:rPr>
              <w:br w:type="textWrapping"/>
            </w:r>
            <w:r>
              <w:rPr>
                <w:rFonts w:hint="eastAsia"/>
              </w:rPr>
              <w:t>4.终端管理：管理终端应能够批量设置、批量数据下发、批量更新终端版本；</w:t>
            </w:r>
            <w:r>
              <w:rPr>
                <w:rFonts w:hint="eastAsia"/>
              </w:rPr>
              <w:br w:type="textWrapping"/>
            </w:r>
            <w:r>
              <w:rPr>
                <w:rFonts w:hint="eastAsia"/>
              </w:rPr>
              <w:t>5.考试计划：应能够根据每年的考试情况，制定各场考试的考试计划，可绑定科目，身份认证终端验证时间。按设定时间计划主动上传验证结果数据；</w:t>
            </w:r>
          </w:p>
          <w:p>
            <w:pPr>
              <w:pStyle w:val="49"/>
            </w:pPr>
            <w:r>
              <w:rPr>
                <w:rFonts w:hint="eastAsia"/>
              </w:rPr>
              <w:t>6.服务器采用1U标准机架式服务器，C</w:t>
            </w:r>
            <w:r>
              <w:t xml:space="preserve">PU </w:t>
            </w:r>
            <w:r>
              <w:rPr>
                <w:rFonts w:hint="eastAsia"/>
              </w:rPr>
              <w:t>≥2.8GHz处理器，内存≥8GB，≥500GB/SATA，≥6个U</w:t>
            </w:r>
            <w:r>
              <w:t>SB</w:t>
            </w:r>
            <w:r>
              <w:rPr>
                <w:rFonts w:hint="eastAsia"/>
              </w:rPr>
              <w:t>接口，出具型号及彩页</w:t>
            </w:r>
            <w:r>
              <w:rPr>
                <w:rFonts w:hint="eastAsia"/>
              </w:rPr>
              <w:br w:type="textWrapping"/>
            </w:r>
            <w:r>
              <w:t>7</w:t>
            </w:r>
            <w:r>
              <w:rPr>
                <w:rFonts w:hint="eastAsia"/>
              </w:rPr>
              <w:t>.数据导入：应能够导入考点库、考场库、考生库、图像库、指纹库和删除相关批次等相关数据。提供数据接口供下级服务器按考点编号或考区编号下载本区域内所有考生身份数据库；</w:t>
            </w:r>
            <w:r>
              <w:rPr>
                <w:rFonts w:hint="eastAsia"/>
              </w:rPr>
              <w:br w:type="textWrapping"/>
            </w:r>
            <w:r>
              <w:t>8</w:t>
            </w:r>
            <w:r>
              <w:rPr>
                <w:rFonts w:hint="eastAsia"/>
              </w:rPr>
              <w:t>.数据打包：应能够对导入系统的考生数据进行打包，为身份认证终端下载做准备。平台数据进行加密处理,保证数据安全；</w:t>
            </w:r>
            <w:r>
              <w:rPr>
                <w:rFonts w:hint="eastAsia"/>
              </w:rPr>
              <w:br w:type="textWrapping"/>
            </w:r>
            <w:r>
              <w:t>9</w:t>
            </w:r>
            <w:r>
              <w:rPr>
                <w:rFonts w:hint="eastAsia"/>
              </w:rPr>
              <w:t>.认证结果：应能够查看考生认证数据情况。可导出excel报表，可导出dbf数据库和认证照片。导出报告。支持考务需求的各类报表打印、套打、批量打印等；</w:t>
            </w:r>
            <w:r>
              <w:rPr>
                <w:rFonts w:hint="eastAsia"/>
              </w:rPr>
              <w:br w:type="textWrapping"/>
            </w:r>
            <w:r>
              <w:t>10</w:t>
            </w:r>
            <w:r>
              <w:rPr>
                <w:rFonts w:hint="eastAsia"/>
              </w:rPr>
              <w:t>.违纪管理：应能够管理终端上传上来的违纪数据，应可导出excel报表；</w:t>
            </w:r>
            <w:r>
              <w:rPr>
                <w:rFonts w:hint="eastAsia"/>
              </w:rPr>
              <w:br w:type="textWrapping"/>
            </w:r>
            <w:r>
              <w:rPr>
                <w:rFonts w:hint="eastAsia"/>
              </w:rPr>
              <w:t>1</w:t>
            </w:r>
            <w:r>
              <w:t>1</w:t>
            </w:r>
            <w:r>
              <w:rPr>
                <w:rFonts w:hint="eastAsia"/>
              </w:rPr>
              <w:t>.缺考管理：应能够管理终端上传上来的缺考数据，应可导出excel报表；</w:t>
            </w:r>
            <w:r>
              <w:rPr>
                <w:rFonts w:hint="eastAsia"/>
              </w:rPr>
              <w:br w:type="textWrapping"/>
            </w:r>
            <w:r>
              <w:rPr>
                <w:rFonts w:hint="eastAsia"/>
              </w:rPr>
              <w:t>1</w:t>
            </w:r>
            <w:r>
              <w:t>2</w:t>
            </w:r>
            <w:r>
              <w:rPr>
                <w:rFonts w:hint="eastAsia"/>
              </w:rPr>
              <w:t>.考生入场情况：大屏总览应能够展示考生入场实时的认证数据以及对认证数据的图形分析。汇总与统计结果以报表和图表形式输出；</w:t>
            </w:r>
            <w:r>
              <w:rPr>
                <w:rFonts w:hint="eastAsia"/>
              </w:rPr>
              <w:br w:type="textWrapping"/>
            </w:r>
            <w:r>
              <w:rPr>
                <w:rFonts w:hint="eastAsia"/>
              </w:rPr>
              <w:t>1</w:t>
            </w:r>
            <w:r>
              <w:t>3</w:t>
            </w:r>
            <w:r>
              <w:rPr>
                <w:rFonts w:hint="eastAsia"/>
              </w:rPr>
              <w:t>.应可实现与中心平台的数据交互，实现考务指挥；</w:t>
            </w:r>
            <w:r>
              <w:rPr>
                <w:rFonts w:hint="eastAsia"/>
              </w:rPr>
              <w:br w:type="textWrapping"/>
            </w:r>
            <w:r>
              <w:rPr>
                <w:rFonts w:hint="eastAsia"/>
              </w:rPr>
              <w:t>1</w:t>
            </w:r>
            <w:r>
              <w:t>4</w:t>
            </w:r>
            <w:r>
              <w:rPr>
                <w:rFonts w:hint="eastAsia"/>
              </w:rPr>
              <w:t>.应可根据用户需求定制开发功能。</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04" w:type="dxa"/>
            <w:noWrap/>
            <w:vAlign w:val="center"/>
          </w:tcPr>
          <w:p>
            <w:pPr>
              <w:pStyle w:val="49"/>
            </w:pPr>
            <w:r>
              <w:rPr>
                <w:rFonts w:hint="eastAsia"/>
              </w:rPr>
              <w:t>2</w:t>
            </w:r>
          </w:p>
        </w:tc>
        <w:tc>
          <w:tcPr>
            <w:tcW w:w="851" w:type="dxa"/>
            <w:vAlign w:val="center"/>
          </w:tcPr>
          <w:p>
            <w:pPr>
              <w:pStyle w:val="49"/>
            </w:pPr>
            <w:r>
              <w:rPr>
                <w:rFonts w:hint="eastAsia"/>
              </w:rPr>
              <w:t>管理计算机</w:t>
            </w:r>
          </w:p>
        </w:tc>
        <w:tc>
          <w:tcPr>
            <w:tcW w:w="11937" w:type="dxa"/>
            <w:vAlign w:val="center"/>
          </w:tcPr>
          <w:p>
            <w:pPr>
              <w:pStyle w:val="49"/>
            </w:pPr>
            <w:r>
              <w:rPr>
                <w:rFonts w:hint="eastAsia"/>
              </w:rPr>
              <w:t>≥I7-9700 ≥8G DDRIII 2133MHz，≥128G固态硬盘，≥1TG SATA3 7200rpm， ≥2G独立显卡，≥23”显示器,USB鼠标键盘，win10</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4" w:type="dxa"/>
            <w:noWrap/>
            <w:vAlign w:val="center"/>
          </w:tcPr>
          <w:p>
            <w:pPr>
              <w:pStyle w:val="49"/>
            </w:pPr>
            <w:r>
              <w:rPr>
                <w:rFonts w:hint="eastAsia"/>
              </w:rPr>
              <w:t>3</w:t>
            </w:r>
          </w:p>
        </w:tc>
        <w:tc>
          <w:tcPr>
            <w:tcW w:w="851" w:type="dxa"/>
            <w:vAlign w:val="center"/>
          </w:tcPr>
          <w:p>
            <w:pPr>
              <w:pStyle w:val="49"/>
            </w:pPr>
            <w:r>
              <w:rPr>
                <w:rFonts w:hint="eastAsia"/>
              </w:rPr>
              <w:t>身份验证终端</w:t>
            </w:r>
          </w:p>
        </w:tc>
        <w:tc>
          <w:tcPr>
            <w:tcW w:w="11937" w:type="dxa"/>
            <w:vAlign w:val="center"/>
          </w:tcPr>
          <w:p>
            <w:pPr>
              <w:pStyle w:val="49"/>
            </w:pPr>
            <w:r>
              <w:rPr>
                <w:rFonts w:hint="eastAsia"/>
              </w:rPr>
              <w:t xml:space="preserve">1.屏幕尺寸大于等于8英寸IPS显示屏，分辨率大于等于1280*800，可触控。可视角度大于等于170°； </w:t>
            </w:r>
            <w:r>
              <w:rPr>
                <w:rFonts w:hint="eastAsia"/>
              </w:rPr>
              <w:br w:type="textWrapping"/>
            </w:r>
            <w:r>
              <w:rPr>
                <w:rFonts w:hint="eastAsia"/>
              </w:rPr>
              <w:t>2.CPU不低于4核，主频≥1.8GHz；</w:t>
            </w:r>
            <w:r>
              <w:rPr>
                <w:rFonts w:hint="eastAsia"/>
              </w:rPr>
              <w:br w:type="textWrapping"/>
            </w:r>
            <w:r>
              <w:rPr>
                <w:rFonts w:hint="eastAsia"/>
              </w:rPr>
              <w:t>3.存储：运行内存≥4GB，存储容量≥64GB；</w:t>
            </w:r>
            <w:r>
              <w:rPr>
                <w:rFonts w:hint="eastAsia"/>
              </w:rPr>
              <w:br w:type="textWrapping"/>
            </w:r>
            <w:r>
              <w:rPr>
                <w:rFonts w:hint="eastAsia"/>
              </w:rPr>
              <w:t>4.拍照模块：前置大于等于500w摄像头，具备自动聚焦功能，后置大于等于800w摄像头，且带有录像功能，能录制考生入场的视频并保存；（出具证明材料，不限于检测报告、彩页、官网截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5.为实现多种数据传输方式，终端应能够扫描并识别综合管理平台下发的二维码；（出具证明材料，不限于检测报告、彩页、官网截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6.扬声器：身份认证设备自带扬声器，能够进行语音提示，声音清晰，音量可调，最大音量≥100分贝，且能播报验证认证姓名；（出具证明材料，不限于检测报告、彩页、官网截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7.通行指示灯：具有通行颜色光源指示灯，满足在室外环境快速通行的指示要求，至少具有三种颜色指示灯分别表示通过、不通过、需复核；（出具证明材料，不限于检测报告、彩页、官网截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8.供电：采用电池供电模式时可持续使用10小时以上；</w:t>
            </w:r>
            <w:r>
              <w:rPr>
                <w:rFonts w:hint="eastAsia"/>
              </w:rPr>
              <w:br w:type="textWrapping"/>
            </w:r>
            <w:r>
              <w:rPr>
                <w:rFonts w:hint="eastAsia"/>
              </w:rPr>
              <w:t>9..联网功能：支持WiFi和以太网；</w:t>
            </w:r>
            <w:r>
              <w:rPr>
                <w:rFonts w:hint="eastAsia"/>
              </w:rPr>
              <w:br w:type="textWrapping"/>
            </w:r>
            <w:r>
              <w:rPr>
                <w:rFonts w:hint="eastAsia"/>
              </w:rPr>
              <w:t>10.二代身份证信息采集模块：可读取二代身份证信息，包括姓名、证件照片、指纹信息、证件有效期等。符合公安部《手持式居民身份证阅器》（GA 1153-2014）或符合公安部《台式居民身份证阅读器通用技术要求》（GA450-2013）；</w:t>
            </w:r>
            <w:r>
              <w:rPr>
                <w:rFonts w:hint="eastAsia"/>
              </w:rPr>
              <w:br w:type="textWrapping"/>
            </w:r>
            <w:r>
              <w:rPr>
                <w:rFonts w:hint="eastAsia"/>
              </w:rPr>
              <w:t>11.指纹采集模块：身份认证设备能够采集手指指纹信息，只对活体指纹进行识别。指纹采集器符合公安部GA/T 1011-2012《居民身份证指纹采集器通用技术要求》。</w:t>
            </w:r>
            <w:r>
              <w:rPr>
                <w:rFonts w:hint="eastAsia"/>
              </w:rPr>
              <w:br w:type="textWrapping"/>
            </w:r>
            <w:r>
              <w:rPr>
                <w:rFonts w:hint="eastAsia"/>
              </w:rPr>
              <w:t>12.人脸识别模块：可在软件界面中检测并采集人脸图像、人脸定位框可跟随人脸移动；（出具证明材料，不限于检测报告、彩页、官网截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13.人性化设计：身份证模块位于终端右下方，方便客户刷身份证。符合客户使用习惯；验证提示灯位于终端右上方，提示效果明显；</w:t>
            </w:r>
            <w:r>
              <w:rPr>
                <w:rFonts w:hint="eastAsia"/>
              </w:rPr>
              <w:br w:type="textWrapping"/>
            </w:r>
            <w:r>
              <w:rPr>
                <w:rFonts w:hint="eastAsia"/>
              </w:rPr>
              <w:t>14.补光灯：具有双LED光源补光组件，补光灯色温4500K~6500K、显色指数（Ra）不小于90；光源为LED恒定光源；（提供检测报告复印件并加盖公章）</w:t>
            </w:r>
            <w:r>
              <w:rPr>
                <w:rFonts w:hint="eastAsia"/>
              </w:rPr>
              <w:br w:type="textWrapping"/>
            </w:r>
            <w:r>
              <w:rPr>
                <w:rFonts w:hint="eastAsia"/>
              </w:rPr>
              <w:t>15.可定时备份数据，如误删除数据，可进行数据恢复；（出具证明材料，不限于检测报告、彩页、官网截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16.断网重传：若身份认证系统上传认证结果时无法接入专网，身份认证系统能够将认证结果保存，待恢复联网后上传；</w:t>
            </w:r>
            <w:r>
              <w:rPr>
                <w:rFonts w:hint="eastAsia"/>
              </w:rPr>
              <w:br w:type="textWrapping"/>
            </w:r>
            <w:r>
              <w:rPr>
                <w:rFonts w:hint="eastAsia"/>
              </w:rPr>
              <w:t>17.扩展性：身份认证系统软件保证以后能够进行更新、升级，根据新的身份认证系统建设技术要求，软件做相应的调整，以连接省端的数据交换接口；</w:t>
            </w:r>
          </w:p>
          <w:p>
            <w:pPr>
              <w:pStyle w:val="49"/>
            </w:pPr>
            <w:r>
              <w:rPr>
                <w:rFonts w:hint="eastAsia"/>
              </w:rPr>
              <w:t>18.设备需符合《GA/T 1324-2017 安全防范人脸识别应用静态人脸图像采集规范》的相关要求；</w:t>
            </w:r>
            <w:r>
              <w:rPr>
                <w:rFonts w:hint="eastAsia"/>
              </w:rPr>
              <w:br w:type="textWrapping"/>
            </w:r>
            <w:r>
              <w:rPr>
                <w:rFonts w:hint="eastAsia"/>
              </w:rPr>
              <w:t>19.测温模块：测温精度标：0.1℃ ；测温范围：32-43(℃)；测量误差≤±0.3℃；测温时间＜1s；</w:t>
            </w:r>
            <w:r>
              <w:rPr>
                <w:rFonts w:hint="eastAsia"/>
              </w:rPr>
              <w:br w:type="textWrapping"/>
            </w:r>
            <w:r>
              <w:t>20</w:t>
            </w:r>
            <w:r>
              <w:rPr>
                <w:rFonts w:hint="eastAsia"/>
              </w:rPr>
              <w:t>.多种组合模式：应支持手持验证方式。支持立式支架验证方式；</w:t>
            </w:r>
          </w:p>
          <w:p>
            <w:pPr>
              <w:pStyle w:val="49"/>
            </w:pPr>
            <w:r>
              <w:rPr>
                <w:rFonts w:hint="eastAsia"/>
              </w:rPr>
              <w:t>21.提供产品来源渠道证明文件（包括但不限于销售协议、代理协议、原厂授权）加盖公章。</w:t>
            </w:r>
          </w:p>
        </w:tc>
        <w:tc>
          <w:tcPr>
            <w:tcW w:w="558" w:type="dxa"/>
            <w:noWrap/>
            <w:vAlign w:val="center"/>
          </w:tcPr>
          <w:p>
            <w:pPr>
              <w:pStyle w:val="49"/>
            </w:pPr>
            <w:r>
              <w:rPr>
                <w:rFonts w:hint="eastAsia"/>
              </w:rPr>
              <w:t>3</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851" w:type="dxa"/>
            <w:vAlign w:val="center"/>
          </w:tcPr>
          <w:p>
            <w:pPr>
              <w:pStyle w:val="49"/>
            </w:pPr>
            <w:r>
              <w:rPr>
                <w:rFonts w:hint="eastAsia"/>
              </w:rPr>
              <w:t>交换机</w:t>
            </w:r>
          </w:p>
        </w:tc>
        <w:tc>
          <w:tcPr>
            <w:tcW w:w="11937" w:type="dxa"/>
            <w:vAlign w:val="center"/>
          </w:tcPr>
          <w:p>
            <w:pPr>
              <w:pStyle w:val="49"/>
            </w:pPr>
            <w:r>
              <w:rPr>
                <w:rFonts w:hint="eastAsia"/>
              </w:rPr>
              <w:t>L2，交换容量≥256Gbps；≥24个10/100/1000Base-T以太网端口，≥2个1000Base-X SFP千兆以太网端口</w:t>
            </w:r>
          </w:p>
        </w:tc>
        <w:tc>
          <w:tcPr>
            <w:tcW w:w="558" w:type="dxa"/>
            <w:noWrap/>
            <w:vAlign w:val="center"/>
          </w:tcPr>
          <w:p>
            <w:pPr>
              <w:pStyle w:val="49"/>
            </w:pPr>
            <w:r>
              <w:t>2</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851" w:type="dxa"/>
            <w:vAlign w:val="center"/>
          </w:tcPr>
          <w:p>
            <w:pPr>
              <w:pStyle w:val="49"/>
            </w:pPr>
            <w:r>
              <w:rPr>
                <w:rFonts w:hint="eastAsia"/>
              </w:rPr>
              <w:t>单模光纤模块</w:t>
            </w:r>
          </w:p>
        </w:tc>
        <w:tc>
          <w:tcPr>
            <w:tcW w:w="11937" w:type="dxa"/>
            <w:vAlign w:val="center"/>
          </w:tcPr>
          <w:p>
            <w:pPr>
              <w:pStyle w:val="49"/>
            </w:pPr>
            <w:r>
              <w:rPr>
                <w:rFonts w:hint="eastAsia"/>
              </w:rPr>
              <w:t>光模块-SFP-GE-单模模块-（1310nm,10km,LC）</w:t>
            </w:r>
          </w:p>
        </w:tc>
        <w:tc>
          <w:tcPr>
            <w:tcW w:w="558" w:type="dxa"/>
            <w:noWrap/>
            <w:vAlign w:val="center"/>
          </w:tcPr>
          <w:p>
            <w:pPr>
              <w:pStyle w:val="49"/>
            </w:pPr>
            <w:r>
              <w:rPr>
                <w:rFonts w:hint="eastAsia"/>
              </w:rPr>
              <w:t>2</w:t>
            </w:r>
          </w:p>
        </w:tc>
        <w:tc>
          <w:tcPr>
            <w:tcW w:w="510"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851" w:type="dxa"/>
            <w:vAlign w:val="center"/>
          </w:tcPr>
          <w:p>
            <w:pPr>
              <w:pStyle w:val="49"/>
            </w:pPr>
            <w:r>
              <w:rPr>
                <w:rFonts w:hint="eastAsia"/>
              </w:rPr>
              <w:t>线缆线材</w:t>
            </w:r>
          </w:p>
        </w:tc>
        <w:tc>
          <w:tcPr>
            <w:tcW w:w="11937" w:type="dxa"/>
            <w:vAlign w:val="center"/>
          </w:tcPr>
          <w:p>
            <w:pPr>
              <w:pStyle w:val="49"/>
            </w:pPr>
            <w:r>
              <w:rPr>
                <w:rFonts w:hint="eastAsia"/>
              </w:rPr>
              <w:t>电源线、六类网线、PVC槽、电源插座、电源空开、U型槽、隔离栏。</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13492" w:type="dxa"/>
            <w:gridSpan w:val="3"/>
            <w:noWrap/>
            <w:vAlign w:val="center"/>
          </w:tcPr>
          <w:p>
            <w:pPr>
              <w:pStyle w:val="49"/>
            </w:pPr>
            <w:r>
              <w:rPr>
                <w:rFonts w:hint="eastAsia"/>
                <w:b/>
                <w:bCs w:val="0"/>
              </w:rPr>
              <w:t>三、无线电作弊防控系统</w:t>
            </w:r>
          </w:p>
        </w:tc>
        <w:tc>
          <w:tcPr>
            <w:tcW w:w="558" w:type="dxa"/>
            <w:noWrap/>
            <w:vAlign w:val="center"/>
          </w:tcPr>
          <w:p>
            <w:pPr>
              <w:pStyle w:val="49"/>
            </w:pPr>
            <w:r>
              <w:rPr>
                <w:rFonts w:hint="eastAsia"/>
              </w:rPr>
              <w:t>　</w:t>
            </w:r>
          </w:p>
        </w:tc>
        <w:tc>
          <w:tcPr>
            <w:tcW w:w="510"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4" w:type="dxa"/>
            <w:noWrap/>
            <w:vAlign w:val="center"/>
          </w:tcPr>
          <w:p>
            <w:pPr>
              <w:pStyle w:val="49"/>
            </w:pPr>
            <w:r>
              <w:rPr>
                <w:rFonts w:hint="eastAsia"/>
              </w:rPr>
              <w:t>1</w:t>
            </w:r>
          </w:p>
        </w:tc>
        <w:tc>
          <w:tcPr>
            <w:tcW w:w="851" w:type="dxa"/>
            <w:vAlign w:val="center"/>
          </w:tcPr>
          <w:p>
            <w:pPr>
              <w:pStyle w:val="49"/>
            </w:pPr>
            <w:r>
              <w:rPr>
                <w:rFonts w:hint="eastAsia"/>
              </w:rPr>
              <w:t>屏蔽终端</w:t>
            </w:r>
          </w:p>
        </w:tc>
        <w:tc>
          <w:tcPr>
            <w:tcW w:w="11937" w:type="dxa"/>
            <w:vAlign w:val="center"/>
          </w:tcPr>
          <w:p>
            <w:pPr>
              <w:pStyle w:val="49"/>
            </w:pPr>
            <w:r>
              <w:rPr>
                <w:rFonts w:hint="eastAsia"/>
              </w:rPr>
              <w:t>1、 支持对2G/3G/4G/5G电信、联通、移动的全网屏蔽以及蓝牙、WiFi2.4G及5.8G的实时全屏蔽；</w:t>
            </w:r>
            <w:r>
              <w:rPr>
                <w:rFonts w:hint="eastAsia"/>
              </w:rPr>
              <w:br w:type="textWrapping"/>
            </w:r>
            <w:r>
              <w:rPr>
                <w:rFonts w:hint="eastAsia"/>
              </w:rPr>
              <w:t>2、 可有效屏蔽考场中的数传作弊设备信号，语音作弊设备信号等专业作弊设备信号；</w:t>
            </w:r>
            <w:r>
              <w:rPr>
                <w:rFonts w:hint="eastAsia"/>
              </w:rPr>
              <w:br w:type="textWrapping"/>
            </w:r>
            <w:r>
              <w:rPr>
                <w:rFonts w:hint="eastAsia"/>
              </w:rPr>
              <w:t>3、 支持对50MHz-1.6GHz频段的专业作弊设备，采用侦测引导阻断方式，支持不少于11路以上屏，固定有效阻断考场内信号强度≤-65dBm的无线电信号；</w:t>
            </w:r>
            <w:r>
              <w:rPr>
                <w:rFonts w:hint="eastAsia"/>
              </w:rPr>
              <w:br w:type="textWrapping"/>
            </w:r>
            <w:r>
              <w:rPr>
                <w:rFonts w:hint="eastAsia"/>
              </w:rPr>
              <w:t>4、 蔽信号的同时引导阻断，对作弊信号频点实现点对点的精准屏蔽，≥20路；</w:t>
            </w:r>
            <w:r>
              <w:rPr>
                <w:rFonts w:hint="eastAsia"/>
              </w:rPr>
              <w:br w:type="textWrapping"/>
            </w:r>
            <w:r>
              <w:rPr>
                <w:rFonts w:hint="eastAsia"/>
              </w:rPr>
              <w:t>5、 屏蔽以设备为中心≥10米内无线信号；</w:t>
            </w:r>
            <w:r>
              <w:rPr>
                <w:rFonts w:hint="eastAsia"/>
              </w:rPr>
              <w:br w:type="textWrapping"/>
            </w:r>
            <w:r>
              <w:rPr>
                <w:rFonts w:hint="eastAsia"/>
              </w:rPr>
              <w:t>6、 对国家公开的对讲频段采用直接屏蔽方式；</w:t>
            </w:r>
            <w:r>
              <w:rPr>
                <w:rFonts w:hint="eastAsia"/>
              </w:rPr>
              <w:br w:type="textWrapping"/>
            </w:r>
            <w:r>
              <w:rPr>
                <w:rFonts w:hint="eastAsia"/>
              </w:rPr>
              <w:t>7、 在50MHz-1.6GHz频段，仅在发现作弊信号的频点和出现时刻发射屏蔽信号，无作弊信号时不发射屏蔽信号；</w:t>
            </w:r>
            <w:r>
              <w:rPr>
                <w:rFonts w:hint="eastAsia"/>
              </w:rPr>
              <w:br w:type="textWrapping"/>
            </w:r>
            <w:r>
              <w:rPr>
                <w:rFonts w:hint="eastAsia"/>
              </w:rPr>
              <w:t>8、 在50MHz-1.6GHz频段可调节输出增益,能通过设置避免对考场周边军用、警用、航空，医疗等特殊用途的通讯的干扰；根据用户的考务工作设置的考务通讯频点，不受干扰；</w:t>
            </w:r>
            <w:r>
              <w:rPr>
                <w:rFonts w:hint="eastAsia"/>
              </w:rPr>
              <w:br w:type="textWrapping"/>
            </w:r>
            <w:r>
              <w:rPr>
                <w:rFonts w:hint="eastAsia"/>
              </w:rPr>
              <w:t>9、 具有≥2个RJ45网络接口，可接应急电话，支持TCP/IP协议和UDP广播/组播协议，具备联网能力；</w:t>
            </w:r>
            <w:r>
              <w:rPr>
                <w:rFonts w:hint="eastAsia"/>
              </w:rPr>
              <w:br w:type="textWrapping"/>
            </w:r>
            <w:r>
              <w:rPr>
                <w:rFonts w:hint="eastAsia"/>
              </w:rPr>
              <w:t>10、设备能够接受远程开关指令，实现单独或整体通道开启/关闭，设备能够根据管理平台软件设定的考试时间自动开启/关闭设备的通道；</w:t>
            </w:r>
            <w:r>
              <w:rPr>
                <w:rFonts w:hint="eastAsia"/>
              </w:rPr>
              <w:br w:type="textWrapping"/>
            </w:r>
            <w:r>
              <w:rPr>
                <w:rFonts w:hint="eastAsia"/>
              </w:rPr>
              <w:t>11、支持平台远程管理，屏蔽终端工作状态查看和管理；</w:t>
            </w:r>
            <w:r>
              <w:rPr>
                <w:rFonts w:hint="eastAsia"/>
              </w:rPr>
              <w:br w:type="textWrapping"/>
            </w:r>
            <w:r>
              <w:rPr>
                <w:rFonts w:hint="eastAsia"/>
              </w:rPr>
              <w:t>12、可以考场为单位对设备进行集中管理；设备支持远程批量固件升级；</w:t>
            </w:r>
            <w:r>
              <w:rPr>
                <w:rFonts w:hint="eastAsia"/>
              </w:rPr>
              <w:br w:type="textWrapping"/>
            </w:r>
            <w:r>
              <w:rPr>
                <w:rFonts w:hint="eastAsia"/>
              </w:rPr>
              <w:t>13、支持壁挂等多种使用场景；</w:t>
            </w:r>
            <w:r>
              <w:rPr>
                <w:rFonts w:hint="eastAsia"/>
              </w:rPr>
              <w:br w:type="textWrapping"/>
            </w:r>
            <w:r>
              <w:rPr>
                <w:rFonts w:hint="eastAsia"/>
              </w:rPr>
              <w:t>14、满足GB8702-2014《电磁环境控制限值》辐射标准要求，（包括但不限于检验报告、官网和功能截图等）</w:t>
            </w:r>
          </w:p>
        </w:tc>
        <w:tc>
          <w:tcPr>
            <w:tcW w:w="558" w:type="dxa"/>
            <w:noWrap/>
            <w:vAlign w:val="center"/>
          </w:tcPr>
          <w:p>
            <w:pPr>
              <w:pStyle w:val="49"/>
            </w:pPr>
            <w:r>
              <w:rPr>
                <w:rFonts w:hint="eastAsia"/>
              </w:rPr>
              <w:t>22</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3" w:hRule="atLeast"/>
        </w:trPr>
        <w:tc>
          <w:tcPr>
            <w:tcW w:w="704" w:type="dxa"/>
            <w:noWrap/>
            <w:vAlign w:val="center"/>
          </w:tcPr>
          <w:p>
            <w:pPr>
              <w:pStyle w:val="49"/>
            </w:pPr>
            <w:r>
              <w:rPr>
                <w:rFonts w:hint="eastAsia"/>
              </w:rPr>
              <w:t>2</w:t>
            </w:r>
          </w:p>
        </w:tc>
        <w:tc>
          <w:tcPr>
            <w:tcW w:w="851" w:type="dxa"/>
            <w:vAlign w:val="center"/>
          </w:tcPr>
          <w:p>
            <w:pPr>
              <w:pStyle w:val="49"/>
            </w:pPr>
            <w:r>
              <w:rPr>
                <w:rFonts w:hint="eastAsia"/>
              </w:rPr>
              <w:t>作弊防控系统管理平台</w:t>
            </w:r>
          </w:p>
        </w:tc>
        <w:tc>
          <w:tcPr>
            <w:tcW w:w="11937" w:type="dxa"/>
            <w:vAlign w:val="center"/>
          </w:tcPr>
          <w:p>
            <w:r>
              <w:rPr>
                <w:rFonts w:hint="eastAsia"/>
              </w:rPr>
              <w:t>符合《陕西省国家教育考试综合管理平台建设规划》（陕教考办〔2018〕4号），符合《西安市国家教育考试综合管理平台建设规划方案》（市教发〔2020〕64号）要求；可通过浏览器页面进行系统管理工作；支持对系统设备进行查询、增加、删除、远程开关、固件升级等操作；可实现对系统设备的IP地址、工作状态、教室信息、在线状态、MAC地址、版本等信息的查询和管理；可自动呈现所有作弊信号特征，包括信号类型（语音或数传)、出现时间、考试场次、出现时的频点等；管理平台对作弊信息进行数据储存和传输时支持加密处理，系统还原的作弊答案信息生成、传输、展示环节均经过加密处理，信息脱离系统后无法正常播放、显示；信号文件自动解调添加考试计划场次后，在计划场次时间范围内会自动对设备检测到的文件进行解调。在解调文件列表中可呈现所有作弊信号特征，包括信号类型（语音或数传)、出现时间、考试场次、出现时的频点等，且提供已还原的语音和数传类作弊器材发射信号内容的播放、下载功能；提供已还原的语音和数传类作弊器材发射信号内容的回放、查看、记录、查询、下载、统计功能；不影响屏蔽效果的情况下，对作弊语音信号监听内容进行保存取证；系统能实现多级级联，上级平台能够查看下级管理平台的所有信息，包括设备信息，信号统计，信号还原等信息；黑白名单库支持手工编辑、上级平台下发；实现资源共享，可预留考务通信频点，不影响正常通讯；平台支持设备信息实时显示,可直接预览查看屏蔽设备各通道的运行状态,侦测服务器在线运行情况；支持分布式网络部署架构，可根据业务需要不断扩展；当管理软件与侦测服务器无法正常工作，或网络中断时，阻断器可以独立开展工作，并可以屏蔽工作频率上的全部信号；对接综合管理平台：须能与西安市综合管理平台无缝对接，方便进行数据交换。</w:t>
            </w:r>
          </w:p>
        </w:tc>
        <w:tc>
          <w:tcPr>
            <w:tcW w:w="558" w:type="dxa"/>
            <w:noWrap/>
            <w:vAlign w:val="center"/>
          </w:tcPr>
          <w:p>
            <w:pPr>
              <w:pStyle w:val="49"/>
            </w:pPr>
            <w:r>
              <w:rPr>
                <w:rFonts w:hint="eastAsia"/>
              </w:rPr>
              <w:t>1</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4" w:type="dxa"/>
            <w:noWrap/>
            <w:vAlign w:val="center"/>
          </w:tcPr>
          <w:p>
            <w:pPr>
              <w:pStyle w:val="49"/>
            </w:pPr>
            <w:r>
              <w:rPr>
                <w:rFonts w:hint="eastAsia"/>
              </w:rPr>
              <w:t>3</w:t>
            </w:r>
          </w:p>
        </w:tc>
        <w:tc>
          <w:tcPr>
            <w:tcW w:w="851" w:type="dxa"/>
            <w:vAlign w:val="center"/>
          </w:tcPr>
          <w:p>
            <w:pPr>
              <w:pStyle w:val="49"/>
            </w:pPr>
            <w:r>
              <w:rPr>
                <w:rFonts w:hint="eastAsia"/>
              </w:rPr>
              <w:t>无线信号侦测服务器</w:t>
            </w:r>
          </w:p>
        </w:tc>
        <w:tc>
          <w:tcPr>
            <w:tcW w:w="11937" w:type="dxa"/>
            <w:vAlign w:val="center"/>
          </w:tcPr>
          <w:p>
            <w:pPr>
              <w:pStyle w:val="49"/>
            </w:pPr>
            <w:r>
              <w:rPr>
                <w:rFonts w:hint="eastAsia"/>
              </w:rPr>
              <w:t>符合《陕西省国家教育考试综合管理平台建设规划》（陕教考办〔2018〕4号）相关规范,符合《西安市国家教育考试综合管理平台建设规划方案》（市教发〔2020〕64号）要求。</w:t>
            </w:r>
            <w:r>
              <w:rPr>
                <w:rFonts w:hint="eastAsia"/>
              </w:rPr>
              <w:br w:type="textWrapping"/>
            </w:r>
            <w:r>
              <w:rPr>
                <w:rFonts w:hint="eastAsia"/>
              </w:rPr>
              <w:t>1、侦测主机：支持对40MHz~3000MHz频率范围自动进行频谱扫描，可侦测最低信号强度≤-80dbm，侦测动态范围≥70dB，能将考前合法的背景信号通过侦测扫描和外部导入等多种方式进行背景信号的学习和存储，建立黑白名单库；</w:t>
            </w:r>
            <w:r>
              <w:rPr>
                <w:rFonts w:hint="eastAsia"/>
              </w:rPr>
              <w:br w:type="textWrapping"/>
            </w:r>
            <w:r>
              <w:rPr>
                <w:rFonts w:hint="eastAsia"/>
              </w:rPr>
              <w:t>2、侦测主机可以通过网络为多个屏蔽设备提供实时的信号服务，为其提供作弊信号的特征信息；</w:t>
            </w:r>
            <w:r>
              <w:rPr>
                <w:rFonts w:hint="eastAsia"/>
              </w:rPr>
              <w:br w:type="textWrapping"/>
            </w:r>
            <w:r>
              <w:rPr>
                <w:rFonts w:hint="eastAsia"/>
              </w:rPr>
              <w:t>3、侦测主机自带液晶显示屏，用于直观显示系统信息；</w:t>
            </w:r>
            <w:r>
              <w:rPr>
                <w:rFonts w:hint="eastAsia"/>
              </w:rPr>
              <w:br w:type="textWrapping"/>
            </w:r>
            <w:r>
              <w:rPr>
                <w:rFonts w:hint="eastAsia"/>
              </w:rPr>
              <w:t>4、在没有网络的情况下也能够自动校时；</w:t>
            </w:r>
            <w:r>
              <w:rPr>
                <w:rFonts w:hint="eastAsia"/>
              </w:rPr>
              <w:br w:type="textWrapping"/>
            </w:r>
            <w:r>
              <w:rPr>
                <w:rFonts w:hint="eastAsia"/>
              </w:rPr>
              <w:t>5、设备运行支持无人值守，支持过热保护、短路保护等功能；</w:t>
            </w:r>
            <w:r>
              <w:rPr>
                <w:rFonts w:hint="eastAsia"/>
              </w:rPr>
              <w:br w:type="textWrapping"/>
            </w:r>
            <w:r>
              <w:rPr>
                <w:rFonts w:hint="eastAsia"/>
              </w:rPr>
              <w:t>6、引导阻断信号支持50MHz-1.6GHz间任意频点的作弊信号进行11路以上作弊信号引导阻断；</w:t>
            </w:r>
            <w:r>
              <w:rPr>
                <w:rFonts w:hint="eastAsia"/>
              </w:rPr>
              <w:br w:type="textWrapping"/>
            </w:r>
            <w:r>
              <w:rPr>
                <w:rFonts w:hint="eastAsia"/>
              </w:rPr>
              <w:t>7、可对50MHz-1.6GHz间各类教材作弊器材，如数传橡皮、笔、格尺等作弊信号进行有效引导屏蔽；</w:t>
            </w:r>
            <w:r>
              <w:rPr>
                <w:rFonts w:hint="eastAsia"/>
              </w:rPr>
              <w:br w:type="textWrapping"/>
            </w:r>
            <w:r>
              <w:rPr>
                <w:rFonts w:hint="eastAsia"/>
              </w:rPr>
              <w:t>8、对讲频段范围：136MHz-174MHz、400MHz-470MHz实现全时侦测阻断；</w:t>
            </w:r>
            <w:r>
              <w:rPr>
                <w:rFonts w:hint="eastAsia"/>
              </w:rPr>
              <w:br w:type="textWrapping"/>
            </w:r>
            <w:r>
              <w:rPr>
                <w:rFonts w:hint="eastAsia"/>
              </w:rPr>
              <w:t>9、侦测主机向无线屏蔽系统管理软件注册，支持背景信号学习和黑白名单库建立；</w:t>
            </w:r>
            <w:r>
              <w:rPr>
                <w:rFonts w:hint="eastAsia"/>
              </w:rPr>
              <w:br w:type="textWrapping"/>
            </w:r>
            <w:r>
              <w:rPr>
                <w:rFonts w:hint="eastAsia"/>
              </w:rPr>
              <w:t>10、支持信号特征分析和显示并对屏蔽断设备进行策略引导，能够对可疑信号进行还原取证；</w:t>
            </w:r>
            <w:r>
              <w:rPr>
                <w:rFonts w:hint="eastAsia"/>
              </w:rPr>
              <w:br w:type="textWrapping"/>
            </w:r>
            <w:r>
              <w:rPr>
                <w:rFonts w:hint="eastAsia"/>
              </w:rPr>
              <w:t>11、侦测主机与考点无线屏蔽系统管理软件采用网络连接，对侦测主机的所有操作均在无线屏蔽系统管理软件上完成。</w:t>
            </w:r>
            <w:r>
              <w:rPr>
                <w:rFonts w:hint="eastAsia"/>
              </w:rPr>
              <w:br w:type="textWrapping"/>
            </w:r>
            <w:r>
              <w:rPr>
                <w:rFonts w:hint="eastAsia"/>
              </w:rPr>
              <w:t>12、提供相应功能证明材料（包括但不限于检验报告、官网和功能截图等）</w:t>
            </w:r>
          </w:p>
        </w:tc>
        <w:tc>
          <w:tcPr>
            <w:tcW w:w="558" w:type="dxa"/>
            <w:vAlign w:val="center"/>
          </w:tcPr>
          <w:p>
            <w:pPr>
              <w:pStyle w:val="49"/>
            </w:pPr>
            <w:r>
              <w:rPr>
                <w:rFonts w:hint="eastAsia"/>
              </w:rPr>
              <w:t xml:space="preserve">1 </w:t>
            </w:r>
          </w:p>
        </w:tc>
        <w:tc>
          <w:tcPr>
            <w:tcW w:w="510"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851" w:type="dxa"/>
            <w:vAlign w:val="center"/>
          </w:tcPr>
          <w:p>
            <w:pPr>
              <w:pStyle w:val="49"/>
            </w:pPr>
            <w:r>
              <w:rPr>
                <w:rFonts w:hint="eastAsia"/>
              </w:rPr>
              <w:t>交换机</w:t>
            </w:r>
          </w:p>
        </w:tc>
        <w:tc>
          <w:tcPr>
            <w:tcW w:w="11937" w:type="dxa"/>
            <w:vAlign w:val="center"/>
          </w:tcPr>
          <w:p>
            <w:pPr>
              <w:pStyle w:val="49"/>
            </w:pPr>
            <w:r>
              <w:rPr>
                <w:rFonts w:hint="eastAsia"/>
              </w:rPr>
              <w:t>L2，交换容量≥256Gbps；≥24个10/100/1000Base-T以太网端口，≥2个1000Base-X SFP千兆以太网端口</w:t>
            </w:r>
          </w:p>
        </w:tc>
        <w:tc>
          <w:tcPr>
            <w:tcW w:w="558" w:type="dxa"/>
            <w:noWrap/>
            <w:vAlign w:val="center"/>
          </w:tcPr>
          <w:p>
            <w:pPr>
              <w:pStyle w:val="49"/>
            </w:pPr>
            <w:r>
              <w:rPr>
                <w:rFonts w:hint="eastAsia"/>
              </w:rPr>
              <w:t>3</w:t>
            </w:r>
          </w:p>
        </w:tc>
        <w:tc>
          <w:tcPr>
            <w:tcW w:w="510"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 w:hRule="atLeast"/>
        </w:trPr>
        <w:tc>
          <w:tcPr>
            <w:tcW w:w="704" w:type="dxa"/>
            <w:noWrap/>
            <w:vAlign w:val="center"/>
          </w:tcPr>
          <w:p>
            <w:pPr>
              <w:pStyle w:val="49"/>
            </w:pPr>
            <w:r>
              <w:rPr>
                <w:rFonts w:hint="eastAsia"/>
              </w:rPr>
              <w:t>5</w:t>
            </w:r>
          </w:p>
        </w:tc>
        <w:tc>
          <w:tcPr>
            <w:tcW w:w="851" w:type="dxa"/>
            <w:vAlign w:val="center"/>
          </w:tcPr>
          <w:p>
            <w:pPr>
              <w:pStyle w:val="49"/>
            </w:pPr>
            <w:r>
              <w:rPr>
                <w:rFonts w:hint="eastAsia"/>
              </w:rPr>
              <w:t>单模光纤模块</w:t>
            </w:r>
          </w:p>
        </w:tc>
        <w:tc>
          <w:tcPr>
            <w:tcW w:w="11937" w:type="dxa"/>
            <w:vAlign w:val="center"/>
          </w:tcPr>
          <w:p>
            <w:pPr>
              <w:pStyle w:val="49"/>
            </w:pPr>
            <w:r>
              <w:rPr>
                <w:rFonts w:hint="eastAsia"/>
              </w:rPr>
              <w:t>光模块-SFP-GE-单模模块-（1310nm,10km,LC）</w:t>
            </w:r>
          </w:p>
        </w:tc>
        <w:tc>
          <w:tcPr>
            <w:tcW w:w="558" w:type="dxa"/>
            <w:vAlign w:val="center"/>
          </w:tcPr>
          <w:p>
            <w:pPr>
              <w:pStyle w:val="49"/>
            </w:pPr>
            <w:r>
              <w:rPr>
                <w:rFonts w:hint="eastAsia"/>
              </w:rPr>
              <w:t xml:space="preserve">6 </w:t>
            </w:r>
          </w:p>
        </w:tc>
        <w:tc>
          <w:tcPr>
            <w:tcW w:w="510"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851" w:type="dxa"/>
            <w:vAlign w:val="center"/>
          </w:tcPr>
          <w:p>
            <w:pPr>
              <w:pStyle w:val="49"/>
            </w:pPr>
            <w:r>
              <w:rPr>
                <w:rFonts w:hint="eastAsia"/>
              </w:rPr>
              <w:t>线缆线材</w:t>
            </w:r>
          </w:p>
        </w:tc>
        <w:tc>
          <w:tcPr>
            <w:tcW w:w="11937" w:type="dxa"/>
            <w:vAlign w:val="center"/>
          </w:tcPr>
          <w:p>
            <w:pPr>
              <w:pStyle w:val="49"/>
            </w:pPr>
            <w:r>
              <w:rPr>
                <w:rFonts w:hint="eastAsia"/>
              </w:rPr>
              <w:t>电源线、六类网线、PVC槽、电源插座、电源空开等。</w:t>
            </w:r>
          </w:p>
        </w:tc>
        <w:tc>
          <w:tcPr>
            <w:tcW w:w="558" w:type="dxa"/>
            <w:noWrap/>
            <w:vAlign w:val="center"/>
          </w:tcPr>
          <w:p>
            <w:pPr>
              <w:pStyle w:val="49"/>
            </w:pPr>
            <w:r>
              <w:rPr>
                <w:rFonts w:hint="eastAsia"/>
              </w:rPr>
              <w:t xml:space="preserve">1 </w:t>
            </w:r>
          </w:p>
        </w:tc>
        <w:tc>
          <w:tcPr>
            <w:tcW w:w="510" w:type="dxa"/>
            <w:noWrap/>
            <w:vAlign w:val="center"/>
          </w:tcPr>
          <w:p>
            <w:pPr>
              <w:pStyle w:val="49"/>
            </w:pPr>
            <w:r>
              <w:rPr>
                <w:rFonts w:hint="eastAsia"/>
              </w:rPr>
              <w:t>批</w:t>
            </w:r>
          </w:p>
        </w:tc>
      </w:tr>
    </w:tbl>
    <w:p>
      <w:pPr>
        <w:pStyle w:val="2"/>
      </w:pPr>
    </w:p>
    <w:p>
      <w:pPr>
        <w:widowControl/>
        <w:jc w:val="left"/>
        <w:rPr>
          <w:rFonts w:asciiTheme="majorHAnsi" w:hAnsiTheme="majorHAnsi" w:cstheme="majorBidi"/>
          <w:b/>
          <w:bCs/>
          <w:sz w:val="32"/>
          <w:szCs w:val="32"/>
        </w:rPr>
      </w:pPr>
      <w:r>
        <w:br w:type="page"/>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992"/>
        <w:gridCol w:w="11898"/>
        <w:gridCol w:w="483"/>
        <w:gridCol w:w="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560" w:type="dxa"/>
            <w:gridSpan w:val="5"/>
            <w:noWrap/>
            <w:vAlign w:val="center"/>
          </w:tcPr>
          <w:p>
            <w:pPr>
              <w:pStyle w:val="49"/>
            </w:pPr>
            <w:r>
              <w:rPr>
                <w:rFonts w:hint="eastAsia"/>
                <w:b/>
                <w:bCs w:val="0"/>
              </w:rPr>
              <w:t>阎良西飞二中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vAlign w:val="center"/>
          </w:tcPr>
          <w:p>
            <w:pPr>
              <w:pStyle w:val="49"/>
            </w:pPr>
            <w:r>
              <w:rPr>
                <w:rFonts w:hint="eastAsia"/>
              </w:rPr>
              <w:t>序号</w:t>
            </w:r>
          </w:p>
        </w:tc>
        <w:tc>
          <w:tcPr>
            <w:tcW w:w="992" w:type="dxa"/>
            <w:noWrap/>
            <w:vAlign w:val="center"/>
          </w:tcPr>
          <w:p>
            <w:pPr>
              <w:pStyle w:val="49"/>
            </w:pPr>
            <w:r>
              <w:rPr>
                <w:rFonts w:hint="eastAsia"/>
              </w:rPr>
              <w:t>设备名称</w:t>
            </w:r>
          </w:p>
        </w:tc>
        <w:tc>
          <w:tcPr>
            <w:tcW w:w="11898" w:type="dxa"/>
            <w:noWrap/>
            <w:vAlign w:val="center"/>
          </w:tcPr>
          <w:p>
            <w:pPr>
              <w:pStyle w:val="49"/>
            </w:pPr>
            <w:r>
              <w:rPr>
                <w:rFonts w:hint="eastAsia"/>
              </w:rPr>
              <w:t>技术参数</w:t>
            </w:r>
          </w:p>
        </w:tc>
        <w:tc>
          <w:tcPr>
            <w:tcW w:w="483" w:type="dxa"/>
            <w:noWrap/>
            <w:vAlign w:val="center"/>
          </w:tcPr>
          <w:p>
            <w:pPr>
              <w:pStyle w:val="49"/>
            </w:pPr>
            <w:r>
              <w:rPr>
                <w:rFonts w:hint="eastAsia"/>
              </w:rPr>
              <w:t>数量</w:t>
            </w:r>
          </w:p>
        </w:tc>
        <w:tc>
          <w:tcPr>
            <w:tcW w:w="483" w:type="dxa"/>
            <w:noWrap/>
            <w:vAlign w:val="center"/>
          </w:tcPr>
          <w:p>
            <w:pPr>
              <w:pStyle w:val="49"/>
            </w:pPr>
            <w:r>
              <w:rPr>
                <w:rFonts w:hint="eastAsi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94" w:type="dxa"/>
            <w:gridSpan w:val="3"/>
            <w:noWrap/>
            <w:vAlign w:val="center"/>
          </w:tcPr>
          <w:p>
            <w:pPr>
              <w:pStyle w:val="49"/>
            </w:pPr>
            <w:r>
              <w:rPr>
                <w:rFonts w:hint="eastAsia"/>
                <w:b/>
                <w:bCs w:val="0"/>
              </w:rPr>
              <w:t>一、巡查系统</w:t>
            </w:r>
          </w:p>
        </w:tc>
        <w:tc>
          <w:tcPr>
            <w:tcW w:w="483" w:type="dxa"/>
            <w:noWrap/>
            <w:vAlign w:val="center"/>
          </w:tcPr>
          <w:p>
            <w:pPr>
              <w:pStyle w:val="49"/>
            </w:pPr>
            <w:r>
              <w:rPr>
                <w:rFonts w:hint="eastAsia"/>
              </w:rPr>
              <w:t>　</w:t>
            </w:r>
          </w:p>
        </w:tc>
        <w:tc>
          <w:tcPr>
            <w:tcW w:w="483"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w:t>
            </w:r>
          </w:p>
        </w:tc>
        <w:tc>
          <w:tcPr>
            <w:tcW w:w="992" w:type="dxa"/>
            <w:vAlign w:val="center"/>
          </w:tcPr>
          <w:p>
            <w:pPr>
              <w:pStyle w:val="49"/>
            </w:pPr>
            <w:r>
              <w:rPr>
                <w:rFonts w:hint="eastAsia"/>
              </w:rPr>
              <w:t>管理计算机</w:t>
            </w:r>
          </w:p>
        </w:tc>
        <w:tc>
          <w:tcPr>
            <w:tcW w:w="11898" w:type="dxa"/>
            <w:vAlign w:val="center"/>
          </w:tcPr>
          <w:p>
            <w:pPr>
              <w:pStyle w:val="49"/>
            </w:pPr>
            <w:r>
              <w:rPr>
                <w:rFonts w:hint="eastAsia"/>
              </w:rPr>
              <w:t>性能不低于：I7-9700 8G DDRIII 2133MHz，128G固态硬盘，1TG SATA3 7200rpm， 2G独立显卡，23”显示器,USB鼠标键盘，win10</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5" w:hRule="atLeast"/>
        </w:trPr>
        <w:tc>
          <w:tcPr>
            <w:tcW w:w="704" w:type="dxa"/>
            <w:noWrap/>
            <w:vAlign w:val="center"/>
          </w:tcPr>
          <w:p>
            <w:pPr>
              <w:pStyle w:val="49"/>
            </w:pPr>
            <w:r>
              <w:rPr>
                <w:rFonts w:hint="eastAsia"/>
              </w:rPr>
              <w:t>2</w:t>
            </w:r>
          </w:p>
        </w:tc>
        <w:tc>
          <w:tcPr>
            <w:tcW w:w="992" w:type="dxa"/>
            <w:vAlign w:val="center"/>
          </w:tcPr>
          <w:p>
            <w:pPr>
              <w:pStyle w:val="49"/>
            </w:pPr>
            <w:r>
              <w:rPr>
                <w:rFonts w:hint="eastAsia"/>
              </w:rPr>
              <w:t>高清网络半球摄像机</w:t>
            </w:r>
          </w:p>
        </w:tc>
        <w:tc>
          <w:tcPr>
            <w:tcW w:w="11898" w:type="dxa"/>
            <w:vAlign w:val="center"/>
          </w:tcPr>
          <w:p>
            <w:pPr>
              <w:pStyle w:val="49"/>
            </w:pPr>
            <w:r>
              <w:rPr>
                <w:rFonts w:hint="eastAsia"/>
              </w:rPr>
              <w:t>1、≥400万半球型网络摄像机，采用1/2.7" CMOS传感器</w:t>
            </w:r>
            <w:r>
              <w:rPr>
                <w:rFonts w:hint="eastAsia"/>
              </w:rPr>
              <w:br w:type="textWrapping"/>
            </w:r>
            <w:r>
              <w:rPr>
                <w:rFonts w:hint="eastAsia"/>
              </w:rPr>
              <w:t>2、照度≤0.005Lux，0Lux with IR；</w:t>
            </w:r>
            <w:r>
              <w:rPr>
                <w:rFonts w:hint="eastAsia"/>
              </w:rPr>
              <w:br w:type="textWrapping"/>
            </w:r>
            <w:r>
              <w:rPr>
                <w:rFonts w:hint="eastAsia"/>
              </w:rPr>
              <w:t>3、采用2.7mm-12mm镜头, 水平视场角93°～35°；</w:t>
            </w:r>
            <w:r>
              <w:rPr>
                <w:rFonts w:hint="eastAsia"/>
              </w:rPr>
              <w:br w:type="textWrapping"/>
            </w:r>
            <w:r>
              <w:rPr>
                <w:rFonts w:hint="eastAsia"/>
              </w:rPr>
              <w:t>4、视频编码标准支持H.265、H.264、MJPEG编码格式，音频编码标准支持G.711/MP2L2/AAC，图像尺寸≥2560×1440；</w:t>
            </w:r>
            <w:r>
              <w:rPr>
                <w:rFonts w:hint="eastAsia"/>
              </w:rPr>
              <w:br w:type="textWrapping"/>
            </w:r>
            <w:r>
              <w:rPr>
                <w:rFonts w:hint="eastAsia"/>
              </w:rPr>
              <w:t>5、支持Micro SD/SDHC/SDXC卡(128G)本地存储；</w:t>
            </w:r>
            <w:r>
              <w:rPr>
                <w:rFonts w:hint="eastAsia"/>
              </w:rPr>
              <w:br w:type="textWrapping"/>
            </w:r>
            <w:r>
              <w:rPr>
                <w:rFonts w:hint="eastAsia"/>
              </w:rPr>
              <w:t>6、支持SIP、RTP、RTCP等网络协议，支持TS、PS流封装，支持标准SIP2.0协议；</w:t>
            </w:r>
            <w:r>
              <w:rPr>
                <w:rFonts w:hint="eastAsia"/>
              </w:rPr>
              <w:br w:type="textWrapping"/>
            </w:r>
            <w:r>
              <w:rPr>
                <w:rFonts w:hint="eastAsia"/>
              </w:rPr>
              <w:t>7、具有视频移动侦测能力，可根据设置策略实现相应的编码、传输、存储或视频报警；</w:t>
            </w:r>
            <w:r>
              <w:rPr>
                <w:rFonts w:hint="eastAsia"/>
              </w:rPr>
              <w:br w:type="textWrapping"/>
            </w:r>
            <w:r>
              <w:rPr>
                <w:rFonts w:hint="eastAsia"/>
              </w:rPr>
              <w:t>8、支持SIP的地址解析、信令转发，支持SIP URI统一命名规则、分级命名；</w:t>
            </w:r>
            <w:r>
              <w:rPr>
                <w:rFonts w:hint="eastAsia"/>
              </w:rPr>
              <w:br w:type="textWrapping"/>
            </w:r>
            <w:r>
              <w:rPr>
                <w:rFonts w:hint="eastAsia"/>
              </w:rPr>
              <w:t>9、支持UDP回放方式，支持UDP下载方式；</w:t>
            </w:r>
            <w:r>
              <w:rPr>
                <w:rFonts w:hint="eastAsia"/>
              </w:rPr>
              <w:br w:type="textWrapping"/>
            </w:r>
            <w:r>
              <w:rPr>
                <w:rFonts w:hint="eastAsia"/>
              </w:rPr>
              <w:t>10、支持时间同步功能，支持网络时间协议（NTP）；</w:t>
            </w:r>
            <w:r>
              <w:rPr>
                <w:rFonts w:hint="eastAsia"/>
              </w:rPr>
              <w:br w:type="textWrapping"/>
            </w:r>
            <w:r>
              <w:rPr>
                <w:rFonts w:hint="eastAsia"/>
              </w:rPr>
              <w:t>11、具有≥1个RJ45 10M/100M自适应以太网口、≥1对音频输入/输出接口、≥2对报警输入/输出接口；</w:t>
            </w:r>
            <w:r>
              <w:rPr>
                <w:rFonts w:hint="eastAsia"/>
              </w:rPr>
              <w:br w:type="textWrapping"/>
            </w:r>
            <w:r>
              <w:rPr>
                <w:rFonts w:hint="eastAsia"/>
              </w:rPr>
              <w:t>12、支持DC12V/PoE(802.3af)供电；</w:t>
            </w:r>
            <w:r>
              <w:rPr>
                <w:rFonts w:hint="eastAsia"/>
              </w:rPr>
              <w:br w:type="textWrapping"/>
            </w:r>
            <w:r>
              <w:rPr>
                <w:rFonts w:hint="eastAsia"/>
              </w:rPr>
              <w:t>13、红外照射距离≥30米；</w:t>
            </w:r>
            <w:r>
              <w:rPr>
                <w:rFonts w:hint="eastAsia"/>
              </w:rPr>
              <w:br w:type="textWrapping"/>
            </w:r>
            <w:r>
              <w:rPr>
                <w:rFonts w:hint="eastAsia"/>
              </w:rPr>
              <w:t>14、防护等级为IP67。</w:t>
            </w:r>
            <w:r>
              <w:rPr>
                <w:rFonts w:hint="eastAsia"/>
              </w:rPr>
              <w:br w:type="textWrapping"/>
            </w:r>
            <w:r>
              <w:rPr>
                <w:rFonts w:hint="eastAsia"/>
              </w:rPr>
              <w:t>15、符合标准：符合《公共安全视频监控联网系统信息传输、交换、控制技术要求》GB/T28181-2016。符合《国家教育考试网上巡查系统视频标准技术规范》JY/T-KS-JS-2017-1。</w:t>
            </w:r>
            <w:r>
              <w:rPr>
                <w:rFonts w:hint="eastAsia"/>
              </w:rPr>
              <w:br w:type="textWrapping"/>
            </w:r>
            <w:r>
              <w:rPr>
                <w:rFonts w:hint="eastAsia"/>
              </w:rPr>
              <w:t>16、包含支架和电源；</w:t>
            </w:r>
            <w:r>
              <w:rPr>
                <w:rFonts w:hint="eastAsia"/>
              </w:rPr>
              <w:br w:type="textWrapping"/>
            </w:r>
            <w:r>
              <w:rPr>
                <w:rFonts w:hint="eastAsia"/>
              </w:rPr>
              <w:t>17、提供产品来源渠道证明文件（包括但不限于销售协议、代理协议、原厂授权）加盖公章。</w:t>
            </w:r>
          </w:p>
        </w:tc>
        <w:tc>
          <w:tcPr>
            <w:tcW w:w="483" w:type="dxa"/>
            <w:noWrap/>
            <w:vAlign w:val="center"/>
          </w:tcPr>
          <w:p>
            <w:pPr>
              <w:pStyle w:val="49"/>
            </w:pPr>
            <w:r>
              <w:rPr>
                <w:rFonts w:hint="eastAsia"/>
              </w:rPr>
              <w:t>29</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704" w:type="dxa"/>
            <w:noWrap/>
            <w:vAlign w:val="center"/>
          </w:tcPr>
          <w:p>
            <w:pPr>
              <w:pStyle w:val="49"/>
            </w:pPr>
            <w:r>
              <w:rPr>
                <w:rFonts w:hint="eastAsia"/>
              </w:rPr>
              <w:t>3</w:t>
            </w:r>
          </w:p>
        </w:tc>
        <w:tc>
          <w:tcPr>
            <w:tcW w:w="992" w:type="dxa"/>
            <w:vAlign w:val="center"/>
          </w:tcPr>
          <w:p>
            <w:pPr>
              <w:pStyle w:val="49"/>
            </w:pPr>
            <w:r>
              <w:rPr>
                <w:rFonts w:hint="eastAsia"/>
              </w:rPr>
              <w:t>拾音器</w:t>
            </w:r>
          </w:p>
        </w:tc>
        <w:tc>
          <w:tcPr>
            <w:tcW w:w="11898" w:type="dxa"/>
            <w:vAlign w:val="center"/>
          </w:tcPr>
          <w:p>
            <w:pPr>
              <w:pStyle w:val="49"/>
            </w:pPr>
            <w:r>
              <w:rPr>
                <w:rFonts w:hint="eastAsia"/>
              </w:rPr>
              <w:t>监听面积：50平方米-100平方米；音频传输距离: 3000米 ；适配器：内置前置放大电路，不需要适配器；频率响应：20Hz ～ 20kHz； 连接方式：3条引线 (电源,音频,公共地)；灵敏度：-32dB；传输线缆：3芯0.5mm2 RVVP电缆；信噪比 ；80dB ( 1米40 dB音源) 30dB (10米40 dB音源) 1KHz at 1 Pa；指向特性；全指向性 动态范围：104dB (1KHz at Max dB SPL)；环境温度： -25℃ ～ 75℃；最大承受音压： 120dB SPL (1KHz,THD 1%)；输出阻抗；600欧姆非平衡；输出信号幅度 ：2.5Vpp/-25db。</w:t>
            </w:r>
          </w:p>
        </w:tc>
        <w:tc>
          <w:tcPr>
            <w:tcW w:w="483" w:type="dxa"/>
            <w:noWrap/>
            <w:vAlign w:val="center"/>
          </w:tcPr>
          <w:p>
            <w:pPr>
              <w:pStyle w:val="49"/>
            </w:pPr>
            <w:r>
              <w:rPr>
                <w:rFonts w:hint="eastAsia"/>
              </w:rPr>
              <w:t>29</w:t>
            </w:r>
          </w:p>
        </w:tc>
        <w:tc>
          <w:tcPr>
            <w:tcW w:w="483" w:type="dxa"/>
            <w:noWrap/>
            <w:vAlign w:val="center"/>
          </w:tcPr>
          <w:p>
            <w:pPr>
              <w:pStyle w:val="49"/>
            </w:pPr>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vAlign w:val="center"/>
          </w:tcPr>
          <w:p>
            <w:pPr>
              <w:pStyle w:val="49"/>
            </w:pPr>
            <w:r>
              <w:rPr>
                <w:rFonts w:hint="eastAsia"/>
              </w:rPr>
              <w:t>4</w:t>
            </w:r>
          </w:p>
        </w:tc>
        <w:tc>
          <w:tcPr>
            <w:tcW w:w="992" w:type="dxa"/>
            <w:vAlign w:val="center"/>
          </w:tcPr>
          <w:p>
            <w:pPr>
              <w:pStyle w:val="49"/>
            </w:pPr>
            <w:r>
              <w:rPr>
                <w:rFonts w:hint="eastAsia"/>
              </w:rPr>
              <w:t>筒型网络摄像机</w:t>
            </w:r>
          </w:p>
        </w:tc>
        <w:tc>
          <w:tcPr>
            <w:tcW w:w="11898" w:type="dxa"/>
            <w:vAlign w:val="center"/>
          </w:tcPr>
          <w:p>
            <w:pPr>
              <w:pStyle w:val="49"/>
            </w:pPr>
            <w:r>
              <w:rPr>
                <w:rFonts w:hint="eastAsia"/>
              </w:rPr>
              <w:t>≥400万筒型摄像机，采用1/2.7" CMOS传感器；最小照度最小照度≤0.005Lux，0Lux with IR；采用2.7mm-12mm镜头, 水平视场角93°～35°，视频编码标准支持H.265/H.264，音频编码标准支持G.711/MP2L2/AAC，图像尺寸≥2560×1440；支持Micro SD/SDHC/SDXC卡(≥128G)本地存储；具有≥1个RJ45 10M/100M自适应以太网口、1对音频输入/输出接口、2对报警输入/输出接口；支持DC12V/PoE(802.3af)供电；红外照射距离≥30米；防护等级为IP67。符合标准：符合《公共安全视频监控联网系统信息传输、交换、控制技术要求》GB/T28181-2016。符合《国家教育考试网上巡查系统视频标准技术规范》JY/T-KS-JS-2017-1。</w:t>
            </w:r>
          </w:p>
        </w:tc>
        <w:tc>
          <w:tcPr>
            <w:tcW w:w="483" w:type="dxa"/>
            <w:noWrap/>
            <w:vAlign w:val="center"/>
          </w:tcPr>
          <w:p>
            <w:pPr>
              <w:pStyle w:val="49"/>
            </w:pPr>
            <w:r>
              <w:rPr>
                <w:rFonts w:hint="eastAsia"/>
              </w:rPr>
              <w:t>8</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0" w:hRule="atLeast"/>
        </w:trPr>
        <w:tc>
          <w:tcPr>
            <w:tcW w:w="704" w:type="dxa"/>
            <w:noWrap/>
            <w:vAlign w:val="center"/>
          </w:tcPr>
          <w:p>
            <w:pPr>
              <w:pStyle w:val="49"/>
            </w:pPr>
            <w:r>
              <w:rPr>
                <w:rFonts w:hint="eastAsia"/>
              </w:rPr>
              <w:t>5</w:t>
            </w:r>
          </w:p>
        </w:tc>
        <w:tc>
          <w:tcPr>
            <w:tcW w:w="992" w:type="dxa"/>
            <w:vAlign w:val="center"/>
          </w:tcPr>
          <w:p>
            <w:pPr>
              <w:pStyle w:val="49"/>
            </w:pPr>
            <w:r>
              <w:rPr>
                <w:rFonts w:hint="eastAsia"/>
              </w:rPr>
              <w:t>高清网络球型摄像机</w:t>
            </w:r>
          </w:p>
        </w:tc>
        <w:tc>
          <w:tcPr>
            <w:tcW w:w="11898" w:type="dxa"/>
            <w:vAlign w:val="center"/>
          </w:tcPr>
          <w:p>
            <w:pPr>
              <w:pStyle w:val="49"/>
            </w:pPr>
            <w:r>
              <w:rPr>
                <w:rFonts w:hint="eastAsia"/>
              </w:rPr>
              <w:t>1、≥400万7寸红外网络高清智能球机，采用1/2.5" CMOS传感器，最小照度≤0.005Lux，0Lux with IR；</w:t>
            </w:r>
          </w:p>
          <w:p>
            <w:pPr>
              <w:pStyle w:val="49"/>
            </w:pPr>
            <w:r>
              <w:rPr>
                <w:rFonts w:hint="eastAsia"/>
              </w:rPr>
              <w:t>2、采用4.8mm-110mm镜头, ≥ 23倍光学变倍、≥16倍数字变倍；</w:t>
            </w:r>
          </w:p>
          <w:p>
            <w:pPr>
              <w:pStyle w:val="49"/>
            </w:pPr>
            <w:r>
              <w:rPr>
                <w:rFonts w:hint="eastAsia"/>
              </w:rPr>
              <w:t>3、视频编码标准支持H.265/H.264，音频编码标准支持G.711/MP2L2/AAC等，≥2560×1440；</w:t>
            </w:r>
          </w:p>
          <w:p>
            <w:pPr>
              <w:pStyle w:val="49"/>
            </w:pPr>
            <w:r>
              <w:rPr>
                <w:rFonts w:hint="eastAsia"/>
              </w:rPr>
              <w:t>4、最高输出帧率为30fps、输出分辨率支持2560×1440/1920×1080/1280×960/1280×720；</w:t>
            </w:r>
          </w:p>
          <w:p>
            <w:pPr>
              <w:pStyle w:val="49"/>
            </w:pPr>
            <w:r>
              <w:rPr>
                <w:rFonts w:hint="eastAsia"/>
              </w:rPr>
              <w:t>5、支持Micro SD/SDHC/SDXC卡(≥256G)本地存储；</w:t>
            </w:r>
          </w:p>
          <w:p>
            <w:pPr>
              <w:pStyle w:val="49"/>
            </w:pPr>
            <w:r>
              <w:rPr>
                <w:rFonts w:hint="eastAsia"/>
              </w:rPr>
              <w:t>6、具有智能报警功能，支持越界侦测、区域入侵侦测、音频异常侦测和移动侦测等报警类型；</w:t>
            </w:r>
          </w:p>
          <w:p>
            <w:pPr>
              <w:pStyle w:val="49"/>
            </w:pPr>
            <w:r>
              <w:rPr>
                <w:rFonts w:hint="eastAsia"/>
              </w:rPr>
              <w:t>7、支持宽动态、透雾、强光抑制、3D定位和电子防抖；</w:t>
            </w:r>
          </w:p>
          <w:p>
            <w:pPr>
              <w:pStyle w:val="49"/>
            </w:pPr>
            <w:r>
              <w:rPr>
                <w:rFonts w:hint="eastAsia"/>
              </w:rPr>
              <w:t>8、水平及垂直：水平范围360°，垂直范围-15°～90°，水平转速：0.1°～160°/s，速度可设，水平预置点速度：240°/s，垂直速度：垂直转速：0.1°～120°/s，速度可设，垂直预置点速度：200°/s；</w:t>
            </w:r>
          </w:p>
          <w:p>
            <w:pPr>
              <w:pStyle w:val="49"/>
            </w:pPr>
            <w:r>
              <w:rPr>
                <w:rFonts w:hint="eastAsia"/>
              </w:rPr>
              <w:t>9、支持≥300个预置点；</w:t>
            </w:r>
          </w:p>
          <w:p>
            <w:pPr>
              <w:pStyle w:val="49"/>
            </w:pPr>
            <w:r>
              <w:rPr>
                <w:rFonts w:hint="eastAsia"/>
              </w:rPr>
              <w:t>10、≥8条巡航扫描，每条可设置≥32个预置点，支持断电记忆；</w:t>
            </w:r>
          </w:p>
          <w:p>
            <w:pPr>
              <w:pStyle w:val="49"/>
            </w:pPr>
            <w:r>
              <w:rPr>
                <w:rFonts w:hint="eastAsia"/>
              </w:rPr>
              <w:t>11、支持标准SIP2.0，支持统一SIP URI统一命名规则、分级命名；</w:t>
            </w:r>
          </w:p>
          <w:p>
            <w:pPr>
              <w:pStyle w:val="49"/>
            </w:pPr>
            <w:r>
              <w:rPr>
                <w:rFonts w:hint="eastAsia"/>
              </w:rPr>
              <w:t xml:space="preserve">12、具有≥1个RJ45 10M/100M自适应以太网口、≥1对音频输入/输出接口、≥1对报警输入/输出接口； </w:t>
            </w:r>
          </w:p>
          <w:p>
            <w:pPr>
              <w:pStyle w:val="49"/>
            </w:pPr>
            <w:r>
              <w:rPr>
                <w:rFonts w:hint="eastAsia"/>
              </w:rPr>
              <w:t>13、红外照射距离≥150米；</w:t>
            </w:r>
          </w:p>
          <w:p>
            <w:pPr>
              <w:pStyle w:val="49"/>
            </w:pPr>
            <w:r>
              <w:rPr>
                <w:rFonts w:hint="eastAsia"/>
              </w:rPr>
              <w:t>14、防护等级：IP66，TVS 4000V 防雷、防浪涌、防突波，符合GB/T17626.5 四级标准；</w:t>
            </w:r>
          </w:p>
          <w:p>
            <w:pPr>
              <w:pStyle w:val="49"/>
            </w:pPr>
            <w:r>
              <w:rPr>
                <w:rFonts w:hint="eastAsia"/>
              </w:rPr>
              <w:t>15、符合标准：符合《国家教育考试网上巡查系统视频标准技术规范》JY/T-KS-JS-2017-1。</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vAlign w:val="center"/>
          </w:tcPr>
          <w:p>
            <w:pPr>
              <w:pStyle w:val="49"/>
            </w:pPr>
            <w:r>
              <w:rPr>
                <w:rFonts w:hint="eastAsia"/>
              </w:rPr>
              <w:t>6</w:t>
            </w:r>
          </w:p>
        </w:tc>
        <w:tc>
          <w:tcPr>
            <w:tcW w:w="992" w:type="dxa"/>
            <w:vAlign w:val="center"/>
          </w:tcPr>
          <w:p>
            <w:pPr>
              <w:pStyle w:val="49"/>
            </w:pPr>
            <w:r>
              <w:rPr>
                <w:rFonts w:hint="eastAsia"/>
              </w:rPr>
              <w:t>SIP网关及媒体转发服务器</w:t>
            </w:r>
          </w:p>
        </w:tc>
        <w:tc>
          <w:tcPr>
            <w:tcW w:w="11898" w:type="dxa"/>
            <w:vAlign w:val="center"/>
          </w:tcPr>
          <w:p>
            <w:pPr>
              <w:pStyle w:val="49"/>
            </w:pPr>
            <w:r>
              <w:rPr>
                <w:rFonts w:hint="eastAsia"/>
              </w:rPr>
              <w:t>1、SIP网关为嵌入式，内置linux操作系统；本身具有抗病毒和抗攻击能力，避免遭受病毒攻击，确保服务器能够长期稳定运行。具有点播、录像等功能。</w:t>
            </w:r>
          </w:p>
          <w:p>
            <w:pPr>
              <w:pStyle w:val="49"/>
            </w:pPr>
            <w:r>
              <w:rPr>
                <w:rFonts w:hint="eastAsia"/>
              </w:rPr>
              <w:t>2、能实现《国家教育考试网上巡查系统视频标准技术规范》JY/T-KS-JS-2017-1中规定的SIP协议与其它协议相互转换；（提供满足参数的证明材料，不限于检测报告、彩页官网截图等）</w:t>
            </w:r>
          </w:p>
          <w:p>
            <w:pPr>
              <w:pStyle w:val="49"/>
            </w:pPr>
            <w:r>
              <w:rPr>
                <w:rFonts w:hint="eastAsia"/>
              </w:rPr>
              <w:t>3、支持标准SIP2.0；支持SIP地址解析、信令转发；</w:t>
            </w:r>
          </w:p>
          <w:p>
            <w:pPr>
              <w:pStyle w:val="49"/>
            </w:pPr>
            <w:r>
              <w:rPr>
                <w:rFonts w:hint="eastAsia"/>
              </w:rPr>
              <w:t>4、支持H.264、H.265、MPEG4视频编码格式；支持ACC、G.711、MPEG Layer2音频编码格式；</w:t>
            </w:r>
          </w:p>
          <w:p>
            <w:pPr>
              <w:pStyle w:val="49"/>
            </w:pPr>
            <w:r>
              <w:rPr>
                <w:rFonts w:hint="eastAsia"/>
              </w:rPr>
              <w:t>5、支持IP、UDP、RTP、RTCP、SIP等网络协议；</w:t>
            </w:r>
          </w:p>
          <w:p>
            <w:pPr>
              <w:pStyle w:val="49"/>
            </w:pPr>
            <w:r>
              <w:rPr>
                <w:rFonts w:hint="eastAsia"/>
              </w:rPr>
              <w:t>6、单台设备可提供≥64路1920x1080媒体流的分发功能；</w:t>
            </w:r>
          </w:p>
          <w:p>
            <w:pPr>
              <w:pStyle w:val="49"/>
            </w:pPr>
            <w:r>
              <w:rPr>
                <w:rFonts w:hint="eastAsia"/>
              </w:rPr>
              <w:t>7、具有音、视频转发和路由控制功能，流媒体的NAT穿越功能；</w:t>
            </w:r>
          </w:p>
          <w:p>
            <w:pPr>
              <w:pStyle w:val="49"/>
            </w:pPr>
            <w:r>
              <w:rPr>
                <w:rFonts w:hint="eastAsia"/>
              </w:rPr>
              <w:t>8、支持时间同步功能支持网络时间协议（NTP）；</w:t>
            </w:r>
          </w:p>
          <w:p>
            <w:pPr>
              <w:pStyle w:val="49"/>
            </w:pPr>
            <w:r>
              <w:rPr>
                <w:rFonts w:hint="eastAsia"/>
              </w:rPr>
              <w:t>9、设备支持考试计划管理、支持考务人员编排功能，支持物理考场和逻辑考场对应功能，支持摄像机物理与考场逻辑位置对应，系统支持通过查看实时视频，查看该视频涉及考场的考试人员信息；</w:t>
            </w:r>
          </w:p>
          <w:p>
            <w:pPr>
              <w:pStyle w:val="49"/>
            </w:pPr>
            <w:r>
              <w:rPr>
                <w:rFonts w:hint="eastAsia"/>
              </w:rPr>
              <w:t>10、具有≥2个10M/100M/1000M自适应以太网接口；</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4" w:type="dxa"/>
            <w:noWrap/>
            <w:vAlign w:val="center"/>
          </w:tcPr>
          <w:p>
            <w:pPr>
              <w:pStyle w:val="49"/>
            </w:pPr>
            <w:r>
              <w:rPr>
                <w:rFonts w:hint="eastAsia"/>
              </w:rPr>
              <w:t>7</w:t>
            </w:r>
          </w:p>
        </w:tc>
        <w:tc>
          <w:tcPr>
            <w:tcW w:w="992" w:type="dxa"/>
            <w:vAlign w:val="center"/>
          </w:tcPr>
          <w:p>
            <w:pPr>
              <w:pStyle w:val="49"/>
            </w:pPr>
            <w:r>
              <w:rPr>
                <w:rFonts w:hint="eastAsia"/>
              </w:rPr>
              <w:t>网上巡查系统软件</w:t>
            </w:r>
          </w:p>
        </w:tc>
        <w:tc>
          <w:tcPr>
            <w:tcW w:w="11898" w:type="dxa"/>
            <w:vAlign w:val="center"/>
          </w:tcPr>
          <w:p>
            <w:pPr>
              <w:pStyle w:val="49"/>
            </w:pPr>
            <w:r>
              <w:rPr>
                <w:rFonts w:hint="eastAsia"/>
              </w:rPr>
              <w:t xml:space="preserve">1.软件界面明显位置具有帮助按钮，当用户需要时能提供文档说明，功能界面具有导航栏。 </w:t>
            </w:r>
            <w:r>
              <w:rPr>
                <w:rFonts w:hint="eastAsia"/>
              </w:rPr>
              <w:br w:type="textWrapping"/>
            </w:r>
            <w:r>
              <w:rPr>
                <w:rFonts w:hint="eastAsia"/>
              </w:rPr>
              <w:t xml:space="preserve">2.软件平台支持多用户使用，用户登录时经过账号和密码的相关性、安全性验证，防止非法操作。 </w:t>
            </w:r>
            <w:r>
              <w:rPr>
                <w:rFonts w:hint="eastAsia"/>
              </w:rPr>
              <w:br w:type="textWrapping"/>
            </w:r>
            <w:r>
              <w:rPr>
                <w:rFonts w:hint="eastAsia"/>
              </w:rPr>
              <w:t xml:space="preserve">3.软件平台具有较高的安全性，具有加密锁防护，防止软件被非法复制挪用，在加密锁失效或丢失的情况下，软件支持激活码激活。 </w:t>
            </w:r>
            <w:r>
              <w:rPr>
                <w:rFonts w:hint="eastAsia"/>
              </w:rPr>
              <w:br w:type="textWrapping"/>
            </w:r>
            <w:r>
              <w:rPr>
                <w:rFonts w:hint="eastAsia"/>
              </w:rPr>
              <w:t>4.视频预览界面具有导航列表和视频显示窗口，导航列可收缩折叠。</w:t>
            </w:r>
            <w:r>
              <w:rPr>
                <w:rFonts w:hint="eastAsia"/>
              </w:rPr>
              <w:br w:type="textWrapping"/>
            </w:r>
            <w:r>
              <w:rPr>
                <w:rFonts w:hint="eastAsia"/>
              </w:rPr>
              <w:t xml:space="preserve">5.视频预览窗口支持1、4、9、1+5等多画面预览。 </w:t>
            </w:r>
            <w:r>
              <w:rPr>
                <w:rFonts w:hint="eastAsia"/>
              </w:rPr>
              <w:br w:type="textWrapping"/>
            </w:r>
            <w:r>
              <w:rPr>
                <w:rFonts w:hint="eastAsia"/>
              </w:rPr>
              <w:t>6.在视频图像预览时支持抓图、录像、开启或关闭声音以及云台控制等操作。</w:t>
            </w:r>
            <w:r>
              <w:rPr>
                <w:rFonts w:hint="eastAsia"/>
              </w:rPr>
              <w:br w:type="textWrapping"/>
            </w:r>
            <w:r>
              <w:rPr>
                <w:rFonts w:hint="eastAsia"/>
              </w:rPr>
              <w:t xml:space="preserve">7.具有巡查列表提交功能，上传列表可选，可将考务规定的巡查编码设备通道列表上传，考务规定以外的列表可实现不上传但是能本地查看。 </w:t>
            </w:r>
            <w:r>
              <w:rPr>
                <w:rFonts w:hint="eastAsia"/>
              </w:rPr>
              <w:br w:type="textWrapping"/>
            </w:r>
            <w:r>
              <w:rPr>
                <w:rFonts w:hint="eastAsia"/>
              </w:rPr>
              <w:t>8.视频巡查实现分组巡查：支持考场，走廊，保密室独立创建分组进行巡查。</w:t>
            </w:r>
            <w:r>
              <w:rPr>
                <w:rFonts w:hint="eastAsia"/>
              </w:rPr>
              <w:br w:type="textWrapping"/>
            </w:r>
            <w:r>
              <w:rPr>
                <w:rFonts w:hint="eastAsia"/>
              </w:rPr>
              <w:t>9.支持按设备名称、区域节点名称检索设备树列表，支持考试任务接收，上传列表符合性校验，支持自定义设备树，可根据考试任务需求选择性创建设备树列表。</w:t>
            </w:r>
            <w:r>
              <w:rPr>
                <w:rFonts w:hint="eastAsia"/>
              </w:rPr>
              <w:br w:type="textWrapping"/>
            </w:r>
            <w:r>
              <w:rPr>
                <w:rFonts w:hint="eastAsia"/>
              </w:rPr>
              <w:t xml:space="preserve">10.支持对存储设备远程管理，实现存储控制、录像策略制定等功能。 </w:t>
            </w:r>
            <w:r>
              <w:rPr>
                <w:rFonts w:hint="eastAsia"/>
              </w:rPr>
              <w:br w:type="textWrapping"/>
            </w:r>
            <w:r>
              <w:rPr>
                <w:rFonts w:hint="eastAsia"/>
              </w:rPr>
              <w:t xml:space="preserve">11.支持对多台电视墙解码设备远程集中管理，实现远程解码上墙的内容控制、显示模式、轮巡切换、主辅码流等设置功能。 </w:t>
            </w:r>
            <w:r>
              <w:rPr>
                <w:rFonts w:hint="eastAsia"/>
              </w:rPr>
              <w:br w:type="textWrapping"/>
            </w:r>
            <w:r>
              <w:rPr>
                <w:rFonts w:hint="eastAsia"/>
              </w:rPr>
              <w:t xml:space="preserve">12.软件具有对所有网络摄像机、存储服务器、网络数字矩阵画面分割器、SIP服务器远程管理设置、视频预览、OSD设置、校时、设备列表树管理、列表上传、录像文件检索、下载、回放等功能。 </w:t>
            </w:r>
            <w:r>
              <w:rPr>
                <w:rFonts w:hint="eastAsia"/>
              </w:rPr>
              <w:br w:type="textWrapping"/>
            </w:r>
            <w:r>
              <w:rPr>
                <w:rFonts w:hint="eastAsia"/>
              </w:rPr>
              <w:t>13.功能设计符合《国家教育考试网上巡查系统视频标准技术规范》JY/T-KS-JS-2017-1。</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vAlign w:val="center"/>
          </w:tcPr>
          <w:p>
            <w:pPr>
              <w:pStyle w:val="49"/>
            </w:pPr>
            <w:r>
              <w:rPr>
                <w:rFonts w:hint="eastAsia"/>
              </w:rPr>
              <w:t>8</w:t>
            </w:r>
          </w:p>
        </w:tc>
        <w:tc>
          <w:tcPr>
            <w:tcW w:w="992" w:type="dxa"/>
            <w:vAlign w:val="center"/>
          </w:tcPr>
          <w:p>
            <w:pPr>
              <w:pStyle w:val="49"/>
            </w:pPr>
            <w:r>
              <w:rPr>
                <w:rFonts w:hint="eastAsia"/>
              </w:rPr>
              <w:t>网络硬盘录像机</w:t>
            </w:r>
          </w:p>
        </w:tc>
        <w:tc>
          <w:tcPr>
            <w:tcW w:w="11898" w:type="dxa"/>
            <w:vAlign w:val="center"/>
          </w:tcPr>
          <w:p>
            <w:pPr>
              <w:pStyle w:val="49"/>
            </w:pPr>
            <w:r>
              <w:rPr>
                <w:rFonts w:hint="eastAsia"/>
              </w:rPr>
              <w:t>1、网络视频输入≥64路；</w:t>
            </w:r>
            <w:r>
              <w:rPr>
                <w:rFonts w:hint="eastAsia"/>
              </w:rPr>
              <w:br w:type="textWrapping"/>
            </w:r>
            <w:r>
              <w:rPr>
                <w:rFonts w:hint="eastAsia"/>
              </w:rPr>
              <w:t>2、具有录像回放及检索等功能；</w:t>
            </w:r>
            <w:r>
              <w:rPr>
                <w:rFonts w:hint="eastAsia"/>
              </w:rPr>
              <w:br w:type="textWrapping"/>
            </w:r>
            <w:r>
              <w:rPr>
                <w:rFonts w:hint="eastAsia"/>
              </w:rPr>
              <w:t>3、具有VGA输出：≥2路、HDMI输出：≥2路，RJ45≥2路，SATA接口≥8路，eSATA接口≥1路；</w:t>
            </w:r>
            <w:r>
              <w:rPr>
                <w:rFonts w:hint="eastAsia"/>
              </w:rPr>
              <w:br w:type="textWrapping"/>
            </w:r>
            <w:r>
              <w:rPr>
                <w:rFonts w:hint="eastAsia"/>
              </w:rPr>
              <w:t>4、预览分割：1/4/6/8/9/16/25/32/64画面；</w:t>
            </w:r>
            <w:r>
              <w:rPr>
                <w:rFonts w:hint="eastAsia"/>
              </w:rPr>
              <w:br w:type="textWrapping"/>
            </w:r>
            <w:r>
              <w:rPr>
                <w:rFonts w:hint="eastAsia"/>
              </w:rPr>
              <w:t>5、视频编码格式支持H.264、H.265、MPEG4编码格式，音频编码支持ACC、G.711、MPEG Layer2音频编码格式；</w:t>
            </w:r>
            <w:r>
              <w:rPr>
                <w:rFonts w:hint="eastAsia"/>
              </w:rPr>
              <w:br w:type="textWrapping"/>
            </w:r>
            <w:r>
              <w:rPr>
                <w:rFonts w:hint="eastAsia"/>
              </w:rPr>
              <w:t>6、支持TS、PS流封装格式，支持标准SIP2.0、支持SIP地址解析、信令转发、支持SIP URI 统一命名规则、分级命名；</w:t>
            </w:r>
            <w:r>
              <w:rPr>
                <w:rFonts w:hint="eastAsia"/>
              </w:rPr>
              <w:br w:type="textWrapping"/>
            </w:r>
            <w:r>
              <w:rPr>
                <w:rFonts w:hint="eastAsia"/>
              </w:rPr>
              <w:t>7、支持TCP/IP、DHCP、SIP、RTCP、PPOE等网络协议；</w:t>
            </w:r>
            <w:r>
              <w:rPr>
                <w:rFonts w:hint="eastAsia"/>
              </w:rPr>
              <w:br w:type="textWrapping"/>
            </w:r>
            <w:r>
              <w:rPr>
                <w:rFonts w:hint="eastAsia"/>
              </w:rPr>
              <w:t>8、具有数字时钟显示（OSD）功能，支持时间同步功能，支持网络时间协议（NTP）；</w:t>
            </w:r>
            <w:r>
              <w:rPr>
                <w:rFonts w:hint="eastAsia"/>
              </w:rPr>
              <w:br w:type="textWrapping"/>
            </w:r>
            <w:r>
              <w:rPr>
                <w:rFonts w:hint="eastAsia"/>
              </w:rPr>
              <w:t>9、支持硬盘配额和硬盘盘组两种存储模式，可对不同通道分配不同的录像保存容量，单块硬盘≥10TB；</w:t>
            </w:r>
            <w:r>
              <w:rPr>
                <w:rFonts w:hint="eastAsia"/>
              </w:rPr>
              <w:br w:type="textWrapping"/>
            </w:r>
            <w:r>
              <w:rPr>
                <w:rFonts w:hint="eastAsia"/>
              </w:rPr>
              <w:t>10、支持RAIDO、1、5、10；</w:t>
            </w:r>
            <w:r>
              <w:rPr>
                <w:rFonts w:hint="eastAsia"/>
              </w:rPr>
              <w:br w:type="textWrapping"/>
            </w:r>
            <w:r>
              <w:rPr>
                <w:rFonts w:hint="eastAsia"/>
              </w:rPr>
              <w:t>11、提供产品来源渠道证明文件（包括但不限于销售协议、代理协议、原厂授权）加盖公章。</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9</w:t>
            </w:r>
          </w:p>
        </w:tc>
        <w:tc>
          <w:tcPr>
            <w:tcW w:w="992" w:type="dxa"/>
            <w:vAlign w:val="center"/>
          </w:tcPr>
          <w:p>
            <w:pPr>
              <w:pStyle w:val="49"/>
            </w:pPr>
            <w:r>
              <w:rPr>
                <w:rFonts w:hint="eastAsia"/>
              </w:rPr>
              <w:t>企业级硬盘</w:t>
            </w:r>
          </w:p>
        </w:tc>
        <w:tc>
          <w:tcPr>
            <w:tcW w:w="11898" w:type="dxa"/>
            <w:vAlign w:val="center"/>
          </w:tcPr>
          <w:p>
            <w:pPr>
              <w:pStyle w:val="49"/>
            </w:pPr>
            <w:r>
              <w:rPr>
                <w:rFonts w:hint="eastAsia"/>
              </w:rPr>
              <w:t>≥4T，7200转</w:t>
            </w:r>
          </w:p>
        </w:tc>
        <w:tc>
          <w:tcPr>
            <w:tcW w:w="483" w:type="dxa"/>
            <w:noWrap/>
            <w:vAlign w:val="center"/>
          </w:tcPr>
          <w:p>
            <w:pPr>
              <w:pStyle w:val="49"/>
            </w:pPr>
            <w:r>
              <w:rPr>
                <w:rFonts w:hint="eastAsia"/>
              </w:rPr>
              <w:t>8</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10</w:t>
            </w:r>
          </w:p>
        </w:tc>
        <w:tc>
          <w:tcPr>
            <w:tcW w:w="992" w:type="dxa"/>
            <w:vAlign w:val="center"/>
          </w:tcPr>
          <w:p>
            <w:pPr>
              <w:pStyle w:val="49"/>
            </w:pPr>
            <w:r>
              <w:rPr>
                <w:rFonts w:hint="eastAsia"/>
              </w:rPr>
              <w:t>显示器</w:t>
            </w:r>
          </w:p>
        </w:tc>
        <w:tc>
          <w:tcPr>
            <w:tcW w:w="11898" w:type="dxa"/>
            <w:vAlign w:val="center"/>
          </w:tcPr>
          <w:p>
            <w:pPr>
              <w:pStyle w:val="49"/>
            </w:pPr>
            <w:r>
              <w:rPr>
                <w:rFonts w:hint="eastAsia"/>
              </w:rPr>
              <w:t>≥23寸显示器，支持HDMI或DVI输入</w:t>
            </w:r>
          </w:p>
        </w:tc>
        <w:tc>
          <w:tcPr>
            <w:tcW w:w="483" w:type="dxa"/>
            <w:noWrap/>
            <w:vAlign w:val="center"/>
          </w:tcPr>
          <w:p>
            <w:pPr>
              <w:pStyle w:val="49"/>
            </w:pPr>
            <w:r>
              <w:rPr>
                <w:rFonts w:hint="eastAsia"/>
              </w:rPr>
              <w:t>3</w:t>
            </w:r>
          </w:p>
        </w:tc>
        <w:tc>
          <w:tcPr>
            <w:tcW w:w="483"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4" w:type="dxa"/>
            <w:noWrap/>
            <w:vAlign w:val="center"/>
          </w:tcPr>
          <w:p>
            <w:pPr>
              <w:pStyle w:val="49"/>
            </w:pPr>
            <w:r>
              <w:rPr>
                <w:rFonts w:hint="eastAsia"/>
              </w:rPr>
              <w:t>11</w:t>
            </w:r>
          </w:p>
        </w:tc>
        <w:tc>
          <w:tcPr>
            <w:tcW w:w="992" w:type="dxa"/>
            <w:vAlign w:val="center"/>
          </w:tcPr>
          <w:p>
            <w:pPr>
              <w:pStyle w:val="49"/>
            </w:pPr>
            <w:r>
              <w:rPr>
                <w:rFonts w:hint="eastAsia"/>
              </w:rPr>
              <w:t>电脑桌椅</w:t>
            </w:r>
          </w:p>
        </w:tc>
        <w:tc>
          <w:tcPr>
            <w:tcW w:w="11898" w:type="dxa"/>
            <w:vAlign w:val="center"/>
          </w:tcPr>
          <w:p>
            <w:pPr>
              <w:pStyle w:val="49"/>
            </w:pPr>
            <w:r>
              <w:rPr>
                <w:rFonts w:hint="eastAsia"/>
              </w:rPr>
              <w:t>2机位电脑桌，2把电脑椅，选用优质环保高级中密度纤维板，并经过防虫、防腐、高温、高压处理，；密度：0.72g/cm³;E1级环保标准，甲醛释放量≤9.0mg/100mg面漆：采用环保面漆，透明度高、耐划伤、防黄变，符合国家标准；VOC≤670g/l(苯≤0.3％，甲苯、二甲苯、乙苯总和≤30％等）。</w:t>
            </w:r>
            <w:r>
              <w:t xml:space="preserve"> </w:t>
            </w:r>
          </w:p>
        </w:tc>
        <w:tc>
          <w:tcPr>
            <w:tcW w:w="483" w:type="dxa"/>
            <w:noWrap/>
            <w:vAlign w:val="center"/>
          </w:tcPr>
          <w:p>
            <w:pPr>
              <w:pStyle w:val="49"/>
            </w:pPr>
            <w:r>
              <w:rPr>
                <w:rFonts w:hint="eastAsia"/>
              </w:rPr>
              <w:t>4</w:t>
            </w:r>
          </w:p>
        </w:tc>
        <w:tc>
          <w:tcPr>
            <w:tcW w:w="483"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5" w:hRule="atLeast"/>
        </w:trPr>
        <w:tc>
          <w:tcPr>
            <w:tcW w:w="704" w:type="dxa"/>
            <w:noWrap/>
            <w:vAlign w:val="center"/>
          </w:tcPr>
          <w:p>
            <w:pPr>
              <w:pStyle w:val="49"/>
            </w:pPr>
            <w:r>
              <w:rPr>
                <w:rFonts w:hint="eastAsia"/>
              </w:rPr>
              <w:t>12</w:t>
            </w:r>
          </w:p>
        </w:tc>
        <w:tc>
          <w:tcPr>
            <w:tcW w:w="992" w:type="dxa"/>
            <w:vAlign w:val="center"/>
          </w:tcPr>
          <w:p>
            <w:pPr>
              <w:pStyle w:val="49"/>
            </w:pPr>
            <w:r>
              <w:rPr>
                <w:rFonts w:hint="eastAsia"/>
              </w:rPr>
              <w:t>多画面数字分割器</w:t>
            </w:r>
          </w:p>
        </w:tc>
        <w:tc>
          <w:tcPr>
            <w:tcW w:w="11898" w:type="dxa"/>
            <w:vAlign w:val="center"/>
          </w:tcPr>
          <w:p>
            <w:pPr>
              <w:pStyle w:val="49"/>
            </w:pPr>
            <w:r>
              <w:rPr>
                <w:rFonts w:hint="eastAsia"/>
              </w:rPr>
              <w:t>1、具有≥4路HDMI输出接口；</w:t>
            </w:r>
            <w:r>
              <w:rPr>
                <w:rFonts w:hint="eastAsia"/>
              </w:rPr>
              <w:br w:type="textWrapping"/>
            </w:r>
            <w:r>
              <w:rPr>
                <w:rFonts w:hint="eastAsia"/>
              </w:rPr>
              <w:t>2、支持≥32个解码通道，解码能力支持≥32路1080P@30fps及以下分辨率；</w:t>
            </w:r>
            <w:r>
              <w:rPr>
                <w:rFonts w:hint="eastAsia"/>
              </w:rPr>
              <w:br w:type="textWrapping"/>
            </w:r>
            <w:r>
              <w:rPr>
                <w:rFonts w:hint="eastAsia"/>
              </w:rPr>
              <w:t>3、画面分割数支持1/4/6/8/9/12/16/25；</w:t>
            </w:r>
            <w:r>
              <w:rPr>
                <w:rFonts w:hint="eastAsia"/>
              </w:rPr>
              <w:br w:type="textWrapping"/>
            </w:r>
            <w:r>
              <w:rPr>
                <w:rFonts w:hint="eastAsia"/>
              </w:rPr>
              <w:t>4、支持SIP2.0协议、支持SIP地址解析、信令转发，SIP、RTP、RTCP等网络协议；</w:t>
            </w:r>
            <w:r>
              <w:rPr>
                <w:rFonts w:hint="eastAsia"/>
              </w:rPr>
              <w:br w:type="textWrapping"/>
            </w:r>
            <w:r>
              <w:rPr>
                <w:rFonts w:hint="eastAsia"/>
              </w:rPr>
              <w:t>5、具有≥20个RJ45接口，具有≥4路音频输出接口，≥1个RS232串行接口、≥1个DVI口、≥1个VGA口、≥2个RCA接口、≥2个USB接口；</w:t>
            </w:r>
            <w:r>
              <w:rPr>
                <w:rFonts w:hint="eastAsia"/>
              </w:rPr>
              <w:br w:type="textWrapping"/>
            </w:r>
            <w:r>
              <w:rPr>
                <w:rFonts w:hint="eastAsia"/>
              </w:rPr>
              <w:t>6、具有≥8路报警输入及≥8路报警输出接口；</w:t>
            </w:r>
            <w:r>
              <w:rPr>
                <w:rFonts w:hint="eastAsia"/>
              </w:rPr>
              <w:br w:type="textWrapping"/>
            </w:r>
            <w:r>
              <w:rPr>
                <w:rFonts w:hint="eastAsia"/>
              </w:rPr>
              <w:t>7、符合标准：《国家教育考试网上巡查系统视频标准技术规范》JY/T-KS-JS-2017-1。</w:t>
            </w:r>
            <w:r>
              <w:rPr>
                <w:rFonts w:hint="eastAsia"/>
              </w:rPr>
              <w:br w:type="textWrapping"/>
            </w:r>
            <w:r>
              <w:rPr>
                <w:rFonts w:hint="eastAsia"/>
              </w:rPr>
              <w:t>8、提供产品来源渠道证明文件（包括但不限于销售协议、代理协议、原厂授权）加盖公章。</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704" w:type="dxa"/>
            <w:noWrap/>
            <w:vAlign w:val="center"/>
          </w:tcPr>
          <w:p>
            <w:pPr>
              <w:pStyle w:val="49"/>
            </w:pPr>
            <w:r>
              <w:rPr>
                <w:rFonts w:hint="eastAsia"/>
              </w:rPr>
              <w:t>13</w:t>
            </w:r>
          </w:p>
        </w:tc>
        <w:tc>
          <w:tcPr>
            <w:tcW w:w="992" w:type="dxa"/>
            <w:vAlign w:val="center"/>
          </w:tcPr>
          <w:p>
            <w:pPr>
              <w:pStyle w:val="49"/>
            </w:pPr>
            <w:r>
              <w:rPr>
                <w:rFonts w:hint="eastAsia"/>
              </w:rPr>
              <w:t>UPS</w:t>
            </w:r>
          </w:p>
        </w:tc>
        <w:tc>
          <w:tcPr>
            <w:tcW w:w="11898" w:type="dxa"/>
            <w:vAlign w:val="center"/>
          </w:tcPr>
          <w:p>
            <w:pPr>
              <w:pStyle w:val="49"/>
            </w:pPr>
            <w:r>
              <w:rPr>
                <w:rFonts w:hint="eastAsia"/>
              </w:rPr>
              <w:t>采用在线UPS电源，UPS容量为≥10kVA，单套满载延时要求≥2小时；UPS主机逆变器采用三电平技术，保证可靠性的同时提高系统效率；UPS主机具有独立旁路功能，确保主路系统出现异常或故障时，旁路系统仍能正常输出，确保负载不间断供电；采用全数字化充电器，电池电压和电流可任意设置；为避免误操作，UPS的开、关机采用双键组合的形式来实现开关机；UPS主机应具有LCD显示和LED状态显示， 可以显示：输入电压/频率、输出电压/频率、有功功率、视在功率、电池节数、电池电压、电池容量百分比；输入额定电压：208Vac/220 Vac/230Vac/240Vac；输入电压可变范围：110~176Vac（50%~100%负载线性降额） 176~288Vac（不降额）；输入频率变化范围：40~70Hz；输入功率因数≥0.99；输出额定电压：208 Vac（PF=0.9）/220 Vac /230 Vac /240Vac；输出功率因数不小于1；输出波形失真度：≤1%(线性负载）；≤4%（非线性负载）；系统效率：在线模式：≥95%@100%负载，ECO 模式：≥98%；防护等级：IP20；16节100AH电池，含电池柜。</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14</w:t>
            </w:r>
          </w:p>
        </w:tc>
        <w:tc>
          <w:tcPr>
            <w:tcW w:w="992" w:type="dxa"/>
            <w:vAlign w:val="center"/>
          </w:tcPr>
          <w:p>
            <w:pPr>
              <w:pStyle w:val="49"/>
            </w:pPr>
            <w:r>
              <w:rPr>
                <w:rFonts w:hint="eastAsia"/>
              </w:rPr>
              <w:t>汇聚交换机</w:t>
            </w:r>
          </w:p>
        </w:tc>
        <w:tc>
          <w:tcPr>
            <w:tcW w:w="11898" w:type="dxa"/>
            <w:vAlign w:val="center"/>
          </w:tcPr>
          <w:p>
            <w:pPr>
              <w:pStyle w:val="49"/>
            </w:pPr>
            <w:r>
              <w:rPr>
                <w:rFonts w:hint="eastAsia"/>
              </w:rPr>
              <w:t>L3，≥24口光纤接口,≥8口光电复用</w:t>
            </w:r>
          </w:p>
        </w:tc>
        <w:tc>
          <w:tcPr>
            <w:tcW w:w="483" w:type="dxa"/>
            <w:noWrap/>
            <w:vAlign w:val="center"/>
          </w:tcPr>
          <w:p>
            <w:pPr>
              <w:pStyle w:val="49"/>
            </w:pPr>
            <w:r>
              <w:rPr>
                <w:rFonts w:hint="eastAsia"/>
              </w:rPr>
              <w:t>1</w:t>
            </w:r>
          </w:p>
        </w:tc>
        <w:tc>
          <w:tcPr>
            <w:tcW w:w="483"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15</w:t>
            </w:r>
          </w:p>
        </w:tc>
        <w:tc>
          <w:tcPr>
            <w:tcW w:w="992" w:type="dxa"/>
            <w:vAlign w:val="center"/>
          </w:tcPr>
          <w:p>
            <w:pPr>
              <w:pStyle w:val="49"/>
            </w:pPr>
            <w:r>
              <w:rPr>
                <w:rFonts w:hint="eastAsia"/>
              </w:rPr>
              <w:t>交换机</w:t>
            </w:r>
          </w:p>
        </w:tc>
        <w:tc>
          <w:tcPr>
            <w:tcW w:w="11898" w:type="dxa"/>
            <w:vAlign w:val="center"/>
          </w:tcPr>
          <w:p>
            <w:pPr>
              <w:pStyle w:val="49"/>
            </w:pPr>
            <w:r>
              <w:rPr>
                <w:rFonts w:hint="eastAsia"/>
              </w:rPr>
              <w:t>L2，交换容量≥256Gbps；≥24个10/100/1000Base-T以太网端口，≥2个1000Base-X SFP千兆以太网端口</w:t>
            </w:r>
          </w:p>
        </w:tc>
        <w:tc>
          <w:tcPr>
            <w:tcW w:w="483" w:type="dxa"/>
            <w:noWrap/>
            <w:vAlign w:val="center"/>
          </w:tcPr>
          <w:p>
            <w:pPr>
              <w:pStyle w:val="49"/>
            </w:pPr>
            <w:r>
              <w:rPr>
                <w:rFonts w:hint="eastAsia"/>
              </w:rPr>
              <w:t>3</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16</w:t>
            </w:r>
          </w:p>
        </w:tc>
        <w:tc>
          <w:tcPr>
            <w:tcW w:w="992" w:type="dxa"/>
            <w:vAlign w:val="center"/>
          </w:tcPr>
          <w:p>
            <w:pPr>
              <w:pStyle w:val="49"/>
            </w:pPr>
            <w:r>
              <w:rPr>
                <w:rFonts w:hint="eastAsia"/>
              </w:rPr>
              <w:t>单模光纤模块</w:t>
            </w:r>
          </w:p>
        </w:tc>
        <w:tc>
          <w:tcPr>
            <w:tcW w:w="11898" w:type="dxa"/>
            <w:vAlign w:val="center"/>
          </w:tcPr>
          <w:p>
            <w:pPr>
              <w:pStyle w:val="49"/>
            </w:pPr>
            <w:r>
              <w:rPr>
                <w:rFonts w:hint="eastAsia"/>
              </w:rPr>
              <w:t>光模块-SFP-GE-单模模块-（1310nm,10km,LC）</w:t>
            </w:r>
          </w:p>
        </w:tc>
        <w:tc>
          <w:tcPr>
            <w:tcW w:w="483" w:type="dxa"/>
            <w:noWrap/>
            <w:vAlign w:val="center"/>
          </w:tcPr>
          <w:p>
            <w:pPr>
              <w:pStyle w:val="49"/>
            </w:pPr>
            <w:r>
              <w:rPr>
                <w:rFonts w:hint="eastAsia"/>
              </w:rPr>
              <w:t>6</w:t>
            </w:r>
          </w:p>
        </w:tc>
        <w:tc>
          <w:tcPr>
            <w:tcW w:w="483"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17</w:t>
            </w:r>
          </w:p>
        </w:tc>
        <w:tc>
          <w:tcPr>
            <w:tcW w:w="992" w:type="dxa"/>
            <w:vAlign w:val="center"/>
          </w:tcPr>
          <w:p>
            <w:pPr>
              <w:pStyle w:val="49"/>
            </w:pPr>
            <w:r>
              <w:rPr>
                <w:rFonts w:hint="eastAsia"/>
              </w:rPr>
              <w:t>42U机柜</w:t>
            </w:r>
          </w:p>
        </w:tc>
        <w:tc>
          <w:tcPr>
            <w:tcW w:w="11898" w:type="dxa"/>
            <w:vAlign w:val="center"/>
          </w:tcPr>
          <w:p>
            <w:pPr>
              <w:pStyle w:val="49"/>
            </w:pPr>
            <w:r>
              <w:rPr>
                <w:rFonts w:hint="eastAsia"/>
              </w:rPr>
              <w:t>600*900*2000mm，隔板≥3个，≥2个8口PDU</w:t>
            </w:r>
          </w:p>
        </w:tc>
        <w:tc>
          <w:tcPr>
            <w:tcW w:w="483" w:type="dxa"/>
            <w:noWrap/>
            <w:vAlign w:val="center"/>
          </w:tcPr>
          <w:p>
            <w:pPr>
              <w:pStyle w:val="49"/>
            </w:pPr>
            <w:r>
              <w:rPr>
                <w:rFonts w:hint="eastAsia"/>
              </w:rPr>
              <w:t>1</w:t>
            </w:r>
          </w:p>
        </w:tc>
        <w:tc>
          <w:tcPr>
            <w:tcW w:w="483"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18</w:t>
            </w:r>
          </w:p>
        </w:tc>
        <w:tc>
          <w:tcPr>
            <w:tcW w:w="992" w:type="dxa"/>
            <w:vAlign w:val="center"/>
          </w:tcPr>
          <w:p>
            <w:pPr>
              <w:pStyle w:val="49"/>
            </w:pPr>
            <w:r>
              <w:rPr>
                <w:rFonts w:hint="eastAsia"/>
              </w:rPr>
              <w:t>9U机柜</w:t>
            </w:r>
          </w:p>
        </w:tc>
        <w:tc>
          <w:tcPr>
            <w:tcW w:w="11898" w:type="dxa"/>
            <w:vAlign w:val="center"/>
          </w:tcPr>
          <w:p>
            <w:pPr>
              <w:pStyle w:val="49"/>
            </w:pPr>
            <w:r>
              <w:rPr>
                <w:rFonts w:hint="eastAsia"/>
              </w:rPr>
              <w:t>9U网络机柜，1个电源插座</w:t>
            </w:r>
          </w:p>
        </w:tc>
        <w:tc>
          <w:tcPr>
            <w:tcW w:w="483" w:type="dxa"/>
            <w:noWrap/>
            <w:vAlign w:val="center"/>
          </w:tcPr>
          <w:p>
            <w:pPr>
              <w:pStyle w:val="49"/>
            </w:pPr>
            <w:r>
              <w:rPr>
                <w:rFonts w:hint="eastAsia"/>
              </w:rPr>
              <w:t>1</w:t>
            </w:r>
          </w:p>
        </w:tc>
        <w:tc>
          <w:tcPr>
            <w:tcW w:w="483"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19</w:t>
            </w:r>
          </w:p>
        </w:tc>
        <w:tc>
          <w:tcPr>
            <w:tcW w:w="992" w:type="dxa"/>
            <w:vAlign w:val="center"/>
          </w:tcPr>
          <w:p>
            <w:pPr>
              <w:pStyle w:val="49"/>
            </w:pPr>
            <w:r>
              <w:rPr>
                <w:rFonts w:hint="eastAsia"/>
              </w:rPr>
              <w:t>光纤</w:t>
            </w:r>
          </w:p>
        </w:tc>
        <w:tc>
          <w:tcPr>
            <w:tcW w:w="11898" w:type="dxa"/>
            <w:vAlign w:val="center"/>
          </w:tcPr>
          <w:p>
            <w:pPr>
              <w:pStyle w:val="49"/>
            </w:pPr>
            <w:r>
              <w:rPr>
                <w:rFonts w:hint="eastAsia"/>
              </w:rPr>
              <w:t>室外铠装单模光纤，12芯，根据现场调整数量。</w:t>
            </w:r>
          </w:p>
        </w:tc>
        <w:tc>
          <w:tcPr>
            <w:tcW w:w="483" w:type="dxa"/>
            <w:noWrap/>
            <w:vAlign w:val="center"/>
          </w:tcPr>
          <w:p>
            <w:pPr>
              <w:pStyle w:val="49"/>
            </w:pPr>
            <w:r>
              <w:rPr>
                <w:rFonts w:hint="eastAsia"/>
              </w:rPr>
              <w:t>1</w:t>
            </w:r>
          </w:p>
        </w:tc>
        <w:tc>
          <w:tcPr>
            <w:tcW w:w="483"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20</w:t>
            </w:r>
          </w:p>
        </w:tc>
        <w:tc>
          <w:tcPr>
            <w:tcW w:w="992" w:type="dxa"/>
            <w:vAlign w:val="center"/>
          </w:tcPr>
          <w:p>
            <w:pPr>
              <w:pStyle w:val="49"/>
            </w:pPr>
            <w:r>
              <w:rPr>
                <w:rFonts w:hint="eastAsia"/>
              </w:rPr>
              <w:t>光纤辅料</w:t>
            </w:r>
          </w:p>
        </w:tc>
        <w:tc>
          <w:tcPr>
            <w:tcW w:w="11898" w:type="dxa"/>
            <w:vAlign w:val="center"/>
          </w:tcPr>
          <w:p>
            <w:pPr>
              <w:pStyle w:val="49"/>
            </w:pPr>
            <w:r>
              <w:rPr>
                <w:rFonts w:hint="eastAsia"/>
              </w:rPr>
              <w:t>配置机架光纤盒、耦合器、尾纤、光纤跳线</w:t>
            </w:r>
          </w:p>
        </w:tc>
        <w:tc>
          <w:tcPr>
            <w:tcW w:w="483" w:type="dxa"/>
            <w:noWrap/>
            <w:vAlign w:val="center"/>
          </w:tcPr>
          <w:p>
            <w:pPr>
              <w:pStyle w:val="49"/>
            </w:pPr>
            <w:r>
              <w:rPr>
                <w:rFonts w:hint="eastAsia"/>
              </w:rPr>
              <w:t>1</w:t>
            </w:r>
          </w:p>
        </w:tc>
        <w:tc>
          <w:tcPr>
            <w:tcW w:w="483"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21</w:t>
            </w:r>
          </w:p>
        </w:tc>
        <w:tc>
          <w:tcPr>
            <w:tcW w:w="992" w:type="dxa"/>
            <w:vAlign w:val="center"/>
          </w:tcPr>
          <w:p>
            <w:pPr>
              <w:pStyle w:val="49"/>
            </w:pPr>
            <w:r>
              <w:rPr>
                <w:rFonts w:hint="eastAsia"/>
              </w:rPr>
              <w:t>线缆线材</w:t>
            </w:r>
          </w:p>
        </w:tc>
        <w:tc>
          <w:tcPr>
            <w:tcW w:w="11898" w:type="dxa"/>
            <w:vAlign w:val="center"/>
          </w:tcPr>
          <w:p>
            <w:pPr>
              <w:pStyle w:val="49"/>
            </w:pPr>
            <w:r>
              <w:rPr>
                <w:rFonts w:hint="eastAsia"/>
              </w:rPr>
              <w:t>电源线、六类网线、PVC槽、电源插座、电源空开等。</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94" w:type="dxa"/>
            <w:gridSpan w:val="3"/>
            <w:noWrap/>
            <w:vAlign w:val="center"/>
          </w:tcPr>
          <w:p>
            <w:pPr>
              <w:pStyle w:val="49"/>
            </w:pPr>
            <w:r>
              <w:rPr>
                <w:rFonts w:hint="eastAsia"/>
                <w:b/>
                <w:bCs w:val="0"/>
              </w:rPr>
              <w:t>二、身份验证系统</w:t>
            </w:r>
          </w:p>
        </w:tc>
        <w:tc>
          <w:tcPr>
            <w:tcW w:w="483" w:type="dxa"/>
            <w:noWrap/>
            <w:vAlign w:val="center"/>
          </w:tcPr>
          <w:p>
            <w:pPr>
              <w:pStyle w:val="49"/>
            </w:pPr>
            <w:r>
              <w:rPr>
                <w:rFonts w:hint="eastAsia"/>
              </w:rPr>
              <w:t>　</w:t>
            </w:r>
          </w:p>
        </w:tc>
        <w:tc>
          <w:tcPr>
            <w:tcW w:w="483"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5" w:hRule="atLeast"/>
        </w:trPr>
        <w:tc>
          <w:tcPr>
            <w:tcW w:w="704" w:type="dxa"/>
            <w:noWrap/>
            <w:vAlign w:val="center"/>
          </w:tcPr>
          <w:p>
            <w:pPr>
              <w:pStyle w:val="49"/>
            </w:pPr>
            <w:r>
              <w:rPr>
                <w:rFonts w:hint="eastAsia"/>
              </w:rPr>
              <w:t>1</w:t>
            </w:r>
          </w:p>
        </w:tc>
        <w:tc>
          <w:tcPr>
            <w:tcW w:w="992" w:type="dxa"/>
            <w:vAlign w:val="center"/>
          </w:tcPr>
          <w:p>
            <w:pPr>
              <w:pStyle w:val="49"/>
            </w:pPr>
            <w:r>
              <w:rPr>
                <w:rFonts w:hint="eastAsia"/>
              </w:rPr>
              <w:t>考生身份认证系统软件平台</w:t>
            </w:r>
          </w:p>
        </w:tc>
        <w:tc>
          <w:tcPr>
            <w:tcW w:w="11898" w:type="dxa"/>
            <w:vAlign w:val="center"/>
          </w:tcPr>
          <w:p>
            <w:pPr>
              <w:pStyle w:val="49"/>
            </w:pPr>
            <w:r>
              <w:rPr>
                <w:rFonts w:hint="eastAsia"/>
              </w:rPr>
              <w:t>1.用户管理：应能够对用户进行增、删、改以及用户的权限和角色划分。统一账户管理,统一授权管理，统一认证管理,统一审计管理；</w:t>
            </w:r>
            <w:r>
              <w:rPr>
                <w:rFonts w:hint="eastAsia"/>
              </w:rPr>
              <w:br w:type="textWrapping"/>
            </w:r>
            <w:r>
              <w:rPr>
                <w:rFonts w:hint="eastAsia"/>
              </w:rPr>
              <w:t>2.机构管理：应能够对各级机构进行增、删、改，可对用户进行按市、县区、考点等行政划分进行权限控制；考区编号；</w:t>
            </w:r>
            <w:r>
              <w:rPr>
                <w:rFonts w:hint="eastAsia"/>
              </w:rPr>
              <w:br w:type="textWrapping"/>
            </w:r>
            <w:r>
              <w:rPr>
                <w:rFonts w:hint="eastAsia"/>
              </w:rPr>
              <w:t>3.角色管理：应能够对系统角色的增、删、改。例如：系统管理员、用户等角色；</w:t>
            </w:r>
            <w:r>
              <w:rPr>
                <w:rFonts w:hint="eastAsia"/>
              </w:rPr>
              <w:br w:type="textWrapping"/>
            </w:r>
            <w:r>
              <w:rPr>
                <w:rFonts w:hint="eastAsia"/>
              </w:rPr>
              <w:t>4.终端管理：管理终端应能够批量设置、批量数据下发、批量更新终端版本；</w:t>
            </w:r>
            <w:r>
              <w:rPr>
                <w:rFonts w:hint="eastAsia"/>
              </w:rPr>
              <w:br w:type="textWrapping"/>
            </w:r>
            <w:r>
              <w:rPr>
                <w:rFonts w:hint="eastAsia"/>
              </w:rPr>
              <w:t>5.考试计划：应能够根据每年的考试情况，制定各场考试的考试计划，可绑定科目，身份认证终端验证时间。按设定时间计划主动上传验证结果数据；</w:t>
            </w:r>
          </w:p>
          <w:p>
            <w:pPr>
              <w:pStyle w:val="49"/>
            </w:pPr>
            <w:r>
              <w:rPr>
                <w:rFonts w:hint="eastAsia"/>
              </w:rPr>
              <w:t>6.服务器采用1U标准机架式服务器，C</w:t>
            </w:r>
            <w:r>
              <w:t xml:space="preserve">PU </w:t>
            </w:r>
            <w:r>
              <w:rPr>
                <w:rFonts w:hint="eastAsia"/>
              </w:rPr>
              <w:t>≥2.8GHz处理器，内存≥8GB，≥500GB/SATA，≥6个U</w:t>
            </w:r>
            <w:r>
              <w:t>SB</w:t>
            </w:r>
            <w:r>
              <w:rPr>
                <w:rFonts w:hint="eastAsia"/>
              </w:rPr>
              <w:t>接口，出具型号及彩页</w:t>
            </w:r>
            <w:r>
              <w:rPr>
                <w:rFonts w:hint="eastAsia"/>
              </w:rPr>
              <w:br w:type="textWrapping"/>
            </w:r>
            <w:r>
              <w:t>7</w:t>
            </w:r>
            <w:r>
              <w:rPr>
                <w:rFonts w:hint="eastAsia"/>
              </w:rPr>
              <w:t>.数据导入：应能够导入考点库、考场库、考生库、图像库、指纹库和删除相关批次等相关数据。提供数据接口供下级服务器按考点编号或考区编号下载本区域内所有考生身份数据库；</w:t>
            </w:r>
            <w:r>
              <w:rPr>
                <w:rFonts w:hint="eastAsia"/>
              </w:rPr>
              <w:br w:type="textWrapping"/>
            </w:r>
            <w:r>
              <w:t>8</w:t>
            </w:r>
            <w:r>
              <w:rPr>
                <w:rFonts w:hint="eastAsia"/>
              </w:rPr>
              <w:t>.数据打包：应能够对导入系统的考生数据进行打包，为身份认证终端下载做准备。平台数据进行加密处理,保证数据安全；</w:t>
            </w:r>
            <w:r>
              <w:rPr>
                <w:rFonts w:hint="eastAsia"/>
              </w:rPr>
              <w:br w:type="textWrapping"/>
            </w:r>
            <w:r>
              <w:t>9</w:t>
            </w:r>
            <w:r>
              <w:rPr>
                <w:rFonts w:hint="eastAsia"/>
              </w:rPr>
              <w:t>.认证结果：应能够查看考生认证数据情况。可导出excel报表，可导出dbf数据库和认证照片。导出报告。支持考务需求的各类报表打印、套打、批量打印等；</w:t>
            </w:r>
            <w:r>
              <w:rPr>
                <w:rFonts w:hint="eastAsia"/>
              </w:rPr>
              <w:br w:type="textWrapping"/>
            </w:r>
            <w:r>
              <w:t>10</w:t>
            </w:r>
            <w:r>
              <w:rPr>
                <w:rFonts w:hint="eastAsia"/>
              </w:rPr>
              <w:t>.违纪管理：应能够管理终端上传上来的违纪数据，应可导出excel报表；</w:t>
            </w:r>
            <w:r>
              <w:rPr>
                <w:rFonts w:hint="eastAsia"/>
              </w:rPr>
              <w:br w:type="textWrapping"/>
            </w:r>
            <w:r>
              <w:rPr>
                <w:rFonts w:hint="eastAsia"/>
              </w:rPr>
              <w:t>1</w:t>
            </w:r>
            <w:r>
              <w:t>1</w:t>
            </w:r>
            <w:r>
              <w:rPr>
                <w:rFonts w:hint="eastAsia"/>
              </w:rPr>
              <w:t>.缺考管理：应能够管理终端上传上来的缺考数据，应可导出excel报表；</w:t>
            </w:r>
            <w:r>
              <w:rPr>
                <w:rFonts w:hint="eastAsia"/>
              </w:rPr>
              <w:br w:type="textWrapping"/>
            </w:r>
            <w:r>
              <w:rPr>
                <w:rFonts w:hint="eastAsia"/>
              </w:rPr>
              <w:t>1</w:t>
            </w:r>
            <w:r>
              <w:t>2</w:t>
            </w:r>
            <w:r>
              <w:rPr>
                <w:rFonts w:hint="eastAsia"/>
              </w:rPr>
              <w:t>.考生入场情况：大屏总览应能够展示考生入场实时的认证数据以及对认证数据的图形分析。汇总与统计结果以报表和图表形式输出；</w:t>
            </w:r>
            <w:r>
              <w:rPr>
                <w:rFonts w:hint="eastAsia"/>
              </w:rPr>
              <w:br w:type="textWrapping"/>
            </w:r>
            <w:r>
              <w:rPr>
                <w:rFonts w:hint="eastAsia"/>
              </w:rPr>
              <w:t>1</w:t>
            </w:r>
            <w:r>
              <w:t>3</w:t>
            </w:r>
            <w:r>
              <w:rPr>
                <w:rFonts w:hint="eastAsia"/>
              </w:rPr>
              <w:t>.应可实现与中心平台的数据交互，实现考务指挥；</w:t>
            </w:r>
            <w:r>
              <w:rPr>
                <w:rFonts w:hint="eastAsia"/>
              </w:rPr>
              <w:br w:type="textWrapping"/>
            </w:r>
            <w:r>
              <w:rPr>
                <w:rFonts w:hint="eastAsia"/>
              </w:rPr>
              <w:t>1</w:t>
            </w:r>
            <w:r>
              <w:t>4</w:t>
            </w:r>
            <w:r>
              <w:rPr>
                <w:rFonts w:hint="eastAsia"/>
              </w:rPr>
              <w:t>.应可根据用户需求定制开发功能。</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04" w:type="dxa"/>
            <w:noWrap/>
            <w:vAlign w:val="center"/>
          </w:tcPr>
          <w:p>
            <w:pPr>
              <w:pStyle w:val="49"/>
            </w:pPr>
            <w:r>
              <w:rPr>
                <w:rFonts w:hint="eastAsia"/>
              </w:rPr>
              <w:t>2</w:t>
            </w:r>
          </w:p>
        </w:tc>
        <w:tc>
          <w:tcPr>
            <w:tcW w:w="992" w:type="dxa"/>
            <w:vAlign w:val="center"/>
          </w:tcPr>
          <w:p>
            <w:pPr>
              <w:pStyle w:val="49"/>
            </w:pPr>
            <w:r>
              <w:rPr>
                <w:rFonts w:hint="eastAsia"/>
              </w:rPr>
              <w:t>管理计算机</w:t>
            </w:r>
          </w:p>
        </w:tc>
        <w:tc>
          <w:tcPr>
            <w:tcW w:w="11898" w:type="dxa"/>
            <w:vAlign w:val="center"/>
          </w:tcPr>
          <w:p>
            <w:pPr>
              <w:pStyle w:val="49"/>
            </w:pPr>
            <w:r>
              <w:rPr>
                <w:rFonts w:hint="eastAsia"/>
              </w:rPr>
              <w:t>≥I7-9700 ≥8G DDRIII 2133MHz，≥128G固态硬盘，≥1TG SATA3 7200rpm， ≥2G独立显卡，≥23”显示器,USB鼠标键盘，win10</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04" w:type="dxa"/>
            <w:noWrap/>
            <w:vAlign w:val="center"/>
          </w:tcPr>
          <w:p>
            <w:pPr>
              <w:pStyle w:val="49"/>
            </w:pPr>
            <w:r>
              <w:rPr>
                <w:rFonts w:hint="eastAsia"/>
              </w:rPr>
              <w:t>3</w:t>
            </w:r>
          </w:p>
        </w:tc>
        <w:tc>
          <w:tcPr>
            <w:tcW w:w="992" w:type="dxa"/>
            <w:vAlign w:val="center"/>
          </w:tcPr>
          <w:p>
            <w:pPr>
              <w:pStyle w:val="49"/>
            </w:pPr>
            <w:r>
              <w:rPr>
                <w:rFonts w:hint="eastAsia"/>
              </w:rPr>
              <w:t>身份验证终端</w:t>
            </w:r>
          </w:p>
        </w:tc>
        <w:tc>
          <w:tcPr>
            <w:tcW w:w="11898" w:type="dxa"/>
            <w:vAlign w:val="center"/>
          </w:tcPr>
          <w:p>
            <w:pPr>
              <w:pStyle w:val="49"/>
            </w:pPr>
            <w:r>
              <w:rPr>
                <w:rFonts w:hint="eastAsia"/>
              </w:rPr>
              <w:t xml:space="preserve">1.屏幕尺寸大于等于8英寸IPS显示屏，分辨率大于等于1280*800，可触控。可视角度大于等于170°； </w:t>
            </w:r>
            <w:r>
              <w:rPr>
                <w:rFonts w:hint="eastAsia"/>
              </w:rPr>
              <w:br w:type="textWrapping"/>
            </w:r>
            <w:r>
              <w:rPr>
                <w:rFonts w:hint="eastAsia"/>
              </w:rPr>
              <w:t>2.CPU不低于4核，主频≥1.8GHz；</w:t>
            </w:r>
            <w:r>
              <w:rPr>
                <w:rFonts w:hint="eastAsia"/>
              </w:rPr>
              <w:br w:type="textWrapping"/>
            </w:r>
            <w:r>
              <w:rPr>
                <w:rFonts w:hint="eastAsia"/>
              </w:rPr>
              <w:t>3.存储：运行内存≥4GB，存储容量≥64GB；</w:t>
            </w:r>
            <w:r>
              <w:rPr>
                <w:rFonts w:hint="eastAsia"/>
              </w:rPr>
              <w:br w:type="textWrapping"/>
            </w:r>
            <w:r>
              <w:rPr>
                <w:rFonts w:hint="eastAsia"/>
              </w:rPr>
              <w:t>4.拍照模块：前置大于等于500w摄像头，具备自动聚焦功能，后置大于等于800w摄像头，且带有录像功能，能录制考生入场的视频并保存；（出具证明材料，不限于检测报告、彩页、官网截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5.为实现多种数据传输方式，终端应能够扫描并识别综合管理平台下发的二维码；（出具证明材料，不限于检测报告、彩页、官网截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6.扬声器：身份认证设备自带扬声器，能够进行语音提示，声音清晰，音量可调，最大音量≥100分贝，且能播报验证认证姓名；（出具证明材料，不限于检测报告、彩页、官网截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7.通行指示灯：具有通行颜色光源指示灯，满足在室外环境快速通行的指示要求，至少具有三种颜色指示灯分别表示通过、不通过、需复核；（出具证明材料，不限于检测报告、彩页、官网截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8.供电：采用电池供电模式时可持续使用10小时以上；</w:t>
            </w:r>
            <w:r>
              <w:rPr>
                <w:rFonts w:hint="eastAsia"/>
              </w:rPr>
              <w:br w:type="textWrapping"/>
            </w:r>
            <w:r>
              <w:rPr>
                <w:rFonts w:hint="eastAsia"/>
              </w:rPr>
              <w:t>9..联网功能：支持WiFi和以太网；</w:t>
            </w:r>
            <w:r>
              <w:rPr>
                <w:rFonts w:hint="eastAsia"/>
              </w:rPr>
              <w:br w:type="textWrapping"/>
            </w:r>
            <w:r>
              <w:rPr>
                <w:rFonts w:hint="eastAsia"/>
              </w:rPr>
              <w:t>10.二代身份证信息采集模块：可读取二代身份证信息，包括姓名、证件照片、指纹信息、证件有效期等。符合公安部《手持式居民身份证阅器》（GA 1153-2014）或符合公安部《台式居民身份证阅读器通用技术要求》（GA450-2013）；</w:t>
            </w:r>
            <w:r>
              <w:rPr>
                <w:rFonts w:hint="eastAsia"/>
              </w:rPr>
              <w:br w:type="textWrapping"/>
            </w:r>
            <w:r>
              <w:rPr>
                <w:rFonts w:hint="eastAsia"/>
              </w:rPr>
              <w:t>11.指纹采集模块：身份认证设备能够采集手指指纹信息，只对活体指纹进行识别。指纹采集器符合公安部GA/T 1011-2012《居民身份证指纹采集器通用技术要求》。</w:t>
            </w:r>
            <w:r>
              <w:rPr>
                <w:rFonts w:hint="eastAsia"/>
              </w:rPr>
              <w:br w:type="textWrapping"/>
            </w:r>
            <w:r>
              <w:rPr>
                <w:rFonts w:hint="eastAsia"/>
              </w:rPr>
              <w:t>12.人脸识别模块：可在软件界面中检测并采集人脸图像、人脸定位框可跟随人脸移动；（出具证明材料，不限于检测报告、彩页、官网截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13.人性化设计：身份证模块位于终端右下方，方便客户刷身份证。符合客户使用习惯；验证提示灯位于终端右上方，提示效果明显；</w:t>
            </w:r>
            <w:r>
              <w:rPr>
                <w:rFonts w:hint="eastAsia"/>
              </w:rPr>
              <w:br w:type="textWrapping"/>
            </w:r>
            <w:r>
              <w:rPr>
                <w:rFonts w:hint="eastAsia"/>
              </w:rPr>
              <w:t>14.补光灯：具有双LED光源补光组件，补光灯色温4500K~6500K、显色指数（Ra）不小于90；光源为LED恒定光源；（提供检测报告复印件并加盖公章）</w:t>
            </w:r>
            <w:r>
              <w:rPr>
                <w:rFonts w:hint="eastAsia"/>
              </w:rPr>
              <w:br w:type="textWrapping"/>
            </w:r>
            <w:r>
              <w:rPr>
                <w:rFonts w:hint="eastAsia"/>
              </w:rPr>
              <w:t>15.可定时备份数据，如误删除数据，可进行数据恢复；（出具证明材料，不限于检测报告、彩页、官网截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16.断网重传：若身份认证系统上传认证结果时无法接入专网，身份认证系统能够将认证结果保存，待恢复联网后上传；</w:t>
            </w:r>
            <w:r>
              <w:rPr>
                <w:rFonts w:hint="eastAsia"/>
              </w:rPr>
              <w:br w:type="textWrapping"/>
            </w:r>
            <w:r>
              <w:rPr>
                <w:rFonts w:hint="eastAsia"/>
              </w:rPr>
              <w:t>17.扩展性：身份认证系统软件保证以后能够进行更新、升级，根据新的身份认证系统建设技术要求，软件做相应的调整，以连接省端的数据交换接口；</w:t>
            </w:r>
          </w:p>
          <w:p>
            <w:pPr>
              <w:pStyle w:val="49"/>
            </w:pPr>
            <w:r>
              <w:rPr>
                <w:rFonts w:hint="eastAsia"/>
              </w:rPr>
              <w:t>18.设备需符合《GA/T 1324-2017 安全防范人脸识别应用静态人脸图像采集规范》的相关要求；</w:t>
            </w:r>
            <w:r>
              <w:rPr>
                <w:rFonts w:hint="eastAsia"/>
              </w:rPr>
              <w:br w:type="textWrapping"/>
            </w:r>
            <w:r>
              <w:rPr>
                <w:rFonts w:hint="eastAsia"/>
              </w:rPr>
              <w:t>19.测温模块：测温精度标：0.1℃ ；测温范围：32-43(℃)；测量误差≤±0.3℃；测温时间＜1s；</w:t>
            </w:r>
            <w:r>
              <w:rPr>
                <w:rFonts w:hint="eastAsia"/>
              </w:rPr>
              <w:br w:type="textWrapping"/>
            </w:r>
            <w:r>
              <w:t>20</w:t>
            </w:r>
            <w:r>
              <w:rPr>
                <w:rFonts w:hint="eastAsia"/>
              </w:rPr>
              <w:t>.多种组合模式：应支持手持验证方式。支持立式支架验证方式；</w:t>
            </w:r>
          </w:p>
          <w:p>
            <w:pPr>
              <w:pStyle w:val="49"/>
            </w:pPr>
            <w:r>
              <w:rPr>
                <w:rFonts w:hint="eastAsia"/>
              </w:rPr>
              <w:t>21.提供产品来源渠道证明文件（包括但不限于销售协议、代理协议、原厂授权）加盖公章。</w:t>
            </w:r>
          </w:p>
        </w:tc>
        <w:tc>
          <w:tcPr>
            <w:tcW w:w="483" w:type="dxa"/>
            <w:noWrap/>
            <w:vAlign w:val="center"/>
          </w:tcPr>
          <w:p>
            <w:pPr>
              <w:pStyle w:val="49"/>
            </w:pPr>
            <w:r>
              <w:rPr>
                <w:rFonts w:hint="eastAsia"/>
              </w:rPr>
              <w:t>3</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992" w:type="dxa"/>
            <w:vAlign w:val="center"/>
          </w:tcPr>
          <w:p>
            <w:pPr>
              <w:pStyle w:val="49"/>
            </w:pPr>
            <w:r>
              <w:rPr>
                <w:rFonts w:hint="eastAsia"/>
              </w:rPr>
              <w:t>交换机</w:t>
            </w:r>
          </w:p>
        </w:tc>
        <w:tc>
          <w:tcPr>
            <w:tcW w:w="11898" w:type="dxa"/>
            <w:vAlign w:val="center"/>
          </w:tcPr>
          <w:p>
            <w:pPr>
              <w:pStyle w:val="49"/>
            </w:pPr>
            <w:r>
              <w:rPr>
                <w:rFonts w:hint="eastAsia"/>
              </w:rPr>
              <w:t>L2，交换容量≥256Gbps；≥24个10/100/1000Base-T以太网端口，≥2个1000Base-X SFP千兆以太网端口</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992" w:type="dxa"/>
            <w:vAlign w:val="center"/>
          </w:tcPr>
          <w:p>
            <w:pPr>
              <w:pStyle w:val="49"/>
            </w:pPr>
            <w:r>
              <w:rPr>
                <w:rFonts w:hint="eastAsia"/>
              </w:rPr>
              <w:t>单模光纤模块</w:t>
            </w:r>
          </w:p>
        </w:tc>
        <w:tc>
          <w:tcPr>
            <w:tcW w:w="11898" w:type="dxa"/>
            <w:vAlign w:val="center"/>
          </w:tcPr>
          <w:p>
            <w:pPr>
              <w:pStyle w:val="49"/>
            </w:pPr>
            <w:r>
              <w:rPr>
                <w:rFonts w:hint="eastAsia"/>
              </w:rPr>
              <w:t>光模块-SFP-GE-单模模块-（1310nm,10km,LC）</w:t>
            </w:r>
          </w:p>
        </w:tc>
        <w:tc>
          <w:tcPr>
            <w:tcW w:w="483" w:type="dxa"/>
            <w:noWrap/>
            <w:vAlign w:val="center"/>
          </w:tcPr>
          <w:p>
            <w:pPr>
              <w:pStyle w:val="49"/>
            </w:pPr>
            <w:r>
              <w:rPr>
                <w:rFonts w:hint="eastAsia"/>
              </w:rPr>
              <w:t>2</w:t>
            </w:r>
          </w:p>
        </w:tc>
        <w:tc>
          <w:tcPr>
            <w:tcW w:w="483"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992" w:type="dxa"/>
            <w:vAlign w:val="center"/>
          </w:tcPr>
          <w:p>
            <w:pPr>
              <w:pStyle w:val="49"/>
            </w:pPr>
            <w:r>
              <w:rPr>
                <w:rFonts w:hint="eastAsia"/>
              </w:rPr>
              <w:t>线缆线材</w:t>
            </w:r>
          </w:p>
        </w:tc>
        <w:tc>
          <w:tcPr>
            <w:tcW w:w="11898" w:type="dxa"/>
            <w:vAlign w:val="center"/>
          </w:tcPr>
          <w:p>
            <w:pPr>
              <w:pStyle w:val="49"/>
            </w:pPr>
            <w:r>
              <w:rPr>
                <w:rFonts w:hint="eastAsia"/>
              </w:rPr>
              <w:t>电源线、六类网线、PVC槽、电源插座、电源空开、U型槽、隔离栏。</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94" w:type="dxa"/>
            <w:gridSpan w:val="3"/>
            <w:noWrap/>
            <w:vAlign w:val="center"/>
          </w:tcPr>
          <w:p>
            <w:pPr>
              <w:pStyle w:val="49"/>
            </w:pPr>
            <w:r>
              <w:rPr>
                <w:rFonts w:hint="eastAsia"/>
                <w:b/>
                <w:bCs w:val="0"/>
              </w:rPr>
              <w:t>三、无线电作弊防控系统</w:t>
            </w:r>
          </w:p>
        </w:tc>
        <w:tc>
          <w:tcPr>
            <w:tcW w:w="483" w:type="dxa"/>
            <w:noWrap/>
            <w:vAlign w:val="center"/>
          </w:tcPr>
          <w:p>
            <w:pPr>
              <w:pStyle w:val="49"/>
            </w:pPr>
            <w:r>
              <w:rPr>
                <w:rFonts w:hint="eastAsia"/>
              </w:rPr>
              <w:t>　</w:t>
            </w:r>
          </w:p>
        </w:tc>
        <w:tc>
          <w:tcPr>
            <w:tcW w:w="483"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704" w:type="dxa"/>
            <w:noWrap/>
            <w:vAlign w:val="center"/>
          </w:tcPr>
          <w:p>
            <w:pPr>
              <w:pStyle w:val="49"/>
            </w:pPr>
            <w:r>
              <w:rPr>
                <w:rFonts w:hint="eastAsia"/>
              </w:rPr>
              <w:t>1</w:t>
            </w:r>
          </w:p>
        </w:tc>
        <w:tc>
          <w:tcPr>
            <w:tcW w:w="992" w:type="dxa"/>
            <w:vAlign w:val="center"/>
          </w:tcPr>
          <w:p>
            <w:pPr>
              <w:pStyle w:val="49"/>
            </w:pPr>
            <w:r>
              <w:rPr>
                <w:rFonts w:hint="eastAsia"/>
              </w:rPr>
              <w:t>屏蔽终端</w:t>
            </w:r>
          </w:p>
        </w:tc>
        <w:tc>
          <w:tcPr>
            <w:tcW w:w="11898" w:type="dxa"/>
            <w:vAlign w:val="center"/>
          </w:tcPr>
          <w:p>
            <w:pPr>
              <w:pStyle w:val="49"/>
            </w:pPr>
            <w:r>
              <w:rPr>
                <w:rFonts w:hint="eastAsia"/>
              </w:rPr>
              <w:t>1、 支持对2G/3G/4G/5G电信、联通、移动的全网屏蔽以及蓝牙、WiFi2.4G及5.8G的实时全屏蔽；</w:t>
            </w:r>
            <w:r>
              <w:rPr>
                <w:rFonts w:hint="eastAsia"/>
              </w:rPr>
              <w:br w:type="textWrapping"/>
            </w:r>
            <w:r>
              <w:rPr>
                <w:rFonts w:hint="eastAsia"/>
              </w:rPr>
              <w:t>2、 可有效屏蔽考场中的数传作弊设备信号，语音作弊设备信号等专业作弊设备信号；</w:t>
            </w:r>
            <w:r>
              <w:rPr>
                <w:rFonts w:hint="eastAsia"/>
              </w:rPr>
              <w:br w:type="textWrapping"/>
            </w:r>
            <w:r>
              <w:rPr>
                <w:rFonts w:hint="eastAsia"/>
              </w:rPr>
              <w:t>3、 支持对50MHz-1.6GHz频段的专业作弊设备，采用侦测引导阻断方式，支持不少于11路以上屏，固定有效阻断考场内信号强度≤-65dBm的无线电信号；</w:t>
            </w:r>
            <w:r>
              <w:rPr>
                <w:rFonts w:hint="eastAsia"/>
              </w:rPr>
              <w:br w:type="textWrapping"/>
            </w:r>
            <w:r>
              <w:rPr>
                <w:rFonts w:hint="eastAsia"/>
              </w:rPr>
              <w:t>4、 蔽信号的同时引导阻断，对作弊信号频点实现点对点的精准屏蔽，≥20路；</w:t>
            </w:r>
            <w:r>
              <w:rPr>
                <w:rFonts w:hint="eastAsia"/>
              </w:rPr>
              <w:br w:type="textWrapping"/>
            </w:r>
            <w:r>
              <w:rPr>
                <w:rFonts w:hint="eastAsia"/>
              </w:rPr>
              <w:t>5、 屏蔽以设备为中心≥10米内无线信号；</w:t>
            </w:r>
            <w:r>
              <w:rPr>
                <w:rFonts w:hint="eastAsia"/>
              </w:rPr>
              <w:br w:type="textWrapping"/>
            </w:r>
            <w:r>
              <w:rPr>
                <w:rFonts w:hint="eastAsia"/>
              </w:rPr>
              <w:t>6、 对国家公开的对讲频段采用直接屏蔽方式；</w:t>
            </w:r>
            <w:r>
              <w:rPr>
                <w:rFonts w:hint="eastAsia"/>
              </w:rPr>
              <w:br w:type="textWrapping"/>
            </w:r>
            <w:r>
              <w:rPr>
                <w:rFonts w:hint="eastAsia"/>
              </w:rPr>
              <w:t>7、 在50MHz-1.6GHz频段，仅在发现作弊信号的频点和出现时刻发射屏蔽信号，无作弊信号时不发射屏蔽信号；</w:t>
            </w:r>
            <w:r>
              <w:rPr>
                <w:rFonts w:hint="eastAsia"/>
              </w:rPr>
              <w:br w:type="textWrapping"/>
            </w:r>
            <w:r>
              <w:rPr>
                <w:rFonts w:hint="eastAsia"/>
              </w:rPr>
              <w:t>8、 在50MHz-1.6GHz频段可调节输出增益,能通过设置避免对考场周边军用、警用、航空，医疗等特殊用途的通讯的干扰；根据用户的考务工作设置的考务通讯频点，不受干扰；</w:t>
            </w:r>
            <w:r>
              <w:rPr>
                <w:rFonts w:hint="eastAsia"/>
              </w:rPr>
              <w:br w:type="textWrapping"/>
            </w:r>
            <w:r>
              <w:rPr>
                <w:rFonts w:hint="eastAsia"/>
              </w:rPr>
              <w:t>9、 具有≥2个RJ45网络接口，可接应急电话，支持TCP/IP协议和UDP广播/组播协议，具备联网能力；</w:t>
            </w:r>
            <w:r>
              <w:rPr>
                <w:rFonts w:hint="eastAsia"/>
              </w:rPr>
              <w:br w:type="textWrapping"/>
            </w:r>
            <w:r>
              <w:rPr>
                <w:rFonts w:hint="eastAsia"/>
              </w:rPr>
              <w:t>10、设备能够接受远程开关指令，实现单独或整体通道开启/关闭，设备能够根据管理平台软件设定的考试时间自动开启/关闭设备的通道；</w:t>
            </w:r>
            <w:r>
              <w:rPr>
                <w:rFonts w:hint="eastAsia"/>
              </w:rPr>
              <w:br w:type="textWrapping"/>
            </w:r>
            <w:r>
              <w:rPr>
                <w:rFonts w:hint="eastAsia"/>
              </w:rPr>
              <w:t>11、支持平台远程管理，屏蔽终端工作状态查看和管理；</w:t>
            </w:r>
            <w:r>
              <w:rPr>
                <w:rFonts w:hint="eastAsia"/>
              </w:rPr>
              <w:br w:type="textWrapping"/>
            </w:r>
            <w:r>
              <w:rPr>
                <w:rFonts w:hint="eastAsia"/>
              </w:rPr>
              <w:t>12、可以考场为单位对设备进行集中管理；设备支持远程批量固件升级；</w:t>
            </w:r>
            <w:r>
              <w:rPr>
                <w:rFonts w:hint="eastAsia"/>
              </w:rPr>
              <w:br w:type="textWrapping"/>
            </w:r>
            <w:r>
              <w:rPr>
                <w:rFonts w:hint="eastAsia"/>
              </w:rPr>
              <w:t>13、支持壁挂等多种使用场景；</w:t>
            </w:r>
            <w:r>
              <w:rPr>
                <w:rFonts w:hint="eastAsia"/>
              </w:rPr>
              <w:br w:type="textWrapping"/>
            </w:r>
            <w:r>
              <w:rPr>
                <w:rFonts w:hint="eastAsia"/>
              </w:rPr>
              <w:t>14、满足GB8702-2014《电磁环境控制限值》辐射标准要求，（包括但不限于检验报告、官网和功能截图等）</w:t>
            </w:r>
          </w:p>
        </w:tc>
        <w:tc>
          <w:tcPr>
            <w:tcW w:w="483" w:type="dxa"/>
            <w:noWrap/>
            <w:vAlign w:val="center"/>
          </w:tcPr>
          <w:p>
            <w:pPr>
              <w:pStyle w:val="49"/>
            </w:pPr>
            <w:r>
              <w:rPr>
                <w:rFonts w:hint="eastAsia"/>
              </w:rPr>
              <w:t>24</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7" w:hRule="atLeast"/>
        </w:trPr>
        <w:tc>
          <w:tcPr>
            <w:tcW w:w="704" w:type="dxa"/>
            <w:noWrap/>
            <w:vAlign w:val="center"/>
          </w:tcPr>
          <w:p>
            <w:pPr>
              <w:pStyle w:val="49"/>
            </w:pPr>
            <w:r>
              <w:rPr>
                <w:rFonts w:hint="eastAsia"/>
              </w:rPr>
              <w:t>2</w:t>
            </w:r>
          </w:p>
        </w:tc>
        <w:tc>
          <w:tcPr>
            <w:tcW w:w="992" w:type="dxa"/>
            <w:vAlign w:val="center"/>
          </w:tcPr>
          <w:p>
            <w:pPr>
              <w:pStyle w:val="49"/>
            </w:pPr>
            <w:r>
              <w:rPr>
                <w:rFonts w:hint="eastAsia"/>
              </w:rPr>
              <w:t>作弊防控系统管理平台</w:t>
            </w:r>
          </w:p>
        </w:tc>
        <w:tc>
          <w:tcPr>
            <w:tcW w:w="11898" w:type="dxa"/>
            <w:vAlign w:val="center"/>
          </w:tcPr>
          <w:p>
            <w:r>
              <w:rPr>
                <w:rFonts w:hint="eastAsia"/>
              </w:rPr>
              <w:t>符合《陕西省国家教育考试综合管理平台建设规划》（陕教考办〔2018〕4号），符合《西安市国家教育考试综合管理平台建设规划方案》（市教发〔2020〕64号）要求；可通过浏览器页面进行系统管理工作；支持对系统设备进行查询、增加、删除、远程开关、固件升级等操作；可实现对系统设备的IP地址、工作状态、教室信息、在线状态、MAC地址、版本等信息的查询和管理；可自动呈现所有作弊信号特征，包括信号类型（语音或数传)、出现时间、考试场次、出现时的频点等；管理平台对作弊信息进行数据储存和传输时支持加密处理，系统还原的作弊答案信息生成、传输、展示环节均经过加密处理，信息脱离系统后无法正常播放、显示；信号文件自动解调添加考试计划场次后，在计划场次时间范围内会自动对设备检测到的文件进行解调。在解调文件列表中可呈现所有作弊信号特征，包括信号类型（语音或数传)、出现时间、考试场次、出现时的频点等，且提供已还原的语音和数传类作弊器材发射信号内容的播放、下载功能；提供已还原的语音和数传类作弊器材发射信号内容的回放、查看、记录、查询、下载、统计功能；不影响屏蔽效果的情况下，对作弊语音信号监听内容进行保存取证；系统能实现多级级联，上级平台能够查看下级管理平台的所有信息，包括设备信息，信号统计，信号还原等信息；黑白名单库支持手工编辑、上级平台下发；实现资源共享，可预留考务通信频点，不影响正常通讯；平台支持设备信息实时显示,可直接预览查看屏蔽设备各通道的运行状态,侦测服务器在线运行情况；支持分布式网络部署架构，可根据业务需要不断扩展；当管理软件与侦测服务器无法正常工作，或网络中断时，阻断器可以独立开展工作，并可以屏蔽工作频率上的全部信号；对接综合管理平台：须能与西安市综合管理平台无缝对接，方便进行数据交换。</w:t>
            </w:r>
          </w:p>
        </w:tc>
        <w:tc>
          <w:tcPr>
            <w:tcW w:w="483" w:type="dxa"/>
            <w:noWrap/>
            <w:vAlign w:val="center"/>
          </w:tcPr>
          <w:p>
            <w:pPr>
              <w:pStyle w:val="49"/>
            </w:pPr>
            <w:r>
              <w:rPr>
                <w:rFonts w:hint="eastAsia"/>
              </w:rPr>
              <w:t>1</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4" w:type="dxa"/>
            <w:noWrap/>
            <w:vAlign w:val="center"/>
          </w:tcPr>
          <w:p>
            <w:pPr>
              <w:pStyle w:val="49"/>
            </w:pPr>
            <w:r>
              <w:rPr>
                <w:rFonts w:hint="eastAsia"/>
              </w:rPr>
              <w:t>3</w:t>
            </w:r>
          </w:p>
        </w:tc>
        <w:tc>
          <w:tcPr>
            <w:tcW w:w="992" w:type="dxa"/>
            <w:vAlign w:val="center"/>
          </w:tcPr>
          <w:p>
            <w:pPr>
              <w:pStyle w:val="49"/>
            </w:pPr>
            <w:r>
              <w:rPr>
                <w:rFonts w:hint="eastAsia"/>
              </w:rPr>
              <w:t>无线信号侦测服务器</w:t>
            </w:r>
          </w:p>
        </w:tc>
        <w:tc>
          <w:tcPr>
            <w:tcW w:w="11898" w:type="dxa"/>
            <w:vAlign w:val="center"/>
          </w:tcPr>
          <w:p>
            <w:pPr>
              <w:pStyle w:val="49"/>
            </w:pPr>
            <w:r>
              <w:rPr>
                <w:rFonts w:hint="eastAsia"/>
              </w:rPr>
              <w:t>符合《陕西省国家教育考试综合管理平台建设规划》（陕教考办〔2018〕4号）相关规范,符合《西安市国家教育考试综合管理平台建设规划方案》（市教发〔2020〕64号）要求。</w:t>
            </w:r>
            <w:r>
              <w:rPr>
                <w:rFonts w:hint="eastAsia"/>
              </w:rPr>
              <w:br w:type="textWrapping"/>
            </w:r>
            <w:r>
              <w:rPr>
                <w:rFonts w:hint="eastAsia"/>
              </w:rPr>
              <w:t>1、侦测主机：支持对40MHz~3000MHz频率范围自动进行频谱扫描，可侦测最低信号强度≤-80dbm，侦测动态范围≥70dB，能将考前合法的背景信号通过侦测扫描和外部导入等多种方式进行背景信号的学习和存储，建立黑白名单库；</w:t>
            </w:r>
            <w:r>
              <w:rPr>
                <w:rFonts w:hint="eastAsia"/>
              </w:rPr>
              <w:br w:type="textWrapping"/>
            </w:r>
            <w:r>
              <w:rPr>
                <w:rFonts w:hint="eastAsia"/>
              </w:rPr>
              <w:t>2、侦测主机可以通过网络为多个屏蔽设备提供实时的信号服务，为其提供作弊信号的特征信息；</w:t>
            </w:r>
            <w:r>
              <w:rPr>
                <w:rFonts w:hint="eastAsia"/>
              </w:rPr>
              <w:br w:type="textWrapping"/>
            </w:r>
            <w:r>
              <w:rPr>
                <w:rFonts w:hint="eastAsia"/>
              </w:rPr>
              <w:t>3、侦测主机自带液晶显示屏，用于直观显示系统信息；</w:t>
            </w:r>
            <w:r>
              <w:rPr>
                <w:rFonts w:hint="eastAsia"/>
              </w:rPr>
              <w:br w:type="textWrapping"/>
            </w:r>
            <w:r>
              <w:rPr>
                <w:rFonts w:hint="eastAsia"/>
              </w:rPr>
              <w:t>4、在没有网络的情况下也能够自动校时；</w:t>
            </w:r>
            <w:r>
              <w:rPr>
                <w:rFonts w:hint="eastAsia"/>
              </w:rPr>
              <w:br w:type="textWrapping"/>
            </w:r>
            <w:r>
              <w:rPr>
                <w:rFonts w:hint="eastAsia"/>
              </w:rPr>
              <w:t>5、设备运行支持无人值守，支持过热保护、短路保护等功能；</w:t>
            </w:r>
            <w:r>
              <w:rPr>
                <w:rFonts w:hint="eastAsia"/>
              </w:rPr>
              <w:br w:type="textWrapping"/>
            </w:r>
            <w:r>
              <w:rPr>
                <w:rFonts w:hint="eastAsia"/>
              </w:rPr>
              <w:t>6、引导阻断信号支持50MHz-1.6GHz间任意频点的作弊信号进行11路以上作弊信号引导阻断；</w:t>
            </w:r>
            <w:r>
              <w:rPr>
                <w:rFonts w:hint="eastAsia"/>
              </w:rPr>
              <w:br w:type="textWrapping"/>
            </w:r>
            <w:r>
              <w:rPr>
                <w:rFonts w:hint="eastAsia"/>
              </w:rPr>
              <w:t>7、可对50MHz-1.6GHz间各类教材作弊器材，如数传橡皮、笔、格尺等作弊信号进行有效引导屏蔽；</w:t>
            </w:r>
            <w:r>
              <w:rPr>
                <w:rFonts w:hint="eastAsia"/>
              </w:rPr>
              <w:br w:type="textWrapping"/>
            </w:r>
            <w:r>
              <w:rPr>
                <w:rFonts w:hint="eastAsia"/>
              </w:rPr>
              <w:t>8、对讲频段范围：136MHz-174MHz、400MHz-470MHz实现全时侦测阻断；</w:t>
            </w:r>
            <w:r>
              <w:rPr>
                <w:rFonts w:hint="eastAsia"/>
              </w:rPr>
              <w:br w:type="textWrapping"/>
            </w:r>
            <w:r>
              <w:rPr>
                <w:rFonts w:hint="eastAsia"/>
              </w:rPr>
              <w:t>9、侦测主机向无线屏蔽系统管理软件注册，支持背景信号学习和黑白名单库建立；</w:t>
            </w:r>
            <w:r>
              <w:rPr>
                <w:rFonts w:hint="eastAsia"/>
              </w:rPr>
              <w:br w:type="textWrapping"/>
            </w:r>
            <w:r>
              <w:rPr>
                <w:rFonts w:hint="eastAsia"/>
              </w:rPr>
              <w:t>10、支持信号特征分析和显示并对屏蔽断设备进行策略引导，能够对可疑信号进行还原取证；</w:t>
            </w:r>
            <w:r>
              <w:rPr>
                <w:rFonts w:hint="eastAsia"/>
              </w:rPr>
              <w:br w:type="textWrapping"/>
            </w:r>
            <w:r>
              <w:rPr>
                <w:rFonts w:hint="eastAsia"/>
              </w:rPr>
              <w:t>11、侦测主机与考点无线屏蔽系统管理软件采用网络连接，对侦测主机的所有操作均在无线屏蔽系统管理软件上完成。</w:t>
            </w:r>
            <w:r>
              <w:rPr>
                <w:rFonts w:hint="eastAsia"/>
              </w:rPr>
              <w:br w:type="textWrapping"/>
            </w:r>
            <w:r>
              <w:rPr>
                <w:rFonts w:hint="eastAsia"/>
              </w:rPr>
              <w:t>12、提供相应功能证明材料（包括但不限于检验报告、官网和功能截图等）</w:t>
            </w:r>
          </w:p>
        </w:tc>
        <w:tc>
          <w:tcPr>
            <w:tcW w:w="483" w:type="dxa"/>
            <w:vAlign w:val="center"/>
          </w:tcPr>
          <w:p>
            <w:pPr>
              <w:pStyle w:val="49"/>
            </w:pPr>
            <w:r>
              <w:rPr>
                <w:rFonts w:hint="eastAsia"/>
              </w:rPr>
              <w:t xml:space="preserve">1 </w:t>
            </w:r>
          </w:p>
        </w:tc>
        <w:tc>
          <w:tcPr>
            <w:tcW w:w="483"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992" w:type="dxa"/>
            <w:vAlign w:val="center"/>
          </w:tcPr>
          <w:p>
            <w:pPr>
              <w:pStyle w:val="49"/>
            </w:pPr>
            <w:r>
              <w:rPr>
                <w:rFonts w:hint="eastAsia"/>
              </w:rPr>
              <w:t>交换机</w:t>
            </w:r>
          </w:p>
        </w:tc>
        <w:tc>
          <w:tcPr>
            <w:tcW w:w="11898" w:type="dxa"/>
            <w:vAlign w:val="center"/>
          </w:tcPr>
          <w:p>
            <w:pPr>
              <w:pStyle w:val="49"/>
            </w:pPr>
            <w:r>
              <w:rPr>
                <w:rFonts w:hint="eastAsia"/>
              </w:rPr>
              <w:t>L2，交换容量≥256Gbps；≥24个10/100/1000Base-T以太网端口，≥2个1000Base-X SFP千兆以太网端口</w:t>
            </w:r>
          </w:p>
        </w:tc>
        <w:tc>
          <w:tcPr>
            <w:tcW w:w="483" w:type="dxa"/>
            <w:noWrap/>
            <w:vAlign w:val="center"/>
          </w:tcPr>
          <w:p>
            <w:pPr>
              <w:pStyle w:val="49"/>
            </w:pPr>
            <w:r>
              <w:rPr>
                <w:rFonts w:hint="eastAsia"/>
              </w:rPr>
              <w:t>2</w:t>
            </w:r>
          </w:p>
        </w:tc>
        <w:tc>
          <w:tcPr>
            <w:tcW w:w="483"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992" w:type="dxa"/>
            <w:vAlign w:val="center"/>
          </w:tcPr>
          <w:p>
            <w:pPr>
              <w:pStyle w:val="49"/>
            </w:pPr>
            <w:r>
              <w:rPr>
                <w:rFonts w:hint="eastAsia"/>
              </w:rPr>
              <w:t>单模光纤模块</w:t>
            </w:r>
          </w:p>
        </w:tc>
        <w:tc>
          <w:tcPr>
            <w:tcW w:w="11898" w:type="dxa"/>
            <w:vAlign w:val="center"/>
          </w:tcPr>
          <w:p>
            <w:pPr>
              <w:pStyle w:val="49"/>
            </w:pPr>
            <w:r>
              <w:rPr>
                <w:rFonts w:hint="eastAsia"/>
              </w:rPr>
              <w:t>光模块-SFP-GE-单模模块-（1310nm,10km,LC）</w:t>
            </w:r>
          </w:p>
        </w:tc>
        <w:tc>
          <w:tcPr>
            <w:tcW w:w="483" w:type="dxa"/>
            <w:vAlign w:val="center"/>
          </w:tcPr>
          <w:p>
            <w:pPr>
              <w:pStyle w:val="49"/>
            </w:pPr>
            <w:r>
              <w:rPr>
                <w:rFonts w:hint="eastAsia"/>
              </w:rPr>
              <w:t xml:space="preserve">4 </w:t>
            </w:r>
          </w:p>
        </w:tc>
        <w:tc>
          <w:tcPr>
            <w:tcW w:w="483"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992" w:type="dxa"/>
            <w:vAlign w:val="center"/>
          </w:tcPr>
          <w:p>
            <w:pPr>
              <w:pStyle w:val="49"/>
            </w:pPr>
            <w:r>
              <w:rPr>
                <w:rFonts w:hint="eastAsia"/>
              </w:rPr>
              <w:t>线缆线材</w:t>
            </w:r>
          </w:p>
        </w:tc>
        <w:tc>
          <w:tcPr>
            <w:tcW w:w="11898" w:type="dxa"/>
            <w:vAlign w:val="center"/>
          </w:tcPr>
          <w:p>
            <w:pPr>
              <w:pStyle w:val="49"/>
            </w:pPr>
            <w:r>
              <w:rPr>
                <w:rFonts w:hint="eastAsia"/>
              </w:rPr>
              <w:t>电源线、六类网线、PVC槽、电源插座、电源空开等。</w:t>
            </w:r>
          </w:p>
        </w:tc>
        <w:tc>
          <w:tcPr>
            <w:tcW w:w="483" w:type="dxa"/>
            <w:noWrap/>
            <w:vAlign w:val="center"/>
          </w:tcPr>
          <w:p>
            <w:pPr>
              <w:pStyle w:val="49"/>
            </w:pPr>
            <w:r>
              <w:rPr>
                <w:rFonts w:hint="eastAsia"/>
              </w:rPr>
              <w:t xml:space="preserve">1 </w:t>
            </w:r>
          </w:p>
        </w:tc>
        <w:tc>
          <w:tcPr>
            <w:tcW w:w="483" w:type="dxa"/>
            <w:noWrap/>
            <w:vAlign w:val="center"/>
          </w:tcPr>
          <w:p>
            <w:pPr>
              <w:pStyle w:val="49"/>
            </w:pPr>
            <w:r>
              <w:rPr>
                <w:rFonts w:hint="eastAsia"/>
              </w:rPr>
              <w:t>批</w:t>
            </w:r>
          </w:p>
        </w:tc>
      </w:tr>
    </w:tbl>
    <w:p/>
    <w:p>
      <w:pPr>
        <w:widowControl/>
        <w:jc w:val="left"/>
        <w:rPr>
          <w:rFonts w:asciiTheme="majorHAnsi" w:hAnsiTheme="majorHAnsi" w:cstheme="majorBidi"/>
          <w:b/>
          <w:bCs/>
          <w:sz w:val="32"/>
          <w:szCs w:val="32"/>
        </w:rPr>
      </w:pPr>
      <w:r>
        <w:br w:type="page"/>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744"/>
        <w:gridCol w:w="510"/>
        <w:gridCol w:w="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560" w:type="dxa"/>
            <w:gridSpan w:val="5"/>
            <w:noWrap/>
          </w:tcPr>
          <w:p>
            <w:pPr>
              <w:rPr>
                <w:b/>
                <w:bCs/>
              </w:rPr>
            </w:pPr>
            <w:r>
              <w:rPr>
                <w:rFonts w:hint="eastAsia"/>
                <w:b/>
                <w:bCs/>
              </w:rPr>
              <w:t>阎良六三〇中学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tcPr>
          <w:p>
            <w:pPr>
              <w:rPr>
                <w:b/>
                <w:bCs/>
              </w:rPr>
            </w:pPr>
            <w:r>
              <w:rPr>
                <w:rFonts w:hint="eastAsia"/>
                <w:b/>
                <w:bCs/>
              </w:rPr>
              <w:t>序号</w:t>
            </w:r>
          </w:p>
        </w:tc>
        <w:tc>
          <w:tcPr>
            <w:tcW w:w="1134" w:type="dxa"/>
            <w:noWrap/>
          </w:tcPr>
          <w:p>
            <w:pPr>
              <w:rPr>
                <w:b/>
                <w:bCs/>
              </w:rPr>
            </w:pPr>
            <w:r>
              <w:rPr>
                <w:rFonts w:hint="eastAsia"/>
                <w:b/>
                <w:bCs/>
              </w:rPr>
              <w:t>设备名称</w:t>
            </w:r>
          </w:p>
        </w:tc>
        <w:tc>
          <w:tcPr>
            <w:tcW w:w="11744" w:type="dxa"/>
            <w:noWrap/>
          </w:tcPr>
          <w:p>
            <w:pPr>
              <w:rPr>
                <w:b/>
                <w:bCs/>
              </w:rPr>
            </w:pPr>
            <w:r>
              <w:rPr>
                <w:rFonts w:hint="eastAsia"/>
                <w:b/>
                <w:bCs/>
              </w:rPr>
              <w:t>技术参数</w:t>
            </w:r>
          </w:p>
        </w:tc>
        <w:tc>
          <w:tcPr>
            <w:tcW w:w="510" w:type="dxa"/>
            <w:noWrap/>
          </w:tcPr>
          <w:p>
            <w:pPr>
              <w:rPr>
                <w:b/>
                <w:bCs/>
              </w:rPr>
            </w:pPr>
            <w:r>
              <w:rPr>
                <w:rFonts w:hint="eastAsia"/>
                <w:b/>
                <w:bCs/>
              </w:rPr>
              <w:t>数量</w:t>
            </w:r>
          </w:p>
        </w:tc>
        <w:tc>
          <w:tcPr>
            <w:tcW w:w="468" w:type="dxa"/>
            <w:noWrap/>
          </w:tcPr>
          <w:p>
            <w:pPr>
              <w:rPr>
                <w:b/>
                <w:bCs/>
              </w:rPr>
            </w:pPr>
            <w:r>
              <w:rPr>
                <w:rFonts w:hint="eastAsia"/>
                <w:b/>
                <w:bCs/>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82" w:type="dxa"/>
            <w:gridSpan w:val="3"/>
            <w:noWrap/>
          </w:tcPr>
          <w:p>
            <w:pPr>
              <w:rPr>
                <w:b/>
                <w:bCs/>
              </w:rPr>
            </w:pPr>
            <w:r>
              <w:rPr>
                <w:rFonts w:hint="eastAsia"/>
                <w:b/>
                <w:bCs/>
              </w:rPr>
              <w:t>一、巡查系统</w:t>
            </w:r>
          </w:p>
        </w:tc>
        <w:tc>
          <w:tcPr>
            <w:tcW w:w="510" w:type="dxa"/>
            <w:noWrap/>
          </w:tcPr>
          <w:p>
            <w:pPr>
              <w:rPr>
                <w:b/>
                <w:bCs/>
              </w:rPr>
            </w:pPr>
            <w:r>
              <w:rPr>
                <w:rFonts w:hint="eastAsia"/>
                <w:b/>
                <w:bCs/>
              </w:rPr>
              <w:t>　</w:t>
            </w:r>
          </w:p>
        </w:tc>
        <w:tc>
          <w:tcPr>
            <w:tcW w:w="468" w:type="dxa"/>
            <w:noWrap/>
          </w:tcPr>
          <w:p>
            <w:pPr>
              <w:rPr>
                <w:b/>
                <w:bCs/>
              </w:rPr>
            </w:pPr>
            <w:r>
              <w:rPr>
                <w:rFonts w:hint="eastAsia"/>
                <w:b/>
                <w:bC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w:t>
            </w:r>
          </w:p>
        </w:tc>
        <w:tc>
          <w:tcPr>
            <w:tcW w:w="1134" w:type="dxa"/>
          </w:tcPr>
          <w:p>
            <w:r>
              <w:rPr>
                <w:rFonts w:hint="eastAsia"/>
              </w:rPr>
              <w:t>管理计算机</w:t>
            </w:r>
          </w:p>
        </w:tc>
        <w:tc>
          <w:tcPr>
            <w:tcW w:w="11744" w:type="dxa"/>
          </w:tcPr>
          <w:p>
            <w:r>
              <w:rPr>
                <w:rFonts w:hint="eastAsia"/>
              </w:rPr>
              <w:t>性能不低于：I7-9700 8G DDRIII 2133MHz，128G固态硬盘，1TG SATA3 7200rpm， 2G独立显卡，23”显示器,USB鼠标键盘，win10</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5" w:hRule="atLeast"/>
        </w:trPr>
        <w:tc>
          <w:tcPr>
            <w:tcW w:w="704" w:type="dxa"/>
            <w:noWrap/>
          </w:tcPr>
          <w:p>
            <w:r>
              <w:rPr>
                <w:rFonts w:hint="eastAsia"/>
              </w:rPr>
              <w:t>2</w:t>
            </w:r>
          </w:p>
        </w:tc>
        <w:tc>
          <w:tcPr>
            <w:tcW w:w="1134" w:type="dxa"/>
            <w:vAlign w:val="center"/>
          </w:tcPr>
          <w:p>
            <w:pPr>
              <w:jc w:val="center"/>
            </w:pPr>
            <w:r>
              <w:rPr>
                <w:rFonts w:hint="eastAsia"/>
              </w:rPr>
              <w:t>高清网络半球摄像机</w:t>
            </w:r>
          </w:p>
        </w:tc>
        <w:tc>
          <w:tcPr>
            <w:tcW w:w="11744" w:type="dxa"/>
          </w:tcPr>
          <w:p>
            <w:r>
              <w:rPr>
                <w:rFonts w:hint="eastAsia"/>
              </w:rPr>
              <w:t>1、≥400万半球型网络摄像机，采用1/2.7" CMOS传感器</w:t>
            </w:r>
            <w:r>
              <w:rPr>
                <w:rFonts w:hint="eastAsia"/>
              </w:rPr>
              <w:br w:type="textWrapping"/>
            </w:r>
            <w:r>
              <w:rPr>
                <w:rFonts w:hint="eastAsia"/>
              </w:rPr>
              <w:t>2、照度≤0.005Lux，0Lux with IR；</w:t>
            </w:r>
            <w:r>
              <w:rPr>
                <w:rFonts w:hint="eastAsia"/>
              </w:rPr>
              <w:br w:type="textWrapping"/>
            </w:r>
            <w:r>
              <w:rPr>
                <w:rFonts w:hint="eastAsia"/>
              </w:rPr>
              <w:t>3、采用2.7mm-12mm镜头, 水平视场角93°～35°；</w:t>
            </w:r>
            <w:r>
              <w:rPr>
                <w:rFonts w:hint="eastAsia"/>
              </w:rPr>
              <w:br w:type="textWrapping"/>
            </w:r>
            <w:r>
              <w:rPr>
                <w:rFonts w:hint="eastAsia"/>
              </w:rPr>
              <w:t>4、视频编码标准支持H.265、H.264、MJPEG编码格式，音频编码标准支持G.711/MP2L2/AAC，图像尺寸≥2560×1440；</w:t>
            </w:r>
            <w:r>
              <w:rPr>
                <w:rFonts w:hint="eastAsia"/>
              </w:rPr>
              <w:br w:type="textWrapping"/>
            </w:r>
            <w:r>
              <w:rPr>
                <w:rFonts w:hint="eastAsia"/>
              </w:rPr>
              <w:t>5、支持Micro SD/SDHC/SDXC卡(128G)本地存储；</w:t>
            </w:r>
            <w:r>
              <w:rPr>
                <w:rFonts w:hint="eastAsia"/>
              </w:rPr>
              <w:br w:type="textWrapping"/>
            </w:r>
            <w:r>
              <w:rPr>
                <w:rFonts w:hint="eastAsia"/>
              </w:rPr>
              <w:t>6、支持SIP、RTP、RTCP等网络协议，支持TS、PS流封装，支持标准SIP2.0协议；</w:t>
            </w:r>
            <w:r>
              <w:rPr>
                <w:rFonts w:hint="eastAsia"/>
              </w:rPr>
              <w:br w:type="textWrapping"/>
            </w:r>
            <w:r>
              <w:rPr>
                <w:rFonts w:hint="eastAsia"/>
              </w:rPr>
              <w:t>7、具有视频移动侦测能力，可根据设置策略实现相应的编码、传输、存储或视频报警；</w:t>
            </w:r>
            <w:r>
              <w:rPr>
                <w:rFonts w:hint="eastAsia"/>
              </w:rPr>
              <w:br w:type="textWrapping"/>
            </w:r>
            <w:r>
              <w:rPr>
                <w:rFonts w:hint="eastAsia"/>
              </w:rPr>
              <w:t>8、支持SIP的地址解析、信令转发，支持SIP URI统一命名规则、分级命名；</w:t>
            </w:r>
            <w:r>
              <w:rPr>
                <w:rFonts w:hint="eastAsia"/>
              </w:rPr>
              <w:br w:type="textWrapping"/>
            </w:r>
            <w:r>
              <w:rPr>
                <w:rFonts w:hint="eastAsia"/>
              </w:rPr>
              <w:t>9、支持UDP回放方式，支持UDP下载方式；</w:t>
            </w:r>
            <w:r>
              <w:rPr>
                <w:rFonts w:hint="eastAsia"/>
              </w:rPr>
              <w:br w:type="textWrapping"/>
            </w:r>
            <w:r>
              <w:rPr>
                <w:rFonts w:hint="eastAsia"/>
              </w:rPr>
              <w:t>10、支持时间同步功能，支持网络时间协议（NTP）；</w:t>
            </w:r>
            <w:r>
              <w:rPr>
                <w:rFonts w:hint="eastAsia"/>
              </w:rPr>
              <w:br w:type="textWrapping"/>
            </w:r>
            <w:r>
              <w:rPr>
                <w:rFonts w:hint="eastAsia"/>
              </w:rPr>
              <w:t>11、具有≥1个RJ45 10M/100M自适应以太网口、≥1对音频输入/输出接口、≥2对报警输入/输出接口；</w:t>
            </w:r>
            <w:r>
              <w:rPr>
                <w:rFonts w:hint="eastAsia"/>
              </w:rPr>
              <w:br w:type="textWrapping"/>
            </w:r>
            <w:r>
              <w:rPr>
                <w:rFonts w:hint="eastAsia"/>
              </w:rPr>
              <w:t>12、支持DC12V/PoE(802.3af)供电；</w:t>
            </w:r>
            <w:r>
              <w:rPr>
                <w:rFonts w:hint="eastAsia"/>
              </w:rPr>
              <w:br w:type="textWrapping"/>
            </w:r>
            <w:r>
              <w:rPr>
                <w:rFonts w:hint="eastAsia"/>
              </w:rPr>
              <w:t>13、红外照射距离≥30米；</w:t>
            </w:r>
            <w:r>
              <w:rPr>
                <w:rFonts w:hint="eastAsia"/>
              </w:rPr>
              <w:br w:type="textWrapping"/>
            </w:r>
            <w:r>
              <w:rPr>
                <w:rFonts w:hint="eastAsia"/>
              </w:rPr>
              <w:t>14、防护等级为IP67。</w:t>
            </w:r>
            <w:r>
              <w:rPr>
                <w:rFonts w:hint="eastAsia"/>
              </w:rPr>
              <w:br w:type="textWrapping"/>
            </w:r>
            <w:r>
              <w:rPr>
                <w:rFonts w:hint="eastAsia"/>
              </w:rPr>
              <w:t>15、符合标准：符合《公共安全视频监控联网系统信息传输、交换、控制技术要求》GB/T28181-2016。符合《国家教育考试网上巡查系统视频标准技术规范》JY/T-KS-JS-2017-1。</w:t>
            </w:r>
            <w:r>
              <w:rPr>
                <w:rFonts w:hint="eastAsia"/>
              </w:rPr>
              <w:br w:type="textWrapping"/>
            </w:r>
            <w:r>
              <w:rPr>
                <w:rFonts w:hint="eastAsia"/>
              </w:rPr>
              <w:t>16、包含支架和电源；</w:t>
            </w:r>
            <w:r>
              <w:rPr>
                <w:rFonts w:hint="eastAsia"/>
              </w:rPr>
              <w:br w:type="textWrapping"/>
            </w:r>
            <w:r>
              <w:rPr>
                <w:rFonts w:hint="eastAsia"/>
              </w:rPr>
              <w:t>17、提供产品来源渠道证明文件（包括但不限于销售协议、代理协议、原厂授权）加盖公章。</w:t>
            </w:r>
          </w:p>
        </w:tc>
        <w:tc>
          <w:tcPr>
            <w:tcW w:w="510" w:type="dxa"/>
            <w:noWrap/>
          </w:tcPr>
          <w:p>
            <w:r>
              <w:rPr>
                <w:rFonts w:hint="eastAsia"/>
              </w:rPr>
              <w:t>33</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704" w:type="dxa"/>
            <w:noWrap/>
          </w:tcPr>
          <w:p>
            <w:r>
              <w:rPr>
                <w:rFonts w:hint="eastAsia"/>
              </w:rPr>
              <w:t>3</w:t>
            </w:r>
          </w:p>
        </w:tc>
        <w:tc>
          <w:tcPr>
            <w:tcW w:w="1134" w:type="dxa"/>
          </w:tcPr>
          <w:p>
            <w:r>
              <w:rPr>
                <w:rFonts w:hint="eastAsia"/>
              </w:rPr>
              <w:t>拾音器</w:t>
            </w:r>
          </w:p>
        </w:tc>
        <w:tc>
          <w:tcPr>
            <w:tcW w:w="11744" w:type="dxa"/>
          </w:tcPr>
          <w:p>
            <w:r>
              <w:rPr>
                <w:rFonts w:hint="eastAsia"/>
              </w:rPr>
              <w:t>监听面积：50平方米-100平方米；音频传输距离: 3000米 ；适配器：内置前置放大电路，不需要适配器；频率响应：20Hz ～ 20kHz； 连接方式：3条引线 (电源,音频,公共地)；灵敏度：-32dB；传输线缆：3芯0.5mm2 RVVP电缆；信噪比 ；80dB ( 1米40 dB音源) 30dB (10米40 dB音源) 1KHz at 1 Pa；指向特性；全指向性 动态范围：104dB (1KHz at Max dB SPL)；环境温度： -25℃ ～ 75℃；最大承受音压： 120dB SPL (1KHz,THD 1%)；输出阻抗；600欧姆非平衡；输出信号幅度 ：2.5Vpp/-25db。</w:t>
            </w:r>
          </w:p>
        </w:tc>
        <w:tc>
          <w:tcPr>
            <w:tcW w:w="510" w:type="dxa"/>
            <w:noWrap/>
          </w:tcPr>
          <w:p>
            <w:r>
              <w:rPr>
                <w:rFonts w:hint="eastAsia"/>
              </w:rPr>
              <w:t>33</w:t>
            </w:r>
          </w:p>
        </w:tc>
        <w:tc>
          <w:tcPr>
            <w:tcW w:w="468" w:type="dxa"/>
            <w:noWrap/>
          </w:tcPr>
          <w:p>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tcPr>
          <w:p>
            <w:r>
              <w:rPr>
                <w:rFonts w:hint="eastAsia"/>
              </w:rPr>
              <w:t>4</w:t>
            </w:r>
          </w:p>
        </w:tc>
        <w:tc>
          <w:tcPr>
            <w:tcW w:w="1134" w:type="dxa"/>
          </w:tcPr>
          <w:p>
            <w:r>
              <w:rPr>
                <w:rFonts w:hint="eastAsia"/>
              </w:rPr>
              <w:t>筒型网络摄像机</w:t>
            </w:r>
          </w:p>
        </w:tc>
        <w:tc>
          <w:tcPr>
            <w:tcW w:w="11744" w:type="dxa"/>
          </w:tcPr>
          <w:p>
            <w:r>
              <w:rPr>
                <w:rFonts w:hint="eastAsia"/>
              </w:rPr>
              <w:t>≥400万筒型摄像机，采用1/2.7" CMOS传感器；最小照度最小照度≤0.005Lux，0Lux with IR；采用2.7mm-12mm镜头, 水平视场角93°～35°，视频编码标准支持H.265/H.264，音频编码标准支持G.711/MP2L2/AAC，图像尺寸≥2560×1440；支持Micro SD/SDHC/SDXC卡(≥128G)本地存储；具有≥1个RJ45 10M/100M自适应以太网口、1对音频输入/输出接口、2对报警输入/输出接口；支持DC12V/PoE(802.3af)供电；红外照射距离≥30米；防护等级为IP67。符合标准：符合《公共安全视频监控联网系统信息传输、交换、控制技术要求》GB/T28181-2016。符合《国家教育考试网上巡查系统视频标准技术规范》JY/T-KS-JS-2017-1。</w:t>
            </w:r>
          </w:p>
        </w:tc>
        <w:tc>
          <w:tcPr>
            <w:tcW w:w="510" w:type="dxa"/>
            <w:noWrap/>
          </w:tcPr>
          <w:p>
            <w:r>
              <w:rPr>
                <w:rFonts w:hint="eastAsia"/>
              </w:rPr>
              <w:t>8</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tcPr>
          <w:p>
            <w:r>
              <w:rPr>
                <w:rFonts w:hint="eastAsia"/>
              </w:rPr>
              <w:t>5</w:t>
            </w:r>
          </w:p>
        </w:tc>
        <w:tc>
          <w:tcPr>
            <w:tcW w:w="1134" w:type="dxa"/>
            <w:vAlign w:val="center"/>
          </w:tcPr>
          <w:p>
            <w:pPr>
              <w:jc w:val="center"/>
            </w:pPr>
            <w:r>
              <w:rPr>
                <w:rFonts w:hint="eastAsia"/>
              </w:rPr>
              <w:t>高清网络球型摄像机</w:t>
            </w:r>
          </w:p>
        </w:tc>
        <w:tc>
          <w:tcPr>
            <w:tcW w:w="11744" w:type="dxa"/>
          </w:tcPr>
          <w:p>
            <w:pPr>
              <w:pStyle w:val="49"/>
            </w:pPr>
            <w:r>
              <w:rPr>
                <w:rFonts w:hint="eastAsia"/>
              </w:rPr>
              <w:t>1、≥400万7寸红外网络高清智能球机，采用1/2.5" CMOS传感器，最小照度≤0.005Lux，0Lux with IR；</w:t>
            </w:r>
          </w:p>
          <w:p>
            <w:pPr>
              <w:pStyle w:val="49"/>
            </w:pPr>
            <w:r>
              <w:rPr>
                <w:rFonts w:hint="eastAsia"/>
              </w:rPr>
              <w:t>2、采用4.8mm-110mm镜头, ≥ 23倍光学变倍、≥16倍数字变倍；</w:t>
            </w:r>
          </w:p>
          <w:p>
            <w:pPr>
              <w:pStyle w:val="49"/>
            </w:pPr>
            <w:r>
              <w:rPr>
                <w:rFonts w:hint="eastAsia"/>
              </w:rPr>
              <w:t>3、视频编码标准支持H.265/H.264，音频编码标准支持G.711/MP2L2/AAC等，≥2560×1440；</w:t>
            </w:r>
          </w:p>
          <w:p>
            <w:pPr>
              <w:pStyle w:val="49"/>
            </w:pPr>
            <w:r>
              <w:rPr>
                <w:rFonts w:hint="eastAsia"/>
              </w:rPr>
              <w:t>4、最高输出帧率为30fps、输出分辨率支持2560×1440/1920×1080/1280×960/1280×720；</w:t>
            </w:r>
          </w:p>
          <w:p>
            <w:pPr>
              <w:pStyle w:val="49"/>
            </w:pPr>
            <w:r>
              <w:rPr>
                <w:rFonts w:hint="eastAsia"/>
              </w:rPr>
              <w:t>5、支持Micro SD/SDHC/SDXC卡(≥256G)本地存储；</w:t>
            </w:r>
          </w:p>
          <w:p>
            <w:pPr>
              <w:pStyle w:val="49"/>
            </w:pPr>
            <w:r>
              <w:rPr>
                <w:rFonts w:hint="eastAsia"/>
              </w:rPr>
              <w:t>6、具有智能报警功能，支持越界侦测、区域入侵侦测、音频异常侦测和移动侦测等报警类型；</w:t>
            </w:r>
          </w:p>
          <w:p>
            <w:pPr>
              <w:pStyle w:val="49"/>
            </w:pPr>
            <w:r>
              <w:rPr>
                <w:rFonts w:hint="eastAsia"/>
              </w:rPr>
              <w:t>7、支持宽动态、透雾、强光抑制、3D定位和电子防抖；</w:t>
            </w:r>
          </w:p>
          <w:p>
            <w:pPr>
              <w:pStyle w:val="49"/>
            </w:pPr>
            <w:r>
              <w:rPr>
                <w:rFonts w:hint="eastAsia"/>
              </w:rPr>
              <w:t>8、水平及垂直：水平范围360°，垂直范围-15°～90°，水平转速：0.1°～160°/s，速度可设，水平预置点速度：240°/s，垂直速度：垂直转速：0.1°～120°/s，速度可设，垂直预置点速度：200°/s；</w:t>
            </w:r>
          </w:p>
          <w:p>
            <w:pPr>
              <w:pStyle w:val="49"/>
            </w:pPr>
            <w:r>
              <w:rPr>
                <w:rFonts w:hint="eastAsia"/>
              </w:rPr>
              <w:t>9、支持≥300个预置点；</w:t>
            </w:r>
          </w:p>
          <w:p>
            <w:pPr>
              <w:pStyle w:val="49"/>
            </w:pPr>
            <w:r>
              <w:rPr>
                <w:rFonts w:hint="eastAsia"/>
              </w:rPr>
              <w:t>10、≥8条巡航扫描，每条可设置≥32个预置点，支持断电记忆；</w:t>
            </w:r>
          </w:p>
          <w:p>
            <w:pPr>
              <w:pStyle w:val="49"/>
            </w:pPr>
            <w:r>
              <w:rPr>
                <w:rFonts w:hint="eastAsia"/>
              </w:rPr>
              <w:t>11、支持标准SIP2.0，支持统一SIP URI统一命名规则、分级命名；</w:t>
            </w:r>
          </w:p>
          <w:p>
            <w:pPr>
              <w:pStyle w:val="49"/>
            </w:pPr>
            <w:r>
              <w:rPr>
                <w:rFonts w:hint="eastAsia"/>
              </w:rPr>
              <w:t xml:space="preserve">12、具有≥1个RJ45 10M/100M自适应以太网口、≥1对音频输入/输出接口、≥1对报警输入/输出接口； </w:t>
            </w:r>
          </w:p>
          <w:p>
            <w:pPr>
              <w:pStyle w:val="49"/>
            </w:pPr>
            <w:r>
              <w:rPr>
                <w:rFonts w:hint="eastAsia"/>
              </w:rPr>
              <w:t>13、红外照射距离≥150米；</w:t>
            </w:r>
          </w:p>
          <w:p>
            <w:pPr>
              <w:pStyle w:val="49"/>
            </w:pPr>
            <w:r>
              <w:rPr>
                <w:rFonts w:hint="eastAsia"/>
              </w:rPr>
              <w:t>14、防护等级：IP66，TVS 4000V 防雷、防浪涌、防突波，符合GB/T17626.5 四级标准；</w:t>
            </w:r>
          </w:p>
          <w:p>
            <w:pPr>
              <w:pStyle w:val="49"/>
            </w:pPr>
            <w:r>
              <w:rPr>
                <w:rFonts w:hint="eastAsia"/>
              </w:rPr>
              <w:t>15、符合标准：符合《国家教育考试网上巡查系统视频标准技术规范》JY/T-KS-JS-2017-1。</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tcPr>
          <w:p>
            <w:r>
              <w:rPr>
                <w:rFonts w:hint="eastAsia"/>
              </w:rPr>
              <w:t>6</w:t>
            </w:r>
          </w:p>
        </w:tc>
        <w:tc>
          <w:tcPr>
            <w:tcW w:w="1134" w:type="dxa"/>
          </w:tcPr>
          <w:p>
            <w:r>
              <w:rPr>
                <w:rFonts w:hint="eastAsia"/>
              </w:rPr>
              <w:t>SIP网关及媒体转发服务器</w:t>
            </w:r>
          </w:p>
        </w:tc>
        <w:tc>
          <w:tcPr>
            <w:tcW w:w="11744" w:type="dxa"/>
          </w:tcPr>
          <w:p>
            <w:pPr>
              <w:pStyle w:val="49"/>
            </w:pPr>
            <w:r>
              <w:rPr>
                <w:rFonts w:hint="eastAsia"/>
              </w:rPr>
              <w:t>1、SIP网关为嵌入式，内置linux操作系统；本身具有抗病毒和抗攻击能力，避免遭受病毒攻击，确保服务器能够长期稳定运行。具有点播、录像等功能。</w:t>
            </w:r>
          </w:p>
          <w:p>
            <w:pPr>
              <w:pStyle w:val="49"/>
            </w:pPr>
            <w:r>
              <w:rPr>
                <w:rFonts w:hint="eastAsia"/>
              </w:rPr>
              <w:t>2、能实现《国家教育考试网上巡查系统视频标准技术规范》JY/T-KS-JS-2017-1中规定的SIP协议与其它协议相互转换；（提供满足参数的证明材料，不限于检测报告、彩页官网截图等）</w:t>
            </w:r>
          </w:p>
          <w:p>
            <w:pPr>
              <w:pStyle w:val="49"/>
            </w:pPr>
            <w:r>
              <w:rPr>
                <w:rFonts w:hint="eastAsia"/>
              </w:rPr>
              <w:t>3、支持标准SIP2.0；支持SIP地址解析、信令转发；</w:t>
            </w:r>
          </w:p>
          <w:p>
            <w:pPr>
              <w:pStyle w:val="49"/>
            </w:pPr>
            <w:r>
              <w:rPr>
                <w:rFonts w:hint="eastAsia"/>
              </w:rPr>
              <w:t>4、支持H.264、H.265、MPEG4视频编码格式；支持ACC、G.711、MPEG Layer2音频编码格式；</w:t>
            </w:r>
          </w:p>
          <w:p>
            <w:pPr>
              <w:pStyle w:val="49"/>
            </w:pPr>
            <w:r>
              <w:rPr>
                <w:rFonts w:hint="eastAsia"/>
              </w:rPr>
              <w:t>5、支持IP、UDP、RTP、RTCP、SIP等网络协议；</w:t>
            </w:r>
          </w:p>
          <w:p>
            <w:pPr>
              <w:pStyle w:val="49"/>
            </w:pPr>
            <w:r>
              <w:rPr>
                <w:rFonts w:hint="eastAsia"/>
              </w:rPr>
              <w:t>6、单台设备可提供≥64路1920x1080媒体流的分发功能；</w:t>
            </w:r>
          </w:p>
          <w:p>
            <w:pPr>
              <w:pStyle w:val="49"/>
            </w:pPr>
            <w:r>
              <w:rPr>
                <w:rFonts w:hint="eastAsia"/>
              </w:rPr>
              <w:t>7、具有音、视频转发和路由控制功能，流媒体的NAT穿越功能；</w:t>
            </w:r>
          </w:p>
          <w:p>
            <w:pPr>
              <w:pStyle w:val="49"/>
            </w:pPr>
            <w:r>
              <w:rPr>
                <w:rFonts w:hint="eastAsia"/>
              </w:rPr>
              <w:t>8、支持时间同步功能支持网络时间协议（NTP）；</w:t>
            </w:r>
          </w:p>
          <w:p>
            <w:pPr>
              <w:pStyle w:val="49"/>
            </w:pPr>
            <w:r>
              <w:rPr>
                <w:rFonts w:hint="eastAsia"/>
              </w:rPr>
              <w:t>9、设备支持考试计划管理、支持考务人员编排功能，支持物理考场和逻辑考场对应功能，支持摄像机物理与考场逻辑位置对应，系统支持通过查看实时视频，查看该视频涉及考场的考试人员信息；</w:t>
            </w:r>
          </w:p>
          <w:p>
            <w:r>
              <w:rPr>
                <w:rFonts w:hint="eastAsia"/>
              </w:rPr>
              <w:t>10、具有≥2个10M/100M/1000M自适应以太网接口；</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4" w:type="dxa"/>
            <w:noWrap/>
          </w:tcPr>
          <w:p>
            <w:r>
              <w:rPr>
                <w:rFonts w:hint="eastAsia"/>
              </w:rPr>
              <w:t>7</w:t>
            </w:r>
          </w:p>
        </w:tc>
        <w:tc>
          <w:tcPr>
            <w:tcW w:w="1134" w:type="dxa"/>
            <w:vAlign w:val="center"/>
          </w:tcPr>
          <w:p>
            <w:pPr>
              <w:jc w:val="center"/>
            </w:pPr>
            <w:r>
              <w:rPr>
                <w:rFonts w:hint="eastAsia"/>
              </w:rPr>
              <w:t>网上巡查系统软件</w:t>
            </w:r>
          </w:p>
        </w:tc>
        <w:tc>
          <w:tcPr>
            <w:tcW w:w="11744" w:type="dxa"/>
          </w:tcPr>
          <w:p>
            <w:r>
              <w:rPr>
                <w:rFonts w:hint="eastAsia"/>
              </w:rPr>
              <w:t xml:space="preserve">1.软件界面明显位置具有帮助按钮，当用户需要时能提供文档说明，功能界面具有导航栏。 </w:t>
            </w:r>
            <w:r>
              <w:rPr>
                <w:rFonts w:hint="eastAsia"/>
              </w:rPr>
              <w:br w:type="textWrapping"/>
            </w:r>
            <w:r>
              <w:rPr>
                <w:rFonts w:hint="eastAsia"/>
              </w:rPr>
              <w:t xml:space="preserve">2.软件平台支持多用户使用，用户登录时经过账号和密码的相关性、安全性验证，防止非法操作。 </w:t>
            </w:r>
            <w:r>
              <w:rPr>
                <w:rFonts w:hint="eastAsia"/>
              </w:rPr>
              <w:br w:type="textWrapping"/>
            </w:r>
            <w:r>
              <w:rPr>
                <w:rFonts w:hint="eastAsia"/>
              </w:rPr>
              <w:t xml:space="preserve">3.软件平台具有较高的安全性，具有加密锁防护，防止软件被非法复制挪用，在加密锁失效或丢失的情况下，软件支持激活码激活。 </w:t>
            </w:r>
            <w:r>
              <w:rPr>
                <w:rFonts w:hint="eastAsia"/>
              </w:rPr>
              <w:br w:type="textWrapping"/>
            </w:r>
            <w:r>
              <w:rPr>
                <w:rFonts w:hint="eastAsia"/>
              </w:rPr>
              <w:t>4.视频预览界面具有导航列表和视频显示窗口，导航列可收缩折叠。</w:t>
            </w:r>
            <w:r>
              <w:rPr>
                <w:rFonts w:hint="eastAsia"/>
              </w:rPr>
              <w:br w:type="textWrapping"/>
            </w:r>
            <w:r>
              <w:rPr>
                <w:rFonts w:hint="eastAsia"/>
              </w:rPr>
              <w:t xml:space="preserve">5.视频预览窗口支持1、4、9、1+5等多画面预览。 </w:t>
            </w:r>
            <w:r>
              <w:rPr>
                <w:rFonts w:hint="eastAsia"/>
              </w:rPr>
              <w:br w:type="textWrapping"/>
            </w:r>
            <w:r>
              <w:rPr>
                <w:rFonts w:hint="eastAsia"/>
              </w:rPr>
              <w:t>6.在视频图像预览时支持抓图、录像、开启或关闭声音以及云台控制等操作。</w:t>
            </w:r>
            <w:r>
              <w:rPr>
                <w:rFonts w:hint="eastAsia"/>
              </w:rPr>
              <w:br w:type="textWrapping"/>
            </w:r>
            <w:r>
              <w:rPr>
                <w:rFonts w:hint="eastAsia"/>
              </w:rPr>
              <w:t xml:space="preserve">7.具有巡查列表提交功能，上传列表可选，可将考务规定的巡查编码设备通道列表上传，考务规定以外的列表可实现不上传但是能本地查看。 </w:t>
            </w:r>
            <w:r>
              <w:rPr>
                <w:rFonts w:hint="eastAsia"/>
              </w:rPr>
              <w:br w:type="textWrapping"/>
            </w:r>
            <w:r>
              <w:rPr>
                <w:rFonts w:hint="eastAsia"/>
              </w:rPr>
              <w:t>8.视频巡查实现分组巡查：支持考场，走廊，保密室独立创建分组进行巡查。</w:t>
            </w:r>
            <w:r>
              <w:rPr>
                <w:rFonts w:hint="eastAsia"/>
              </w:rPr>
              <w:br w:type="textWrapping"/>
            </w:r>
            <w:r>
              <w:rPr>
                <w:rFonts w:hint="eastAsia"/>
              </w:rPr>
              <w:t>9.支持按设备名称、区域节点名称检索设备树列表，支持考试任务接收，上传列表符合性校验，支持自定义设备树，可根据考试任务需求选择性创建设备树列表。</w:t>
            </w:r>
            <w:r>
              <w:rPr>
                <w:rFonts w:hint="eastAsia"/>
              </w:rPr>
              <w:br w:type="textWrapping"/>
            </w:r>
            <w:r>
              <w:rPr>
                <w:rFonts w:hint="eastAsia"/>
              </w:rPr>
              <w:t xml:space="preserve">10.支持对存储设备远程管理，实现存储控制、录像策略制定等功能。 </w:t>
            </w:r>
            <w:r>
              <w:rPr>
                <w:rFonts w:hint="eastAsia"/>
              </w:rPr>
              <w:br w:type="textWrapping"/>
            </w:r>
            <w:r>
              <w:rPr>
                <w:rFonts w:hint="eastAsia"/>
              </w:rPr>
              <w:t xml:space="preserve">11.支持对多台电视墙解码设备远程集中管理，实现远程解码上墙的内容控制、显示模式、轮巡切换、主辅码流等设置功能。 </w:t>
            </w:r>
            <w:r>
              <w:rPr>
                <w:rFonts w:hint="eastAsia"/>
              </w:rPr>
              <w:br w:type="textWrapping"/>
            </w:r>
            <w:r>
              <w:rPr>
                <w:rFonts w:hint="eastAsia"/>
              </w:rPr>
              <w:t xml:space="preserve">12.软件具有对所有网络摄像机、存储服务器、网络数字矩阵画面分割器、SIP服务器远程管理设置、视频预览、OSD设置、校时、设备列表树管理、列表上传、录像文件检索、下载、回放等功能。 </w:t>
            </w:r>
            <w:r>
              <w:rPr>
                <w:rFonts w:hint="eastAsia"/>
              </w:rPr>
              <w:br w:type="textWrapping"/>
            </w:r>
            <w:r>
              <w:rPr>
                <w:rFonts w:hint="eastAsia"/>
              </w:rPr>
              <w:t>13.功能设计符合《国家教育考试网上巡查系统视频标准技术规范》JY/T-KS-JS-2017-1。</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tcPr>
          <w:p>
            <w:r>
              <w:rPr>
                <w:rFonts w:hint="eastAsia"/>
              </w:rPr>
              <w:t>8</w:t>
            </w:r>
          </w:p>
        </w:tc>
        <w:tc>
          <w:tcPr>
            <w:tcW w:w="1134" w:type="dxa"/>
          </w:tcPr>
          <w:p>
            <w:r>
              <w:rPr>
                <w:rFonts w:hint="eastAsia"/>
              </w:rPr>
              <w:t>网络硬盘录像机</w:t>
            </w:r>
          </w:p>
        </w:tc>
        <w:tc>
          <w:tcPr>
            <w:tcW w:w="11744" w:type="dxa"/>
          </w:tcPr>
          <w:p>
            <w:r>
              <w:rPr>
                <w:rFonts w:hint="eastAsia"/>
              </w:rPr>
              <w:t>1、网络视频输入≥64路；</w:t>
            </w:r>
            <w:r>
              <w:rPr>
                <w:rFonts w:hint="eastAsia"/>
              </w:rPr>
              <w:br w:type="textWrapping"/>
            </w:r>
            <w:r>
              <w:rPr>
                <w:rFonts w:hint="eastAsia"/>
              </w:rPr>
              <w:t>2、具有录像回放及检索等功能；</w:t>
            </w:r>
            <w:r>
              <w:rPr>
                <w:rFonts w:hint="eastAsia"/>
              </w:rPr>
              <w:br w:type="textWrapping"/>
            </w:r>
            <w:r>
              <w:rPr>
                <w:rFonts w:hint="eastAsia"/>
              </w:rPr>
              <w:t>3、具有VGA输出：≥2路、HDMI输出：≥2路，RJ45≥2路，SATA接口≥8路，eSATA接口≥1路；</w:t>
            </w:r>
            <w:r>
              <w:rPr>
                <w:rFonts w:hint="eastAsia"/>
              </w:rPr>
              <w:br w:type="textWrapping"/>
            </w:r>
            <w:r>
              <w:rPr>
                <w:rFonts w:hint="eastAsia"/>
              </w:rPr>
              <w:t>4、预览分割：1/4/6/8/9/16/25/32/64画面；</w:t>
            </w:r>
            <w:r>
              <w:rPr>
                <w:rFonts w:hint="eastAsia"/>
              </w:rPr>
              <w:br w:type="textWrapping"/>
            </w:r>
            <w:r>
              <w:rPr>
                <w:rFonts w:hint="eastAsia"/>
              </w:rPr>
              <w:t>5、视频编码格式支持H.264、H.265、MPEG4编码格式，音频编码支持ACC、G.711、MPEG Layer2音频编码格式；</w:t>
            </w:r>
            <w:r>
              <w:rPr>
                <w:rFonts w:hint="eastAsia"/>
              </w:rPr>
              <w:br w:type="textWrapping"/>
            </w:r>
            <w:r>
              <w:rPr>
                <w:rFonts w:hint="eastAsia"/>
              </w:rPr>
              <w:t>6、支持TS、PS流封装格式，支持标准SIP2.0、支持SIP地址解析、信令转发、支持SIP URI 统一命名规则、分级命名；</w:t>
            </w:r>
            <w:r>
              <w:rPr>
                <w:rFonts w:hint="eastAsia"/>
              </w:rPr>
              <w:br w:type="textWrapping"/>
            </w:r>
            <w:r>
              <w:rPr>
                <w:rFonts w:hint="eastAsia"/>
              </w:rPr>
              <w:t>7、支持TCP/IP、DHCP、SIP、RTCP、PPOE等网络协议；</w:t>
            </w:r>
            <w:r>
              <w:rPr>
                <w:rFonts w:hint="eastAsia"/>
              </w:rPr>
              <w:br w:type="textWrapping"/>
            </w:r>
            <w:r>
              <w:rPr>
                <w:rFonts w:hint="eastAsia"/>
              </w:rPr>
              <w:t>8、具有数字时钟显示（OSD）功能，支持时间同步功能，支持网络时间协议（NTP）；</w:t>
            </w:r>
            <w:r>
              <w:rPr>
                <w:rFonts w:hint="eastAsia"/>
              </w:rPr>
              <w:br w:type="textWrapping"/>
            </w:r>
            <w:r>
              <w:rPr>
                <w:rFonts w:hint="eastAsia"/>
              </w:rPr>
              <w:t>9、支持硬盘配额和硬盘盘组两种存储模式，可对不同通道分配不同的录像保存容量，单块硬盘≥10TB；</w:t>
            </w:r>
            <w:r>
              <w:rPr>
                <w:rFonts w:hint="eastAsia"/>
              </w:rPr>
              <w:br w:type="textWrapping"/>
            </w:r>
            <w:r>
              <w:rPr>
                <w:rFonts w:hint="eastAsia"/>
              </w:rPr>
              <w:t>10、支持RAIDO、1、5、10；</w:t>
            </w:r>
            <w:r>
              <w:rPr>
                <w:rFonts w:hint="eastAsia"/>
              </w:rPr>
              <w:br w:type="textWrapping"/>
            </w:r>
            <w:r>
              <w:rPr>
                <w:rFonts w:hint="eastAsia"/>
              </w:rPr>
              <w:t>11、提供产品来源渠道证明文件（包括但不限于销售协议、代理协议、原厂授权）加盖公章。</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9</w:t>
            </w:r>
          </w:p>
        </w:tc>
        <w:tc>
          <w:tcPr>
            <w:tcW w:w="1134" w:type="dxa"/>
          </w:tcPr>
          <w:p>
            <w:r>
              <w:rPr>
                <w:rFonts w:hint="eastAsia"/>
              </w:rPr>
              <w:t>企业级硬盘</w:t>
            </w:r>
          </w:p>
        </w:tc>
        <w:tc>
          <w:tcPr>
            <w:tcW w:w="11744" w:type="dxa"/>
          </w:tcPr>
          <w:p>
            <w:r>
              <w:rPr>
                <w:rFonts w:hint="eastAsia"/>
              </w:rPr>
              <w:t>≥4T，7200转</w:t>
            </w:r>
          </w:p>
        </w:tc>
        <w:tc>
          <w:tcPr>
            <w:tcW w:w="510" w:type="dxa"/>
            <w:noWrap/>
          </w:tcPr>
          <w:p>
            <w:r>
              <w:rPr>
                <w:rFonts w:hint="eastAsia"/>
              </w:rPr>
              <w:t>8</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10</w:t>
            </w:r>
          </w:p>
        </w:tc>
        <w:tc>
          <w:tcPr>
            <w:tcW w:w="1134" w:type="dxa"/>
          </w:tcPr>
          <w:p>
            <w:r>
              <w:rPr>
                <w:rFonts w:hint="eastAsia"/>
              </w:rPr>
              <w:t>显示器</w:t>
            </w:r>
          </w:p>
        </w:tc>
        <w:tc>
          <w:tcPr>
            <w:tcW w:w="11744" w:type="dxa"/>
          </w:tcPr>
          <w:p>
            <w:r>
              <w:rPr>
                <w:rFonts w:hint="eastAsia"/>
              </w:rPr>
              <w:t>≥23寸显示器，支持HDMI或DVI输入</w:t>
            </w:r>
          </w:p>
        </w:tc>
        <w:tc>
          <w:tcPr>
            <w:tcW w:w="510" w:type="dxa"/>
            <w:noWrap/>
          </w:tcPr>
          <w:p>
            <w:r>
              <w:rPr>
                <w:rFonts w:hint="eastAsia"/>
              </w:rPr>
              <w:t>4</w:t>
            </w:r>
          </w:p>
        </w:tc>
        <w:tc>
          <w:tcPr>
            <w:tcW w:w="468" w:type="dxa"/>
            <w:noWrap/>
          </w:tcPr>
          <w:p>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4" w:type="dxa"/>
            <w:noWrap/>
          </w:tcPr>
          <w:p>
            <w:r>
              <w:rPr>
                <w:rFonts w:hint="eastAsia"/>
              </w:rPr>
              <w:t>11</w:t>
            </w:r>
          </w:p>
        </w:tc>
        <w:tc>
          <w:tcPr>
            <w:tcW w:w="1134" w:type="dxa"/>
          </w:tcPr>
          <w:p>
            <w:r>
              <w:rPr>
                <w:rFonts w:hint="eastAsia"/>
              </w:rPr>
              <w:t>电脑桌</w:t>
            </w:r>
          </w:p>
        </w:tc>
        <w:tc>
          <w:tcPr>
            <w:tcW w:w="11744" w:type="dxa"/>
          </w:tcPr>
          <w:p>
            <w:r>
              <w:rPr>
                <w:rFonts w:hint="eastAsia"/>
              </w:rPr>
              <w:t>2机位电脑桌，选用优质环保高级中密度纤维板，并经过防虫、防腐、高温、高压处理，；密度：0.72g/cm³;E1级环保标准，甲醛释放量≤9.0mg/100mg面漆：采用环保面漆，透明度高、耐划伤、防黄变，符合国家标准；VOC≤670g/l(苯≤0.3％，甲苯、二甲苯、乙苯总和≤30％等）。</w:t>
            </w:r>
          </w:p>
        </w:tc>
        <w:tc>
          <w:tcPr>
            <w:tcW w:w="510" w:type="dxa"/>
            <w:noWrap/>
          </w:tcPr>
          <w:p>
            <w:r>
              <w:rPr>
                <w:rFonts w:hint="eastAsia"/>
              </w:rPr>
              <w:t>4</w:t>
            </w:r>
          </w:p>
        </w:tc>
        <w:tc>
          <w:tcPr>
            <w:tcW w:w="468" w:type="dxa"/>
            <w:noWrap/>
          </w:tcPr>
          <w:p>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704" w:type="dxa"/>
            <w:noWrap/>
          </w:tcPr>
          <w:p>
            <w:r>
              <w:rPr>
                <w:rFonts w:hint="eastAsia"/>
              </w:rPr>
              <w:t>12</w:t>
            </w:r>
          </w:p>
        </w:tc>
        <w:tc>
          <w:tcPr>
            <w:tcW w:w="1134" w:type="dxa"/>
          </w:tcPr>
          <w:p>
            <w:r>
              <w:rPr>
                <w:rFonts w:hint="eastAsia"/>
              </w:rPr>
              <w:t>多画面数字分割器</w:t>
            </w:r>
          </w:p>
        </w:tc>
        <w:tc>
          <w:tcPr>
            <w:tcW w:w="11744" w:type="dxa"/>
          </w:tcPr>
          <w:p>
            <w:pPr>
              <w:pStyle w:val="49"/>
            </w:pPr>
            <w:r>
              <w:rPr>
                <w:rFonts w:hint="eastAsia"/>
              </w:rPr>
              <w:t>1、具有≥8路HDMI输出接口；</w:t>
            </w:r>
          </w:p>
          <w:p>
            <w:pPr>
              <w:pStyle w:val="49"/>
            </w:pPr>
            <w:r>
              <w:rPr>
                <w:rFonts w:hint="eastAsia"/>
              </w:rPr>
              <w:t>2、</w:t>
            </w:r>
            <w:r>
              <w:rPr>
                <w:rFonts w:hint="eastAsia"/>
              </w:rPr>
              <w:br w:type="page"/>
            </w:r>
            <w:r>
              <w:rPr>
                <w:rFonts w:hint="eastAsia"/>
              </w:rPr>
              <w:t>支持≥64个解码通道，解码能力支持64路1080P@30fps及以下分辨率；</w:t>
            </w:r>
          </w:p>
          <w:p>
            <w:pPr>
              <w:pStyle w:val="49"/>
            </w:pPr>
            <w:r>
              <w:rPr>
                <w:rFonts w:hint="eastAsia"/>
              </w:rPr>
              <w:t>3、</w:t>
            </w:r>
            <w:r>
              <w:rPr>
                <w:rFonts w:hint="eastAsia"/>
              </w:rPr>
              <w:br w:type="page"/>
            </w:r>
            <w:r>
              <w:rPr>
                <w:rFonts w:hint="eastAsia"/>
              </w:rPr>
              <w:t>画面分割数支持1/4/6/8/9/12/16/25/36；</w:t>
            </w:r>
          </w:p>
          <w:p>
            <w:pPr>
              <w:pStyle w:val="49"/>
            </w:pPr>
            <w:r>
              <w:rPr>
                <w:rFonts w:hint="eastAsia"/>
              </w:rPr>
              <w:br w:type="page"/>
            </w:r>
            <w:r>
              <w:rPr>
                <w:rFonts w:hint="eastAsia"/>
              </w:rPr>
              <w:t>4、支持SIP2.0协议、支持SIP地址解析、信令转发，SIP、RTP、RTCP等网络协议；4、具有≥20个RJ45接口，具有≥4路音频输出接口，≥1个RS232串行接口、≥1个DVI口、≥1个VGA口、≥2个RCA接口、≥2个USB接口；</w:t>
            </w:r>
          </w:p>
          <w:p>
            <w:pPr>
              <w:pStyle w:val="49"/>
            </w:pPr>
            <w:r>
              <w:rPr>
                <w:rFonts w:hint="eastAsia"/>
              </w:rPr>
              <w:t>5、具有≥8路报警输入及≥8路报警输出接口；</w:t>
            </w:r>
          </w:p>
          <w:p>
            <w:pPr>
              <w:pStyle w:val="49"/>
            </w:pPr>
            <w:r>
              <w:rPr>
                <w:rFonts w:hint="eastAsia"/>
              </w:rPr>
              <w:t>6、符合标准：符合《公共安全视频监控联网系统信息安全技术要求》GB/35114-2017。符合《国家教育考试网上巡查系统视频标准技术规范》JY/T-KS-JS-2017-1。</w:t>
            </w:r>
          </w:p>
          <w:p>
            <w:r>
              <w:rPr>
                <w:rFonts w:hint="eastAsia"/>
              </w:rPr>
              <w:t>7、提供产品来源渠道证明文件（包括但不限于销售协议、代理协议、原厂授权）加盖公章。</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25" w:hRule="atLeast"/>
        </w:trPr>
        <w:tc>
          <w:tcPr>
            <w:tcW w:w="704" w:type="dxa"/>
            <w:noWrap/>
          </w:tcPr>
          <w:p>
            <w:r>
              <w:rPr>
                <w:rFonts w:hint="eastAsia"/>
              </w:rPr>
              <w:t>13</w:t>
            </w:r>
          </w:p>
        </w:tc>
        <w:tc>
          <w:tcPr>
            <w:tcW w:w="1134" w:type="dxa"/>
          </w:tcPr>
          <w:p>
            <w:r>
              <w:rPr>
                <w:rFonts w:hint="eastAsia"/>
              </w:rPr>
              <w:t>UPS</w:t>
            </w:r>
          </w:p>
        </w:tc>
        <w:tc>
          <w:tcPr>
            <w:tcW w:w="11744" w:type="dxa"/>
          </w:tcPr>
          <w:p>
            <w:r>
              <w:rPr>
                <w:rFonts w:hint="eastAsia"/>
              </w:rPr>
              <w:t>采用在线UPS电源，UPS容量为≥10kVA，单套满载延时要求≥2小时；UPS主机逆变器采用三电平技术，保证可靠性的同时提高系统效率；UPS主机具有独立旁路功能，确保主路系统出现异常或故障时，旁路系统仍能正常输出，确保负载不间断供电；采用全数字化充电器，电池电压和电流可任意设置；为避免误操作，UPS的开、关机采用双键组合的形式来实现开关机；UPS主机应具有LCD显示和LED状态显示， 可以显示：输入电压/频率、输出电压/频率、有功功率、视在功率、电池节数、电池电压、电池容量百分比；输入额定电压：208Vac/220 Vac/230Vac/240Vac；输入电压可变范围：110~176Vac（50%~100%负载线性降额） 176~288Vac（不降额）；输入频率变化范围：40~70Hz；输入功率因数≥0.99；输出额定电压：208 Vac（PF=0.9）/220 Vac /230 Vac /240Vac；输出功率因数不小于1；输出波形失真度：≤1%(线性负载）；≤4%（非线性负载）；系统效率：在线模式：≥95%@100%负载，ECO 模式：≥98%；防护等级：IP20；16节100AH电池，，含电池柜。</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14</w:t>
            </w:r>
          </w:p>
        </w:tc>
        <w:tc>
          <w:tcPr>
            <w:tcW w:w="1134" w:type="dxa"/>
          </w:tcPr>
          <w:p>
            <w:r>
              <w:rPr>
                <w:rFonts w:hint="eastAsia"/>
              </w:rPr>
              <w:t>汇聚交换机</w:t>
            </w:r>
          </w:p>
        </w:tc>
        <w:tc>
          <w:tcPr>
            <w:tcW w:w="11744" w:type="dxa"/>
          </w:tcPr>
          <w:p>
            <w:r>
              <w:rPr>
                <w:rFonts w:hint="eastAsia"/>
              </w:rPr>
              <w:t>L3，≥24口光纤接口,≥8口光电复用</w:t>
            </w:r>
          </w:p>
        </w:tc>
        <w:tc>
          <w:tcPr>
            <w:tcW w:w="510" w:type="dxa"/>
            <w:noWrap/>
          </w:tcPr>
          <w:p>
            <w:r>
              <w:rPr>
                <w:rFonts w:hint="eastAsia"/>
              </w:rPr>
              <w:t>1</w:t>
            </w:r>
          </w:p>
        </w:tc>
        <w:tc>
          <w:tcPr>
            <w:tcW w:w="468" w:type="dxa"/>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 w:hRule="atLeast"/>
        </w:trPr>
        <w:tc>
          <w:tcPr>
            <w:tcW w:w="704" w:type="dxa"/>
            <w:noWrap/>
          </w:tcPr>
          <w:p>
            <w:r>
              <w:rPr>
                <w:rFonts w:hint="eastAsia"/>
              </w:rPr>
              <w:t>15</w:t>
            </w:r>
          </w:p>
        </w:tc>
        <w:tc>
          <w:tcPr>
            <w:tcW w:w="1134" w:type="dxa"/>
          </w:tcPr>
          <w:p>
            <w:r>
              <w:rPr>
                <w:rFonts w:hint="eastAsia"/>
              </w:rPr>
              <w:t>交换机</w:t>
            </w:r>
          </w:p>
        </w:tc>
        <w:tc>
          <w:tcPr>
            <w:tcW w:w="11744" w:type="dxa"/>
          </w:tcPr>
          <w:p>
            <w:r>
              <w:rPr>
                <w:rFonts w:hint="eastAsia"/>
              </w:rPr>
              <w:t>L2，交换容量≥256Gbps；≥24个10/100/1000Base-T以太网端口，≥2个1000Base-X SFP千兆以太网端口</w:t>
            </w:r>
          </w:p>
        </w:tc>
        <w:tc>
          <w:tcPr>
            <w:tcW w:w="510" w:type="dxa"/>
            <w:noWrap/>
          </w:tcPr>
          <w:p>
            <w:r>
              <w:rPr>
                <w:rFonts w:hint="eastAsia"/>
              </w:rPr>
              <w:t>3</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16</w:t>
            </w:r>
          </w:p>
        </w:tc>
        <w:tc>
          <w:tcPr>
            <w:tcW w:w="1134" w:type="dxa"/>
          </w:tcPr>
          <w:p>
            <w:r>
              <w:rPr>
                <w:rFonts w:hint="eastAsia"/>
              </w:rPr>
              <w:t>单模光纤模块</w:t>
            </w:r>
          </w:p>
        </w:tc>
        <w:tc>
          <w:tcPr>
            <w:tcW w:w="11744" w:type="dxa"/>
          </w:tcPr>
          <w:p>
            <w:r>
              <w:rPr>
                <w:rFonts w:hint="eastAsia"/>
              </w:rPr>
              <w:t>光模块-SFP-GE-单模模块-（1310nm,10km,LC）</w:t>
            </w:r>
          </w:p>
        </w:tc>
        <w:tc>
          <w:tcPr>
            <w:tcW w:w="510" w:type="dxa"/>
            <w:noWrap/>
          </w:tcPr>
          <w:p>
            <w:r>
              <w:rPr>
                <w:rFonts w:hint="eastAsia"/>
              </w:rPr>
              <w:t>6</w:t>
            </w:r>
          </w:p>
        </w:tc>
        <w:tc>
          <w:tcPr>
            <w:tcW w:w="468" w:type="dxa"/>
          </w:tcPr>
          <w:p>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17</w:t>
            </w:r>
          </w:p>
        </w:tc>
        <w:tc>
          <w:tcPr>
            <w:tcW w:w="1134" w:type="dxa"/>
          </w:tcPr>
          <w:p>
            <w:r>
              <w:rPr>
                <w:rFonts w:hint="eastAsia"/>
              </w:rPr>
              <w:t>42U机柜</w:t>
            </w:r>
          </w:p>
        </w:tc>
        <w:tc>
          <w:tcPr>
            <w:tcW w:w="11744" w:type="dxa"/>
          </w:tcPr>
          <w:p>
            <w:r>
              <w:rPr>
                <w:rFonts w:hint="eastAsia"/>
              </w:rPr>
              <w:t>600*900*2000mm，隔板≥3个，≥2个8口PDU</w:t>
            </w:r>
          </w:p>
        </w:tc>
        <w:tc>
          <w:tcPr>
            <w:tcW w:w="510" w:type="dxa"/>
            <w:noWrap/>
          </w:tcPr>
          <w:p>
            <w:r>
              <w:rPr>
                <w:rFonts w:hint="eastAsia"/>
              </w:rPr>
              <w:t>1</w:t>
            </w:r>
          </w:p>
        </w:tc>
        <w:tc>
          <w:tcPr>
            <w:tcW w:w="468" w:type="dxa"/>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18</w:t>
            </w:r>
          </w:p>
        </w:tc>
        <w:tc>
          <w:tcPr>
            <w:tcW w:w="1134" w:type="dxa"/>
          </w:tcPr>
          <w:p>
            <w:r>
              <w:rPr>
                <w:rFonts w:hint="eastAsia"/>
              </w:rPr>
              <w:t>9U机柜</w:t>
            </w:r>
          </w:p>
        </w:tc>
        <w:tc>
          <w:tcPr>
            <w:tcW w:w="11744" w:type="dxa"/>
          </w:tcPr>
          <w:p>
            <w:r>
              <w:rPr>
                <w:rFonts w:hint="eastAsia"/>
              </w:rPr>
              <w:t>9U网络机柜，1个电源插座</w:t>
            </w:r>
          </w:p>
        </w:tc>
        <w:tc>
          <w:tcPr>
            <w:tcW w:w="510" w:type="dxa"/>
            <w:noWrap/>
          </w:tcPr>
          <w:p>
            <w:r>
              <w:rPr>
                <w:rFonts w:hint="eastAsia"/>
              </w:rPr>
              <w:t>1</w:t>
            </w:r>
          </w:p>
        </w:tc>
        <w:tc>
          <w:tcPr>
            <w:tcW w:w="468" w:type="dxa"/>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19</w:t>
            </w:r>
          </w:p>
        </w:tc>
        <w:tc>
          <w:tcPr>
            <w:tcW w:w="1134" w:type="dxa"/>
          </w:tcPr>
          <w:p>
            <w:r>
              <w:rPr>
                <w:rFonts w:hint="eastAsia"/>
              </w:rPr>
              <w:t>光纤</w:t>
            </w:r>
          </w:p>
        </w:tc>
        <w:tc>
          <w:tcPr>
            <w:tcW w:w="11744" w:type="dxa"/>
          </w:tcPr>
          <w:p>
            <w:r>
              <w:rPr>
                <w:rFonts w:hint="eastAsia"/>
              </w:rPr>
              <w:t>室外铠装单模光纤，12芯，根据现场调整数量。</w:t>
            </w:r>
          </w:p>
        </w:tc>
        <w:tc>
          <w:tcPr>
            <w:tcW w:w="510" w:type="dxa"/>
            <w:noWrap/>
          </w:tcPr>
          <w:p>
            <w:r>
              <w:rPr>
                <w:rFonts w:hint="eastAsia"/>
              </w:rPr>
              <w:t>1</w:t>
            </w:r>
          </w:p>
        </w:tc>
        <w:tc>
          <w:tcPr>
            <w:tcW w:w="468" w:type="dxa"/>
          </w:tcPr>
          <w:p>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20</w:t>
            </w:r>
          </w:p>
        </w:tc>
        <w:tc>
          <w:tcPr>
            <w:tcW w:w="1134" w:type="dxa"/>
          </w:tcPr>
          <w:p>
            <w:r>
              <w:rPr>
                <w:rFonts w:hint="eastAsia"/>
              </w:rPr>
              <w:t>光纤辅料</w:t>
            </w:r>
          </w:p>
        </w:tc>
        <w:tc>
          <w:tcPr>
            <w:tcW w:w="11744" w:type="dxa"/>
          </w:tcPr>
          <w:p>
            <w:r>
              <w:rPr>
                <w:rFonts w:hint="eastAsia"/>
              </w:rPr>
              <w:t>配置机架光纤盒、耦合器、尾纤、光纤跳线</w:t>
            </w:r>
          </w:p>
        </w:tc>
        <w:tc>
          <w:tcPr>
            <w:tcW w:w="510" w:type="dxa"/>
            <w:noWrap/>
          </w:tcPr>
          <w:p>
            <w:r>
              <w:rPr>
                <w:rFonts w:hint="eastAsia"/>
              </w:rPr>
              <w:t>1</w:t>
            </w:r>
          </w:p>
        </w:tc>
        <w:tc>
          <w:tcPr>
            <w:tcW w:w="468" w:type="dxa"/>
          </w:tcPr>
          <w:p>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21</w:t>
            </w:r>
          </w:p>
        </w:tc>
        <w:tc>
          <w:tcPr>
            <w:tcW w:w="1134" w:type="dxa"/>
          </w:tcPr>
          <w:p>
            <w:r>
              <w:rPr>
                <w:rFonts w:hint="eastAsia"/>
              </w:rPr>
              <w:t>线缆线材</w:t>
            </w:r>
          </w:p>
        </w:tc>
        <w:tc>
          <w:tcPr>
            <w:tcW w:w="11744" w:type="dxa"/>
          </w:tcPr>
          <w:p>
            <w:r>
              <w:rPr>
                <w:rFonts w:hint="eastAsia"/>
              </w:rPr>
              <w:t>电源线、六类网线、PVC槽、电源插座、电源空开等。</w:t>
            </w:r>
          </w:p>
        </w:tc>
        <w:tc>
          <w:tcPr>
            <w:tcW w:w="510" w:type="dxa"/>
            <w:noWrap/>
          </w:tcPr>
          <w:p>
            <w:r>
              <w:rPr>
                <w:rFonts w:hint="eastAsia"/>
              </w:rPr>
              <w:t>1</w:t>
            </w:r>
          </w:p>
        </w:tc>
        <w:tc>
          <w:tcPr>
            <w:tcW w:w="468" w:type="dxa"/>
            <w:noWrap/>
          </w:tcPr>
          <w:p>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82" w:type="dxa"/>
            <w:gridSpan w:val="3"/>
            <w:noWrap/>
          </w:tcPr>
          <w:p>
            <w:pPr>
              <w:rPr>
                <w:b/>
                <w:bCs/>
              </w:rPr>
            </w:pPr>
            <w:r>
              <w:rPr>
                <w:rFonts w:hint="eastAsia"/>
                <w:b/>
                <w:bCs/>
              </w:rPr>
              <w:t>二、身份验证系统</w:t>
            </w:r>
          </w:p>
        </w:tc>
        <w:tc>
          <w:tcPr>
            <w:tcW w:w="510" w:type="dxa"/>
            <w:noWrap/>
          </w:tcPr>
          <w:p>
            <w:pPr>
              <w:rPr>
                <w:b/>
                <w:bCs/>
              </w:rPr>
            </w:pPr>
            <w:r>
              <w:rPr>
                <w:rFonts w:hint="eastAsia"/>
                <w:b/>
                <w:bCs/>
              </w:rPr>
              <w:t>　</w:t>
            </w:r>
          </w:p>
        </w:tc>
        <w:tc>
          <w:tcPr>
            <w:tcW w:w="468" w:type="dxa"/>
            <w:noWrap/>
          </w:tcPr>
          <w:p>
            <w:pPr>
              <w:rPr>
                <w:b/>
                <w:bCs/>
              </w:rPr>
            </w:pPr>
            <w:r>
              <w:rPr>
                <w:rFonts w:hint="eastAsia"/>
                <w:b/>
                <w:bC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5" w:hRule="atLeast"/>
        </w:trPr>
        <w:tc>
          <w:tcPr>
            <w:tcW w:w="704" w:type="dxa"/>
            <w:noWrap/>
          </w:tcPr>
          <w:p>
            <w:r>
              <w:rPr>
                <w:rFonts w:hint="eastAsia"/>
              </w:rPr>
              <w:t>1</w:t>
            </w:r>
          </w:p>
        </w:tc>
        <w:tc>
          <w:tcPr>
            <w:tcW w:w="1134" w:type="dxa"/>
          </w:tcPr>
          <w:p>
            <w:r>
              <w:rPr>
                <w:rFonts w:hint="eastAsia"/>
              </w:rPr>
              <w:t>考生身份认证系统软件平台</w:t>
            </w:r>
          </w:p>
        </w:tc>
        <w:tc>
          <w:tcPr>
            <w:tcW w:w="11744" w:type="dxa"/>
          </w:tcPr>
          <w:p>
            <w:pPr>
              <w:pStyle w:val="49"/>
            </w:pPr>
            <w:r>
              <w:rPr>
                <w:rFonts w:hint="eastAsia"/>
              </w:rPr>
              <w:t>1.用户管理：应能够对用户进行增、删、改以及用户的权限和角色划分。统一账户管理,统一授权管理，统一认证管理,统一审计管理；</w:t>
            </w:r>
            <w:r>
              <w:rPr>
                <w:rFonts w:hint="eastAsia"/>
              </w:rPr>
              <w:br w:type="textWrapping"/>
            </w:r>
            <w:r>
              <w:rPr>
                <w:rFonts w:hint="eastAsia"/>
              </w:rPr>
              <w:t>2.机构管理：应能够对各级机构进行增、删、改，可对用户进行按市、县区、考点等行政划分进行权限控制；考区编号；</w:t>
            </w:r>
            <w:r>
              <w:rPr>
                <w:rFonts w:hint="eastAsia"/>
              </w:rPr>
              <w:br w:type="textWrapping"/>
            </w:r>
            <w:r>
              <w:rPr>
                <w:rFonts w:hint="eastAsia"/>
              </w:rPr>
              <w:t>3.角色管理：应能够对系统角色的增、删、改。例如：系统管理员、用户等角色；</w:t>
            </w:r>
            <w:r>
              <w:rPr>
                <w:rFonts w:hint="eastAsia"/>
              </w:rPr>
              <w:br w:type="textWrapping"/>
            </w:r>
            <w:r>
              <w:rPr>
                <w:rFonts w:hint="eastAsia"/>
              </w:rPr>
              <w:t>4.终端管理：管理终端应能够批量设置、批量数据下发、批量更新终端版本；</w:t>
            </w:r>
            <w:r>
              <w:rPr>
                <w:rFonts w:hint="eastAsia"/>
              </w:rPr>
              <w:br w:type="textWrapping"/>
            </w:r>
            <w:r>
              <w:rPr>
                <w:rFonts w:hint="eastAsia"/>
              </w:rPr>
              <w:t>5.考试计划：应能够根据每年的考试情况，制定各场考试的考试计划，可绑定科目，身份认证终端验证时间。按设定时间计划主动上传验证结果数据；</w:t>
            </w:r>
          </w:p>
          <w:p>
            <w:r>
              <w:rPr>
                <w:rFonts w:hint="eastAsia"/>
              </w:rPr>
              <w:t>6.服务器采用1U标准机架式服务器，C</w:t>
            </w:r>
            <w:r>
              <w:t xml:space="preserve">PU </w:t>
            </w:r>
            <w:r>
              <w:rPr>
                <w:rFonts w:hint="eastAsia"/>
              </w:rPr>
              <w:t>≥2.8GHz处理器，内存≥8GB，≥500GB/SATA，≥6个U</w:t>
            </w:r>
            <w:r>
              <w:t>SB</w:t>
            </w:r>
            <w:r>
              <w:rPr>
                <w:rFonts w:hint="eastAsia"/>
              </w:rPr>
              <w:t>接口，出具型号及彩页</w:t>
            </w:r>
            <w:r>
              <w:rPr>
                <w:rFonts w:hint="eastAsia"/>
              </w:rPr>
              <w:br w:type="textWrapping"/>
            </w:r>
            <w:r>
              <w:t>7</w:t>
            </w:r>
            <w:r>
              <w:rPr>
                <w:rFonts w:hint="eastAsia"/>
              </w:rPr>
              <w:t>.数据导入：应能够导入考点库、考场库、考生库、图像库、指纹库和删除相关批次等相关数据。提供数据接口供下级服务器按考点编号或考区编号下载本区域内所有考生身份数据库；</w:t>
            </w:r>
            <w:r>
              <w:rPr>
                <w:rFonts w:hint="eastAsia"/>
              </w:rPr>
              <w:br w:type="textWrapping"/>
            </w:r>
            <w:r>
              <w:t>8</w:t>
            </w:r>
            <w:r>
              <w:rPr>
                <w:rFonts w:hint="eastAsia"/>
              </w:rPr>
              <w:t>.数据打包：应能够对导入系统的考生数据进行打包，为身份认证终端下载做准备。平台数据进行加密处理,保证数据安全；</w:t>
            </w:r>
            <w:r>
              <w:rPr>
                <w:rFonts w:hint="eastAsia"/>
              </w:rPr>
              <w:br w:type="textWrapping"/>
            </w:r>
            <w:r>
              <w:t>9</w:t>
            </w:r>
            <w:r>
              <w:rPr>
                <w:rFonts w:hint="eastAsia"/>
              </w:rPr>
              <w:t>.认证结果：应能够查看考生认证数据情况。可导出excel报表，可导出dbf数据库和认证照片。导出报告。支持考务需求的各类报表打印、套打、批量打印等；</w:t>
            </w:r>
            <w:r>
              <w:rPr>
                <w:rFonts w:hint="eastAsia"/>
              </w:rPr>
              <w:br w:type="textWrapping"/>
            </w:r>
            <w:r>
              <w:t>10</w:t>
            </w:r>
            <w:r>
              <w:rPr>
                <w:rFonts w:hint="eastAsia"/>
              </w:rPr>
              <w:t>.违纪管理：应能够管理终端上传上来的违纪数据，应可导出excel报表；</w:t>
            </w:r>
            <w:r>
              <w:rPr>
                <w:rFonts w:hint="eastAsia"/>
              </w:rPr>
              <w:br w:type="textWrapping"/>
            </w:r>
            <w:r>
              <w:rPr>
                <w:rFonts w:hint="eastAsia"/>
              </w:rPr>
              <w:t>1</w:t>
            </w:r>
            <w:r>
              <w:t>1</w:t>
            </w:r>
            <w:r>
              <w:rPr>
                <w:rFonts w:hint="eastAsia"/>
              </w:rPr>
              <w:t>.缺考管理：应能够管理终端上传上来的缺考数据，应可导出excel报表；</w:t>
            </w:r>
            <w:r>
              <w:rPr>
                <w:rFonts w:hint="eastAsia"/>
              </w:rPr>
              <w:br w:type="textWrapping"/>
            </w:r>
            <w:r>
              <w:rPr>
                <w:rFonts w:hint="eastAsia"/>
              </w:rPr>
              <w:t>1</w:t>
            </w:r>
            <w:r>
              <w:t>2</w:t>
            </w:r>
            <w:r>
              <w:rPr>
                <w:rFonts w:hint="eastAsia"/>
              </w:rPr>
              <w:t>.考生入场情况：大屏总览应能够展示考生入场实时的认证数据以及对认证数据的图形分析。汇总与统计结果以报表和图表形式输出；</w:t>
            </w:r>
            <w:r>
              <w:rPr>
                <w:rFonts w:hint="eastAsia"/>
              </w:rPr>
              <w:br w:type="textWrapping"/>
            </w:r>
            <w:r>
              <w:rPr>
                <w:rFonts w:hint="eastAsia"/>
              </w:rPr>
              <w:t>1</w:t>
            </w:r>
            <w:r>
              <w:t>3</w:t>
            </w:r>
            <w:r>
              <w:rPr>
                <w:rFonts w:hint="eastAsia"/>
              </w:rPr>
              <w:t>.应可实现与中心平台的数据交互，实现考务指挥；</w:t>
            </w:r>
            <w:r>
              <w:rPr>
                <w:rFonts w:hint="eastAsia"/>
              </w:rPr>
              <w:br w:type="textWrapping"/>
            </w:r>
            <w:r>
              <w:rPr>
                <w:rFonts w:hint="eastAsia"/>
              </w:rPr>
              <w:t>1</w:t>
            </w:r>
            <w:r>
              <w:t>4</w:t>
            </w:r>
            <w:r>
              <w:rPr>
                <w:rFonts w:hint="eastAsia"/>
              </w:rPr>
              <w:t>.应可根据用户需求定制开发功能。</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704" w:type="dxa"/>
            <w:noWrap/>
          </w:tcPr>
          <w:p>
            <w:r>
              <w:rPr>
                <w:rFonts w:hint="eastAsia"/>
              </w:rPr>
              <w:t>2</w:t>
            </w:r>
          </w:p>
        </w:tc>
        <w:tc>
          <w:tcPr>
            <w:tcW w:w="1134" w:type="dxa"/>
          </w:tcPr>
          <w:p>
            <w:r>
              <w:rPr>
                <w:rFonts w:hint="eastAsia"/>
              </w:rPr>
              <w:t>管理计算机</w:t>
            </w:r>
          </w:p>
        </w:tc>
        <w:tc>
          <w:tcPr>
            <w:tcW w:w="11744" w:type="dxa"/>
          </w:tcPr>
          <w:p>
            <w:r>
              <w:rPr>
                <w:rFonts w:hint="eastAsia"/>
              </w:rPr>
              <w:t>≥I7-9700 ≥8G DDRIII 2133MHz，≥128G固态硬盘，≥1TG SATA3 7200rpm， ≥2G独立显卡，≥23”显示器,USB鼠标键盘，win10</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704" w:type="dxa"/>
            <w:noWrap/>
          </w:tcPr>
          <w:p>
            <w:r>
              <w:rPr>
                <w:rFonts w:hint="eastAsia"/>
              </w:rPr>
              <w:t>3</w:t>
            </w:r>
          </w:p>
        </w:tc>
        <w:tc>
          <w:tcPr>
            <w:tcW w:w="1134" w:type="dxa"/>
          </w:tcPr>
          <w:p>
            <w:r>
              <w:rPr>
                <w:rFonts w:hint="eastAsia"/>
              </w:rPr>
              <w:t>身份验证终端</w:t>
            </w:r>
          </w:p>
        </w:tc>
        <w:tc>
          <w:tcPr>
            <w:tcW w:w="11744" w:type="dxa"/>
            <w:vAlign w:val="center"/>
          </w:tcPr>
          <w:p>
            <w:pPr>
              <w:pStyle w:val="49"/>
            </w:pPr>
            <w:r>
              <w:rPr>
                <w:rFonts w:hint="eastAsia"/>
              </w:rPr>
              <w:t xml:space="preserve">1.屏幕尺寸大于等于8英寸IPS显示屏，分辨率大于等于1280*800，可触控。可视角度大于等于170°； </w:t>
            </w:r>
            <w:r>
              <w:rPr>
                <w:rFonts w:hint="eastAsia"/>
              </w:rPr>
              <w:br w:type="textWrapping"/>
            </w:r>
            <w:r>
              <w:rPr>
                <w:rFonts w:hint="eastAsia"/>
              </w:rPr>
              <w:t>2.CPU不低于4核，主频≥1.8GHz；</w:t>
            </w:r>
            <w:r>
              <w:rPr>
                <w:rFonts w:hint="eastAsia"/>
              </w:rPr>
              <w:br w:type="textWrapping"/>
            </w:r>
            <w:r>
              <w:rPr>
                <w:rFonts w:hint="eastAsia"/>
              </w:rPr>
              <w:t>3.存储：运行内存≥4GB，存储容量≥64GB；</w:t>
            </w:r>
            <w:r>
              <w:rPr>
                <w:rFonts w:hint="eastAsia"/>
              </w:rPr>
              <w:br w:type="textWrapping"/>
            </w:r>
            <w:r>
              <w:rPr>
                <w:rFonts w:hint="eastAsia"/>
              </w:rPr>
              <w:t>4.拍照模块：前置大于等于500w摄像头，具备自动聚焦功能，后置大于等于800w摄像头，且带有录像功能，能录制考生入场的视频并保存；（出具证明材料，不限于检测报告、彩页、官网截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5.为实现多种数据传输方式，终端应能够扫描并识别综合管理平台下发的二维码；（出具证明材料，不限于检测报告、彩页、官网截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6.扬声器：身份认证设备自带扬声器，能够进行语音提示，声音清晰，音量可调，最大音量≥100分贝，且能播报验证认证姓名；（出具证明材料，不限于检测报告、彩页、官网截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7.通行指示灯：具有通行颜色光源指示灯，满足在室外环境快速通行的指示要求，至少具有三种颜色指示灯分别表示通过、不通过、需复核；（出具证明材料，不限于检测报告、彩页、官网截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8.供电：采用电池供电模式时可持续使用10小时以上；</w:t>
            </w:r>
            <w:r>
              <w:rPr>
                <w:rFonts w:hint="eastAsia"/>
              </w:rPr>
              <w:br w:type="textWrapping"/>
            </w:r>
            <w:r>
              <w:rPr>
                <w:rFonts w:hint="eastAsia"/>
              </w:rPr>
              <w:t>9..联网功能：支持WiFi和以太网；</w:t>
            </w:r>
            <w:r>
              <w:rPr>
                <w:rFonts w:hint="eastAsia"/>
              </w:rPr>
              <w:br w:type="textWrapping"/>
            </w:r>
            <w:r>
              <w:rPr>
                <w:rFonts w:hint="eastAsia"/>
              </w:rPr>
              <w:t>10.二代身份证信息采集模块：可读取二代身份证信息，包括姓名、证件照片、指纹信息、证件有效期等。符合公安部《手持式居民身份证阅器》（GA 1153-2014）或符合公安部《台式居民身份证阅读器通用技术要求》（GA450-2013）；</w:t>
            </w:r>
            <w:r>
              <w:rPr>
                <w:rFonts w:hint="eastAsia"/>
              </w:rPr>
              <w:br w:type="textWrapping"/>
            </w:r>
            <w:r>
              <w:rPr>
                <w:rFonts w:hint="eastAsia"/>
              </w:rPr>
              <w:t>11.指纹采集模块：身份认证设备能够采集手指指纹信息，只对活体指纹进行识别。指纹采集器符合公安部GA/T 1011-2012《居民身份证指纹采集器通用技术要求》。</w:t>
            </w:r>
            <w:r>
              <w:rPr>
                <w:rFonts w:hint="eastAsia"/>
              </w:rPr>
              <w:br w:type="textWrapping"/>
            </w:r>
            <w:r>
              <w:rPr>
                <w:rFonts w:hint="eastAsia"/>
              </w:rPr>
              <w:t>12.人脸识别模块：可在软件界面中检测并采集人脸图像、人脸定位框可跟随人脸移动；（出具证明材料，不限于检测报告、彩页、官网截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13.人性化设计：身份证模块位于终端右下方，方便客户刷身份证。符合客户使用习惯；验证提示灯位于终端右上方，提示效果明显；</w:t>
            </w:r>
            <w:r>
              <w:rPr>
                <w:rFonts w:hint="eastAsia"/>
              </w:rPr>
              <w:br w:type="textWrapping"/>
            </w:r>
            <w:r>
              <w:rPr>
                <w:rFonts w:hint="eastAsia"/>
              </w:rPr>
              <w:t>14.补光灯：具有双LED光源补光组件，补光灯色温4500K~6500K、显色指数（Ra）不小于90；光源为LED恒定光源；（提供检测报告复印件并加盖公章）</w:t>
            </w:r>
            <w:r>
              <w:rPr>
                <w:rFonts w:hint="eastAsia"/>
              </w:rPr>
              <w:br w:type="textWrapping"/>
            </w:r>
            <w:r>
              <w:rPr>
                <w:rFonts w:hint="eastAsia"/>
              </w:rPr>
              <w:t>15.可定时备份数据，如误删除数据，可进行数据恢复；（出具证明材料，不限于检测报告、彩页、官网截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16.断网重传：若身份认证系统上传认证结果时无法接入专网，身份认证系统能够将认证结果保存，待恢复联网后上传；</w:t>
            </w:r>
            <w:r>
              <w:rPr>
                <w:rFonts w:hint="eastAsia"/>
              </w:rPr>
              <w:br w:type="textWrapping"/>
            </w:r>
            <w:r>
              <w:rPr>
                <w:rFonts w:hint="eastAsia"/>
              </w:rPr>
              <w:t>17.扩展性：身份认证系统软件保证以后能够进行更新、升级，根据新的身份认证系统建设技术要求，软件做相应的调整，以连接省端的数据交换接口；</w:t>
            </w:r>
          </w:p>
          <w:p>
            <w:pPr>
              <w:pStyle w:val="49"/>
            </w:pPr>
            <w:r>
              <w:rPr>
                <w:rFonts w:hint="eastAsia"/>
              </w:rPr>
              <w:t>18.设备需符合《GA/T 1324-2017 安全防范人脸识别应用静态人脸图像采集规范》的相关要求；</w:t>
            </w:r>
            <w:r>
              <w:rPr>
                <w:rFonts w:hint="eastAsia"/>
              </w:rPr>
              <w:br w:type="textWrapping"/>
            </w:r>
            <w:r>
              <w:rPr>
                <w:rFonts w:hint="eastAsia"/>
              </w:rPr>
              <w:t>19.测温模块：测温精度标：0.1℃ ；测温范围：32-43(℃)；测量误差≤±0.3℃；测温时间＜1s；</w:t>
            </w:r>
            <w:r>
              <w:rPr>
                <w:rFonts w:hint="eastAsia"/>
              </w:rPr>
              <w:br w:type="textWrapping"/>
            </w:r>
            <w:r>
              <w:t>20</w:t>
            </w:r>
            <w:r>
              <w:rPr>
                <w:rFonts w:hint="eastAsia"/>
              </w:rPr>
              <w:t>.多种组合模式：应支持手持验证方式。支持立式支架验证方式；</w:t>
            </w:r>
          </w:p>
          <w:p>
            <w:pPr>
              <w:pStyle w:val="49"/>
            </w:pPr>
            <w:r>
              <w:rPr>
                <w:rFonts w:hint="eastAsia"/>
              </w:rPr>
              <w:t>21.提供产品来源渠道证明文件（包括但不限于销售协议、代理协议、原厂授权）加盖公章。</w:t>
            </w:r>
          </w:p>
        </w:tc>
        <w:tc>
          <w:tcPr>
            <w:tcW w:w="510" w:type="dxa"/>
            <w:noWrap/>
          </w:tcPr>
          <w:p>
            <w:r>
              <w:rPr>
                <w:rFonts w:hint="eastAsia"/>
              </w:rPr>
              <w:t>4</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4</w:t>
            </w:r>
          </w:p>
        </w:tc>
        <w:tc>
          <w:tcPr>
            <w:tcW w:w="1134" w:type="dxa"/>
          </w:tcPr>
          <w:p>
            <w:r>
              <w:rPr>
                <w:rFonts w:hint="eastAsia"/>
              </w:rPr>
              <w:t>交换机</w:t>
            </w:r>
          </w:p>
        </w:tc>
        <w:tc>
          <w:tcPr>
            <w:tcW w:w="11744" w:type="dxa"/>
          </w:tcPr>
          <w:p>
            <w:r>
              <w:rPr>
                <w:rFonts w:hint="eastAsia"/>
              </w:rPr>
              <w:t>L2，交换容量≥256Gbps；≥24个10/100/1000Base-T以太网端口，≥2个1000Base-X SFP千兆以太网端口</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5</w:t>
            </w:r>
          </w:p>
        </w:tc>
        <w:tc>
          <w:tcPr>
            <w:tcW w:w="1134" w:type="dxa"/>
          </w:tcPr>
          <w:p>
            <w:r>
              <w:rPr>
                <w:rFonts w:hint="eastAsia"/>
              </w:rPr>
              <w:t>单模光纤模块</w:t>
            </w:r>
          </w:p>
        </w:tc>
        <w:tc>
          <w:tcPr>
            <w:tcW w:w="11744" w:type="dxa"/>
          </w:tcPr>
          <w:p>
            <w:r>
              <w:rPr>
                <w:rFonts w:hint="eastAsia"/>
              </w:rPr>
              <w:t>光模块-SFP-GE-单模模块-（1310nm,10km,LC）</w:t>
            </w:r>
          </w:p>
        </w:tc>
        <w:tc>
          <w:tcPr>
            <w:tcW w:w="510" w:type="dxa"/>
            <w:noWrap/>
          </w:tcPr>
          <w:p>
            <w:r>
              <w:rPr>
                <w:rFonts w:hint="eastAsia"/>
              </w:rPr>
              <w:t>2</w:t>
            </w:r>
          </w:p>
        </w:tc>
        <w:tc>
          <w:tcPr>
            <w:tcW w:w="468" w:type="dxa"/>
          </w:tcPr>
          <w:p>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6</w:t>
            </w:r>
          </w:p>
        </w:tc>
        <w:tc>
          <w:tcPr>
            <w:tcW w:w="1134" w:type="dxa"/>
          </w:tcPr>
          <w:p>
            <w:r>
              <w:rPr>
                <w:rFonts w:hint="eastAsia"/>
              </w:rPr>
              <w:t>线缆线材</w:t>
            </w:r>
          </w:p>
        </w:tc>
        <w:tc>
          <w:tcPr>
            <w:tcW w:w="11744" w:type="dxa"/>
          </w:tcPr>
          <w:p>
            <w:r>
              <w:rPr>
                <w:rFonts w:hint="eastAsia"/>
              </w:rPr>
              <w:t>电源线、六类网线、PVC槽、电源插座、电源空开、U型槽、隔离栏。</w:t>
            </w:r>
          </w:p>
        </w:tc>
        <w:tc>
          <w:tcPr>
            <w:tcW w:w="510" w:type="dxa"/>
            <w:noWrap/>
          </w:tcPr>
          <w:p>
            <w:r>
              <w:rPr>
                <w:rFonts w:hint="eastAsia"/>
              </w:rPr>
              <w:t>1</w:t>
            </w:r>
          </w:p>
        </w:tc>
        <w:tc>
          <w:tcPr>
            <w:tcW w:w="468" w:type="dxa"/>
            <w:noWrap/>
          </w:tcPr>
          <w:p>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582" w:type="dxa"/>
            <w:gridSpan w:val="3"/>
            <w:noWrap/>
          </w:tcPr>
          <w:p>
            <w:pPr>
              <w:rPr>
                <w:b/>
                <w:bCs/>
              </w:rPr>
            </w:pPr>
            <w:r>
              <w:rPr>
                <w:rFonts w:hint="eastAsia"/>
                <w:b/>
                <w:bCs/>
              </w:rPr>
              <w:t>三、无线电作弊防控系统</w:t>
            </w:r>
          </w:p>
        </w:tc>
        <w:tc>
          <w:tcPr>
            <w:tcW w:w="510" w:type="dxa"/>
            <w:noWrap/>
          </w:tcPr>
          <w:p>
            <w:pPr>
              <w:rPr>
                <w:b/>
                <w:bCs/>
              </w:rPr>
            </w:pPr>
            <w:r>
              <w:rPr>
                <w:rFonts w:hint="eastAsia"/>
                <w:b/>
                <w:bCs/>
              </w:rPr>
              <w:t>　</w:t>
            </w:r>
          </w:p>
        </w:tc>
        <w:tc>
          <w:tcPr>
            <w:tcW w:w="468" w:type="dxa"/>
            <w:noWrap/>
          </w:tcPr>
          <w:p>
            <w:pPr>
              <w:rPr>
                <w:b/>
                <w:bCs/>
              </w:rPr>
            </w:pPr>
            <w:r>
              <w:rPr>
                <w:rFonts w:hint="eastAsia"/>
                <w:b/>
                <w:bC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trPr>
        <w:tc>
          <w:tcPr>
            <w:tcW w:w="704" w:type="dxa"/>
            <w:noWrap/>
          </w:tcPr>
          <w:p>
            <w:r>
              <w:rPr>
                <w:rFonts w:hint="eastAsia"/>
              </w:rPr>
              <w:t>1</w:t>
            </w:r>
          </w:p>
        </w:tc>
        <w:tc>
          <w:tcPr>
            <w:tcW w:w="1134" w:type="dxa"/>
            <w:vAlign w:val="center"/>
          </w:tcPr>
          <w:p>
            <w:pPr>
              <w:jc w:val="center"/>
            </w:pPr>
            <w:r>
              <w:rPr>
                <w:rFonts w:hint="eastAsia"/>
              </w:rPr>
              <w:t>屏蔽终端</w:t>
            </w:r>
          </w:p>
        </w:tc>
        <w:tc>
          <w:tcPr>
            <w:tcW w:w="11744" w:type="dxa"/>
          </w:tcPr>
          <w:p>
            <w:r>
              <w:rPr>
                <w:rFonts w:hint="eastAsia"/>
              </w:rPr>
              <w:t>1、 支持对2G/3G/4G/5G电信、联通、移动的全网屏蔽以及蓝牙、WiFi2.4G及5.8G的实时全屏蔽；</w:t>
            </w:r>
            <w:r>
              <w:rPr>
                <w:rFonts w:hint="eastAsia"/>
              </w:rPr>
              <w:br w:type="textWrapping"/>
            </w:r>
            <w:r>
              <w:rPr>
                <w:rFonts w:hint="eastAsia"/>
              </w:rPr>
              <w:t>2、 可有效屏蔽考场中的数传作弊设备信号，语音作弊设备信号等专业作弊设备信号；</w:t>
            </w:r>
            <w:r>
              <w:rPr>
                <w:rFonts w:hint="eastAsia"/>
              </w:rPr>
              <w:br w:type="textWrapping"/>
            </w:r>
            <w:r>
              <w:rPr>
                <w:rFonts w:hint="eastAsia"/>
              </w:rPr>
              <w:t>3、 支持对50MHz-1.6GHz频段的专业作弊设备，采用侦测引导阻断方式，支持不少于11路以上屏，固定有效阻断考场内信号强度≤-65dBm的无线电信号；</w:t>
            </w:r>
            <w:r>
              <w:rPr>
                <w:rFonts w:hint="eastAsia"/>
              </w:rPr>
              <w:br w:type="textWrapping"/>
            </w:r>
            <w:r>
              <w:rPr>
                <w:rFonts w:hint="eastAsia"/>
              </w:rPr>
              <w:t>4、 蔽信号的同时引导阻断，对作弊信号频点实现点对点的精准屏蔽，≥20路；</w:t>
            </w:r>
            <w:r>
              <w:rPr>
                <w:rFonts w:hint="eastAsia"/>
              </w:rPr>
              <w:br w:type="textWrapping"/>
            </w:r>
            <w:r>
              <w:rPr>
                <w:rFonts w:hint="eastAsia"/>
              </w:rPr>
              <w:t>5、 屏蔽以设备为中心≥10米内无线信号；</w:t>
            </w:r>
            <w:r>
              <w:rPr>
                <w:rFonts w:hint="eastAsia"/>
              </w:rPr>
              <w:br w:type="textWrapping"/>
            </w:r>
            <w:r>
              <w:rPr>
                <w:rFonts w:hint="eastAsia"/>
              </w:rPr>
              <w:t>6、 对国家公开的对讲频段采用直接屏蔽方式；</w:t>
            </w:r>
            <w:r>
              <w:rPr>
                <w:rFonts w:hint="eastAsia"/>
              </w:rPr>
              <w:br w:type="textWrapping"/>
            </w:r>
            <w:r>
              <w:rPr>
                <w:rFonts w:hint="eastAsia"/>
              </w:rPr>
              <w:t>7、 在50MHz-1.6GHz频段，仅在发现作弊信号的频点和出现时刻发射屏蔽信号，无作弊信号时不发射屏蔽信号；</w:t>
            </w:r>
            <w:r>
              <w:rPr>
                <w:rFonts w:hint="eastAsia"/>
              </w:rPr>
              <w:br w:type="textWrapping"/>
            </w:r>
            <w:r>
              <w:rPr>
                <w:rFonts w:hint="eastAsia"/>
              </w:rPr>
              <w:t>8、 在50MHz-1.6GHz频段可调节输出增益,能通过设置避免对考场周边军用、警用、航空，医疗等特殊用途的通讯的干扰；根据用户的考务工作设置的考务通讯频点，不受干扰；</w:t>
            </w:r>
            <w:r>
              <w:rPr>
                <w:rFonts w:hint="eastAsia"/>
              </w:rPr>
              <w:br w:type="textWrapping"/>
            </w:r>
            <w:r>
              <w:rPr>
                <w:rFonts w:hint="eastAsia"/>
              </w:rPr>
              <w:t>9、 具有≥2个RJ45网络接口，可接应急电话，支持TCP/IP协议和UDP广播/组播协议，具备联网能力；</w:t>
            </w:r>
            <w:r>
              <w:rPr>
                <w:rFonts w:hint="eastAsia"/>
              </w:rPr>
              <w:br w:type="textWrapping"/>
            </w:r>
            <w:r>
              <w:rPr>
                <w:rFonts w:hint="eastAsia"/>
              </w:rPr>
              <w:t>10、设备能够接受远程开关指令，实现单独或整体通道开启/关闭，设备能够根据管理平台软件设定的考试时间自动开启/关闭设备的通道；</w:t>
            </w:r>
            <w:r>
              <w:rPr>
                <w:rFonts w:hint="eastAsia"/>
              </w:rPr>
              <w:br w:type="textWrapping"/>
            </w:r>
            <w:r>
              <w:rPr>
                <w:rFonts w:hint="eastAsia"/>
              </w:rPr>
              <w:t>11、支持平台远程管理，屏蔽终端工作状态查看和管理；</w:t>
            </w:r>
            <w:r>
              <w:rPr>
                <w:rFonts w:hint="eastAsia"/>
              </w:rPr>
              <w:br w:type="textWrapping"/>
            </w:r>
            <w:r>
              <w:rPr>
                <w:rFonts w:hint="eastAsia"/>
              </w:rPr>
              <w:t>12、可以考场为单位对设备进行集中管理；设备支持远程批量固件升级；</w:t>
            </w:r>
            <w:r>
              <w:rPr>
                <w:rFonts w:hint="eastAsia"/>
              </w:rPr>
              <w:br w:type="textWrapping"/>
            </w:r>
            <w:r>
              <w:rPr>
                <w:rFonts w:hint="eastAsia"/>
              </w:rPr>
              <w:t>13、支持壁挂等多种使用场景；</w:t>
            </w:r>
            <w:r>
              <w:rPr>
                <w:rFonts w:hint="eastAsia"/>
              </w:rPr>
              <w:br w:type="textWrapping"/>
            </w:r>
            <w:r>
              <w:rPr>
                <w:rFonts w:hint="eastAsia"/>
              </w:rPr>
              <w:t>14、满足GB8702-2014《电磁环境控制限值》辐射标准要求，（包括但不限于检验报告、官网和功能截图等）</w:t>
            </w:r>
          </w:p>
        </w:tc>
        <w:tc>
          <w:tcPr>
            <w:tcW w:w="510" w:type="dxa"/>
            <w:noWrap/>
          </w:tcPr>
          <w:p>
            <w:r>
              <w:rPr>
                <w:rFonts w:hint="eastAsia"/>
              </w:rPr>
              <w:t>28</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9" w:hRule="atLeast"/>
        </w:trPr>
        <w:tc>
          <w:tcPr>
            <w:tcW w:w="704" w:type="dxa"/>
            <w:noWrap/>
          </w:tcPr>
          <w:p>
            <w:r>
              <w:rPr>
                <w:rFonts w:hint="eastAsia"/>
              </w:rPr>
              <w:t>2</w:t>
            </w:r>
          </w:p>
        </w:tc>
        <w:tc>
          <w:tcPr>
            <w:tcW w:w="1134" w:type="dxa"/>
          </w:tcPr>
          <w:p>
            <w:r>
              <w:rPr>
                <w:rFonts w:hint="eastAsia"/>
              </w:rPr>
              <w:t>作弊防控系统管理平台</w:t>
            </w:r>
          </w:p>
        </w:tc>
        <w:tc>
          <w:tcPr>
            <w:tcW w:w="11744" w:type="dxa"/>
          </w:tcPr>
          <w:p>
            <w:r>
              <w:rPr>
                <w:rFonts w:hint="eastAsia"/>
              </w:rPr>
              <w:t>符合《陕西省国家教育考试综合管理平台建设规划》（陕教考办〔2018〕4号），符合《西安市国家教育考试综合管理平台建设规划方案》（市教发〔2020〕64号）要求；可通过浏览器页面进行系统管理工作；支持对系统设备进行查询、增加、删除、远程开关、固件升级等操作；可实现对系统设备的IP地址、工作状态、教室信息、在线状态、MAC地址、版本等信息的查询和管理；可自动呈现所有作弊信号特征，包括信号类型（语音或数传)、出现时间、考试场次、出现时的频点等；管理平台对作弊信息进行数据储存和传输时支持加密处理，系统还原的作弊答案信息生成、传输、展示环节均经过加密处理，信息脱离系统后无法正常播放、显示；信号文件自动解调添加考试计划场次后，在计划场次时间范围内会自动对设备检测到的文件进行解调。在解调文件列表中可呈现所有作弊信号特征，包括信号类型（语音或数传)、出现时间、考试场次、出现时的频点等，且提供已还原的语音和数传类作弊器材发射信号内容的播放、下载功能；提供已还原的语音和数传类作弊器材发射信号内容的回放、查看、记录、查询、下载、统计功能；不影响屏蔽效果的情况下，对作弊语音信号监听内容进行保存取证；系统能实现多级级联，上级平台能够查看下级管理平台的所有信息，包括设备信息，信号统计，信号还原等信息；黑白名单库支持手工编辑、上级平台下发；实现资源共享，可预留考务通信频点，不影响正常通讯；平台支持设备信息实时显示,可直接预览查看屏蔽设备各通道的运行状态,侦测服务器在线运行情况；支持分布式网络部署架构，可根据业务需要不断扩展；当管理软件与侦测服务器无法正常工作，或网络中断时，阻断器可以独立开展工作，并可以屏蔽工作频率上的全部信号；对接综合管理平台：须能与西安市综合管理平台无缝对接，方便进行数据交换。</w:t>
            </w:r>
          </w:p>
        </w:tc>
        <w:tc>
          <w:tcPr>
            <w:tcW w:w="510" w:type="dxa"/>
            <w:noWrap/>
          </w:tcPr>
          <w:p>
            <w:r>
              <w:rPr>
                <w:rFonts w:hint="eastAsia"/>
              </w:rPr>
              <w:t>1</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4" w:type="dxa"/>
            <w:noWrap/>
          </w:tcPr>
          <w:p>
            <w:r>
              <w:rPr>
                <w:rFonts w:hint="eastAsia"/>
              </w:rPr>
              <w:t>3</w:t>
            </w:r>
          </w:p>
        </w:tc>
        <w:tc>
          <w:tcPr>
            <w:tcW w:w="1134" w:type="dxa"/>
          </w:tcPr>
          <w:p>
            <w:r>
              <w:rPr>
                <w:rFonts w:hint="eastAsia"/>
              </w:rPr>
              <w:t>无线信号侦测服务器</w:t>
            </w:r>
          </w:p>
        </w:tc>
        <w:tc>
          <w:tcPr>
            <w:tcW w:w="11744" w:type="dxa"/>
          </w:tcPr>
          <w:p>
            <w:pPr>
              <w:pStyle w:val="49"/>
            </w:pPr>
            <w:r>
              <w:rPr>
                <w:rFonts w:hint="eastAsia"/>
              </w:rPr>
              <w:t>符合《陕西省国家教育考试综合管理平台建设规划》（陕教考办〔2018〕4号）相关规范,符合《西安市国家教育考试综合管理平台建设规划方案》（市教发〔2020〕64号）要求。</w:t>
            </w:r>
            <w:r>
              <w:rPr>
                <w:rFonts w:hint="eastAsia"/>
              </w:rPr>
              <w:br w:type="textWrapping"/>
            </w:r>
            <w:r>
              <w:rPr>
                <w:rFonts w:hint="eastAsia"/>
              </w:rPr>
              <w:t>1、侦测主机：支持对40MHz~3000MHz频率范围自动进行频谱扫描，可侦测最低信号强度≤-80dbm，侦测动态范围≥70dB，能将考前合法的背景信号通过侦测扫描和外部导入等多种方式进行背景信号的学习和存储，建立黑白名单库；</w:t>
            </w:r>
            <w:r>
              <w:rPr>
                <w:rFonts w:hint="eastAsia"/>
              </w:rPr>
              <w:br w:type="textWrapping"/>
            </w:r>
            <w:r>
              <w:rPr>
                <w:rFonts w:hint="eastAsia"/>
              </w:rPr>
              <w:t>2、侦测主机可以通过网络为多个屏蔽设备提供实时的信号服务，为其提供作弊信号的特征信息；</w:t>
            </w:r>
            <w:r>
              <w:rPr>
                <w:rFonts w:hint="eastAsia"/>
              </w:rPr>
              <w:br w:type="textWrapping"/>
            </w:r>
            <w:r>
              <w:rPr>
                <w:rFonts w:hint="eastAsia"/>
              </w:rPr>
              <w:t>3、侦测主机自带液晶显示屏，用于直观显示系统信息；</w:t>
            </w:r>
            <w:r>
              <w:rPr>
                <w:rFonts w:hint="eastAsia"/>
              </w:rPr>
              <w:br w:type="textWrapping"/>
            </w:r>
            <w:r>
              <w:rPr>
                <w:rFonts w:hint="eastAsia"/>
              </w:rPr>
              <w:t>4、在没有网络的情况下也能够自动校时；</w:t>
            </w:r>
            <w:r>
              <w:rPr>
                <w:rFonts w:hint="eastAsia"/>
              </w:rPr>
              <w:br w:type="textWrapping"/>
            </w:r>
            <w:r>
              <w:rPr>
                <w:rFonts w:hint="eastAsia"/>
              </w:rPr>
              <w:t>5、设备运行支持无人值守，支持过热保护、短路保护等功能；</w:t>
            </w:r>
            <w:r>
              <w:rPr>
                <w:rFonts w:hint="eastAsia"/>
              </w:rPr>
              <w:br w:type="textWrapping"/>
            </w:r>
            <w:r>
              <w:rPr>
                <w:rFonts w:hint="eastAsia"/>
              </w:rPr>
              <w:t>6、引导阻断信号支持50MHz-1.6GHz间任意频点的作弊信号进行11路以上作弊信号引导阻断；</w:t>
            </w:r>
            <w:r>
              <w:rPr>
                <w:rFonts w:hint="eastAsia"/>
              </w:rPr>
              <w:br w:type="textWrapping"/>
            </w:r>
            <w:r>
              <w:rPr>
                <w:rFonts w:hint="eastAsia"/>
              </w:rPr>
              <w:t>7、可对50MHz-1.6GHz间各类教材作弊器材，如数传橡皮、笔、格尺等作弊信号进行有效引导屏蔽；</w:t>
            </w:r>
            <w:r>
              <w:rPr>
                <w:rFonts w:hint="eastAsia"/>
              </w:rPr>
              <w:br w:type="textWrapping"/>
            </w:r>
            <w:r>
              <w:rPr>
                <w:rFonts w:hint="eastAsia"/>
              </w:rPr>
              <w:t>8、对讲频段范围：136MHz-174MHz、400MHz-470MHz实现全时侦测阻断；</w:t>
            </w:r>
            <w:r>
              <w:rPr>
                <w:rFonts w:hint="eastAsia"/>
              </w:rPr>
              <w:br w:type="textWrapping"/>
            </w:r>
            <w:r>
              <w:rPr>
                <w:rFonts w:hint="eastAsia"/>
              </w:rPr>
              <w:t>9、侦测主机向无线屏蔽系统管理软件注册，支持背景信号学习和黑白名单库建立；</w:t>
            </w:r>
            <w:r>
              <w:rPr>
                <w:rFonts w:hint="eastAsia"/>
              </w:rPr>
              <w:br w:type="textWrapping"/>
            </w:r>
            <w:r>
              <w:rPr>
                <w:rFonts w:hint="eastAsia"/>
              </w:rPr>
              <w:t>10、支持信号特征分析和显示并对屏蔽断设备进行策略引导，能够对可疑信号进行还原取证；</w:t>
            </w:r>
            <w:r>
              <w:rPr>
                <w:rFonts w:hint="eastAsia"/>
              </w:rPr>
              <w:br w:type="textWrapping"/>
            </w:r>
            <w:r>
              <w:rPr>
                <w:rFonts w:hint="eastAsia"/>
              </w:rPr>
              <w:t>11、侦测主机与考点无线屏蔽系统管理软件采用网络连接，对侦测主机的所有操作均在无线屏蔽系统管理软件上完成。</w:t>
            </w:r>
            <w:r>
              <w:rPr>
                <w:rFonts w:hint="eastAsia"/>
              </w:rPr>
              <w:br w:type="textWrapping"/>
            </w:r>
            <w:r>
              <w:rPr>
                <w:rFonts w:hint="eastAsia"/>
              </w:rPr>
              <w:t>12、提供相应功能证明材料（包括但不限于检验报告、官网和功能截图等）</w:t>
            </w:r>
          </w:p>
        </w:tc>
        <w:tc>
          <w:tcPr>
            <w:tcW w:w="510" w:type="dxa"/>
          </w:tcPr>
          <w:p>
            <w:r>
              <w:rPr>
                <w:rFonts w:hint="eastAsia"/>
              </w:rPr>
              <w:t xml:space="preserve">1 </w:t>
            </w:r>
          </w:p>
        </w:tc>
        <w:tc>
          <w:tcPr>
            <w:tcW w:w="468" w:type="dxa"/>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4</w:t>
            </w:r>
          </w:p>
        </w:tc>
        <w:tc>
          <w:tcPr>
            <w:tcW w:w="1134" w:type="dxa"/>
          </w:tcPr>
          <w:p>
            <w:r>
              <w:rPr>
                <w:rFonts w:hint="eastAsia"/>
              </w:rPr>
              <w:t>交换机</w:t>
            </w:r>
          </w:p>
        </w:tc>
        <w:tc>
          <w:tcPr>
            <w:tcW w:w="11744" w:type="dxa"/>
          </w:tcPr>
          <w:p>
            <w:r>
              <w:rPr>
                <w:rFonts w:hint="eastAsia"/>
              </w:rPr>
              <w:t>L2，交换容量≥256Gbps；≥24个10/100/1000Base-T以太网端口，≥2个1000Base-X SFP千兆以太网端口</w:t>
            </w:r>
          </w:p>
        </w:tc>
        <w:tc>
          <w:tcPr>
            <w:tcW w:w="510" w:type="dxa"/>
            <w:noWrap/>
          </w:tcPr>
          <w:p>
            <w:r>
              <w:rPr>
                <w:rFonts w:hint="eastAsia"/>
              </w:rPr>
              <w:t>2</w:t>
            </w:r>
          </w:p>
        </w:tc>
        <w:tc>
          <w:tcPr>
            <w:tcW w:w="468" w:type="dxa"/>
            <w:noWrap/>
          </w:tcPr>
          <w:p>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5</w:t>
            </w:r>
          </w:p>
        </w:tc>
        <w:tc>
          <w:tcPr>
            <w:tcW w:w="1134" w:type="dxa"/>
          </w:tcPr>
          <w:p>
            <w:r>
              <w:rPr>
                <w:rFonts w:hint="eastAsia"/>
              </w:rPr>
              <w:t>单模光纤模块</w:t>
            </w:r>
          </w:p>
        </w:tc>
        <w:tc>
          <w:tcPr>
            <w:tcW w:w="11744" w:type="dxa"/>
          </w:tcPr>
          <w:p>
            <w:r>
              <w:rPr>
                <w:rFonts w:hint="eastAsia"/>
              </w:rPr>
              <w:t>光模块-SFP-GE-单模模块-（1310nm,10km,LC）</w:t>
            </w:r>
          </w:p>
        </w:tc>
        <w:tc>
          <w:tcPr>
            <w:tcW w:w="510" w:type="dxa"/>
          </w:tcPr>
          <w:p>
            <w:r>
              <w:rPr>
                <w:rFonts w:hint="eastAsia"/>
              </w:rPr>
              <w:t xml:space="preserve">4 </w:t>
            </w:r>
          </w:p>
        </w:tc>
        <w:tc>
          <w:tcPr>
            <w:tcW w:w="468" w:type="dxa"/>
          </w:tcPr>
          <w:p>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6</w:t>
            </w:r>
          </w:p>
        </w:tc>
        <w:tc>
          <w:tcPr>
            <w:tcW w:w="1134" w:type="dxa"/>
          </w:tcPr>
          <w:p>
            <w:r>
              <w:rPr>
                <w:rFonts w:hint="eastAsia"/>
              </w:rPr>
              <w:t>线缆线材</w:t>
            </w:r>
          </w:p>
        </w:tc>
        <w:tc>
          <w:tcPr>
            <w:tcW w:w="11744" w:type="dxa"/>
          </w:tcPr>
          <w:p>
            <w:r>
              <w:rPr>
                <w:rFonts w:hint="eastAsia"/>
              </w:rPr>
              <w:t>电源线、六类网线、PVC槽、电源插座、电源空开等。</w:t>
            </w:r>
          </w:p>
        </w:tc>
        <w:tc>
          <w:tcPr>
            <w:tcW w:w="510" w:type="dxa"/>
            <w:noWrap/>
          </w:tcPr>
          <w:p>
            <w:r>
              <w:rPr>
                <w:rFonts w:hint="eastAsia"/>
              </w:rPr>
              <w:t xml:space="preserve">1 </w:t>
            </w:r>
          </w:p>
        </w:tc>
        <w:tc>
          <w:tcPr>
            <w:tcW w:w="468" w:type="dxa"/>
            <w:noWrap/>
          </w:tcPr>
          <w:p>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75" w:hRule="atLeast"/>
        </w:trPr>
        <w:tc>
          <w:tcPr>
            <w:tcW w:w="704" w:type="dxa"/>
            <w:noWrap/>
          </w:tcPr>
          <w:p>
            <w:r>
              <w:rPr>
                <w:rFonts w:hint="eastAsia"/>
              </w:rPr>
              <w:t>7</w:t>
            </w:r>
          </w:p>
        </w:tc>
        <w:tc>
          <w:tcPr>
            <w:tcW w:w="1134" w:type="dxa"/>
          </w:tcPr>
          <w:p>
            <w:r>
              <w:rPr>
                <w:rFonts w:hint="eastAsia"/>
              </w:rPr>
              <w:t>考务办桌</w:t>
            </w:r>
          </w:p>
        </w:tc>
        <w:tc>
          <w:tcPr>
            <w:tcW w:w="11744" w:type="dxa"/>
          </w:tcPr>
          <w:p>
            <w:r>
              <w:rPr>
                <w:rFonts w:hint="eastAsia"/>
              </w:rPr>
              <w:t>1. 主要规格： 台面打开尺寸： 总长为 1200mm;宽为 600mm;高度为 760mm；</w:t>
            </w:r>
            <w:r>
              <w:rPr>
                <w:rFonts w:hint="eastAsia"/>
              </w:rPr>
              <w:br w:type="textWrapping"/>
            </w:r>
            <w:r>
              <w:rPr>
                <w:rFonts w:hint="eastAsia"/>
              </w:rPr>
              <w:t xml:space="preserve">2. 台面常规为白色， 也可根据客户需求订制其它颜色； </w:t>
            </w:r>
            <w:r>
              <w:rPr>
                <w:rFonts w:hint="eastAsia"/>
              </w:rPr>
              <w:br w:type="textWrapping"/>
            </w:r>
            <w:r>
              <w:rPr>
                <w:rFonts w:hint="eastAsia"/>
              </w:rPr>
              <w:t>3. 台面板： 饰面采用优质三聚氰胺板， 长为 1200mm， 宽为 600mm，厚度 25mm， 面粘防火板， PU 胶边， 具防火、 耐磨、 防污、 牢固耐用。台面形状是长方形。</w:t>
            </w:r>
            <w:r>
              <w:rPr>
                <w:rFonts w:hint="eastAsia"/>
              </w:rPr>
              <w:br w:type="textWrapping"/>
            </w:r>
            <w:r>
              <w:rPr>
                <w:rFonts w:hint="eastAsia"/>
              </w:rPr>
              <w:t xml:space="preserve"> 4. 脚管： 前脚管采用 方型钢管， 后脚管采用方形钢管， 采用防锈静电喷涂处理。</w:t>
            </w:r>
            <w:r>
              <w:rPr>
                <w:rFonts w:hint="eastAsia"/>
              </w:rPr>
              <w:br w:type="textWrapping"/>
            </w:r>
            <w:r>
              <w:rPr>
                <w:rFonts w:hint="eastAsia"/>
              </w:rPr>
              <w:t>5. 连接件为一次性压铸铝件，重量轻，结实美观耐用。</w:t>
            </w:r>
            <w:r>
              <w:rPr>
                <w:rFonts w:hint="eastAsia"/>
              </w:rPr>
              <w:br w:type="textWrapping"/>
            </w:r>
            <w:r>
              <w:rPr>
                <w:rFonts w:hint="eastAsia"/>
              </w:rPr>
              <w:t>6. 桌面两侧配备折叠拉手，可自由腿部折叠，桌面折起便于集中存放，节省空间。</w:t>
            </w:r>
          </w:p>
        </w:tc>
        <w:tc>
          <w:tcPr>
            <w:tcW w:w="510" w:type="dxa"/>
            <w:noWrap/>
          </w:tcPr>
          <w:p>
            <w:r>
              <w:rPr>
                <w:rFonts w:hint="eastAsia"/>
              </w:rPr>
              <w:t xml:space="preserve">40 </w:t>
            </w:r>
          </w:p>
        </w:tc>
        <w:tc>
          <w:tcPr>
            <w:tcW w:w="468" w:type="dxa"/>
            <w:noWrap/>
          </w:tcPr>
          <w:p>
            <w:r>
              <w:rPr>
                <w:rFonts w:hint="eastAsia"/>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704" w:type="dxa"/>
            <w:noWrap/>
          </w:tcPr>
          <w:p>
            <w:r>
              <w:rPr>
                <w:rFonts w:hint="eastAsia"/>
              </w:rPr>
              <w:t>8</w:t>
            </w:r>
          </w:p>
        </w:tc>
        <w:tc>
          <w:tcPr>
            <w:tcW w:w="1134" w:type="dxa"/>
          </w:tcPr>
          <w:p>
            <w:r>
              <w:rPr>
                <w:rFonts w:hint="eastAsia"/>
              </w:rPr>
              <w:t>考务办椅子</w:t>
            </w:r>
          </w:p>
        </w:tc>
        <w:tc>
          <w:tcPr>
            <w:tcW w:w="11744" w:type="dxa"/>
          </w:tcPr>
          <w:p>
            <w:r>
              <w:rPr>
                <w:rFonts w:hint="eastAsia"/>
              </w:rPr>
              <w:t>尺寸400*365mm,包边颜色均匀、平整、光滑。</w:t>
            </w:r>
            <w:r>
              <w:rPr>
                <w:rFonts w:hint="eastAsia"/>
              </w:rPr>
              <w:br w:type="textWrapping"/>
            </w:r>
            <w:r>
              <w:rPr>
                <w:rFonts w:hint="eastAsia"/>
              </w:rPr>
              <w:t>椅靠板：尺寸400*170mm,采用优质钢管。靠背上方为弧形边，包边颜色均匀、平整、光滑。"</w:t>
            </w:r>
            <w:r>
              <w:rPr>
                <w:rFonts w:hint="eastAsia"/>
              </w:rPr>
              <w:br w:type="textWrapping"/>
            </w:r>
            <w:r>
              <w:rPr>
                <w:rFonts w:hint="eastAsia"/>
              </w:rPr>
              <w:t>椅地脚采用：30*60*1.2mm优质钢管平焊。立柱采用：1.2mm优质钢管。均采用二氧化碳保护焊接，保证无稀焊、漏焊。</w:t>
            </w:r>
            <w:r>
              <w:rPr>
                <w:rFonts w:hint="eastAsia"/>
              </w:rPr>
              <w:br w:type="textWrapping"/>
            </w:r>
            <w:r>
              <w:rPr>
                <w:rFonts w:hint="eastAsia"/>
              </w:rPr>
              <w:t>脚套尺寸：采用全新进口环保PP工程塑料注塑成型。颜色为蓝色，抗压耐磨，采用自锁式结构，防滑防松。</w:t>
            </w:r>
          </w:p>
        </w:tc>
        <w:tc>
          <w:tcPr>
            <w:tcW w:w="510" w:type="dxa"/>
            <w:noWrap/>
          </w:tcPr>
          <w:p>
            <w:r>
              <w:rPr>
                <w:rFonts w:hint="eastAsia"/>
              </w:rPr>
              <w:t xml:space="preserve">80 </w:t>
            </w:r>
          </w:p>
        </w:tc>
        <w:tc>
          <w:tcPr>
            <w:tcW w:w="468" w:type="dxa"/>
            <w:noWrap/>
          </w:tcPr>
          <w:p>
            <w:r>
              <w:rPr>
                <w:rFonts w:hint="eastAsia"/>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tcPr>
          <w:p>
            <w:r>
              <w:rPr>
                <w:rFonts w:hint="eastAsia"/>
              </w:rPr>
              <w:t>9</w:t>
            </w:r>
          </w:p>
        </w:tc>
        <w:tc>
          <w:tcPr>
            <w:tcW w:w="1134" w:type="dxa"/>
          </w:tcPr>
          <w:p>
            <w:r>
              <w:rPr>
                <w:rFonts w:hint="eastAsia"/>
              </w:rPr>
              <w:t>空调</w:t>
            </w:r>
          </w:p>
        </w:tc>
        <w:tc>
          <w:tcPr>
            <w:tcW w:w="11744" w:type="dxa"/>
          </w:tcPr>
          <w:p>
            <w:r>
              <w:rPr>
                <w:rFonts w:hint="eastAsia"/>
              </w:rPr>
              <w:t>大3P柜式空调，冷暖类型：冷暖</w:t>
            </w:r>
          </w:p>
        </w:tc>
        <w:tc>
          <w:tcPr>
            <w:tcW w:w="510" w:type="dxa"/>
            <w:noWrap/>
          </w:tcPr>
          <w:p>
            <w:r>
              <w:rPr>
                <w:rFonts w:hint="eastAsia"/>
              </w:rPr>
              <w:t xml:space="preserve">4 </w:t>
            </w:r>
          </w:p>
        </w:tc>
        <w:tc>
          <w:tcPr>
            <w:tcW w:w="468" w:type="dxa"/>
            <w:noWrap/>
          </w:tcPr>
          <w:p>
            <w:r>
              <w:rPr>
                <w:rFonts w:hint="eastAsia"/>
              </w:rPr>
              <w:t>台</w:t>
            </w:r>
          </w:p>
        </w:tc>
      </w:tr>
    </w:tbl>
    <w:p/>
    <w:p>
      <w:r>
        <w:br w:type="page"/>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1"/>
        <w:gridCol w:w="12073"/>
        <w:gridCol w:w="485"/>
        <w:gridCol w:w="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4560" w:type="dxa"/>
            <w:gridSpan w:val="5"/>
            <w:noWrap/>
            <w:vAlign w:val="center"/>
          </w:tcPr>
          <w:p>
            <w:pPr>
              <w:pStyle w:val="49"/>
            </w:pPr>
            <w:r>
              <w:rPr>
                <w:rFonts w:hint="eastAsia"/>
                <w:b/>
                <w:bCs w:val="0"/>
              </w:rPr>
              <w:t>阎良职中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704" w:type="dxa"/>
            <w:noWrap/>
            <w:vAlign w:val="center"/>
          </w:tcPr>
          <w:p>
            <w:pPr>
              <w:pStyle w:val="49"/>
            </w:pPr>
            <w:r>
              <w:rPr>
                <w:rFonts w:hint="eastAsia"/>
              </w:rPr>
              <w:t>序号</w:t>
            </w:r>
          </w:p>
        </w:tc>
        <w:tc>
          <w:tcPr>
            <w:tcW w:w="851" w:type="dxa"/>
            <w:noWrap/>
            <w:vAlign w:val="center"/>
          </w:tcPr>
          <w:p>
            <w:pPr>
              <w:pStyle w:val="49"/>
            </w:pPr>
            <w:r>
              <w:rPr>
                <w:rFonts w:hint="eastAsia"/>
              </w:rPr>
              <w:t>设备名称</w:t>
            </w:r>
          </w:p>
        </w:tc>
        <w:tc>
          <w:tcPr>
            <w:tcW w:w="12073" w:type="dxa"/>
            <w:noWrap/>
            <w:vAlign w:val="center"/>
          </w:tcPr>
          <w:p>
            <w:pPr>
              <w:pStyle w:val="49"/>
            </w:pPr>
            <w:r>
              <w:rPr>
                <w:rFonts w:hint="eastAsia"/>
              </w:rPr>
              <w:t>技术参数</w:t>
            </w:r>
          </w:p>
        </w:tc>
        <w:tc>
          <w:tcPr>
            <w:tcW w:w="485" w:type="dxa"/>
            <w:noWrap/>
            <w:vAlign w:val="center"/>
          </w:tcPr>
          <w:p>
            <w:pPr>
              <w:pStyle w:val="49"/>
            </w:pPr>
            <w:r>
              <w:rPr>
                <w:rFonts w:hint="eastAsia"/>
              </w:rPr>
              <w:t>数量</w:t>
            </w:r>
          </w:p>
        </w:tc>
        <w:tc>
          <w:tcPr>
            <w:tcW w:w="447" w:type="dxa"/>
            <w:noWrap/>
            <w:vAlign w:val="center"/>
          </w:tcPr>
          <w:p>
            <w:pPr>
              <w:pStyle w:val="49"/>
            </w:pPr>
            <w:r>
              <w:rPr>
                <w:rFonts w:hint="eastAsi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628" w:type="dxa"/>
            <w:gridSpan w:val="3"/>
            <w:noWrap/>
            <w:vAlign w:val="center"/>
          </w:tcPr>
          <w:p>
            <w:pPr>
              <w:pStyle w:val="49"/>
            </w:pPr>
            <w:r>
              <w:rPr>
                <w:rFonts w:hint="eastAsia"/>
                <w:b/>
                <w:bCs w:val="0"/>
              </w:rPr>
              <w:t>一、巡查系统</w:t>
            </w:r>
          </w:p>
        </w:tc>
        <w:tc>
          <w:tcPr>
            <w:tcW w:w="485" w:type="dxa"/>
            <w:noWrap/>
            <w:vAlign w:val="center"/>
          </w:tcPr>
          <w:p>
            <w:pPr>
              <w:pStyle w:val="49"/>
            </w:pPr>
            <w:r>
              <w:rPr>
                <w:rFonts w:hint="eastAsia"/>
              </w:rPr>
              <w:t>　</w:t>
            </w:r>
          </w:p>
        </w:tc>
        <w:tc>
          <w:tcPr>
            <w:tcW w:w="447"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w:t>
            </w:r>
          </w:p>
        </w:tc>
        <w:tc>
          <w:tcPr>
            <w:tcW w:w="851" w:type="dxa"/>
            <w:vAlign w:val="center"/>
          </w:tcPr>
          <w:p>
            <w:pPr>
              <w:pStyle w:val="49"/>
            </w:pPr>
            <w:r>
              <w:rPr>
                <w:rFonts w:hint="eastAsia"/>
              </w:rPr>
              <w:t>管理计算机</w:t>
            </w:r>
          </w:p>
        </w:tc>
        <w:tc>
          <w:tcPr>
            <w:tcW w:w="12073" w:type="dxa"/>
            <w:vAlign w:val="center"/>
          </w:tcPr>
          <w:p>
            <w:pPr>
              <w:pStyle w:val="49"/>
            </w:pPr>
            <w:r>
              <w:rPr>
                <w:rFonts w:hint="eastAsia"/>
              </w:rPr>
              <w:t>性能不低于：I7-9700 8G DDRIII 2133MHz，128G固态硬盘，1TG SATA3 7200rpm， 2G独立显卡，23”显示器,USB鼠标键盘，win10</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0" w:hRule="atLeast"/>
        </w:trPr>
        <w:tc>
          <w:tcPr>
            <w:tcW w:w="704" w:type="dxa"/>
            <w:noWrap/>
            <w:vAlign w:val="center"/>
          </w:tcPr>
          <w:p>
            <w:pPr>
              <w:pStyle w:val="49"/>
            </w:pPr>
            <w:r>
              <w:rPr>
                <w:rFonts w:hint="eastAsia"/>
              </w:rPr>
              <w:t>2</w:t>
            </w:r>
          </w:p>
        </w:tc>
        <w:tc>
          <w:tcPr>
            <w:tcW w:w="851" w:type="dxa"/>
            <w:vAlign w:val="center"/>
          </w:tcPr>
          <w:p>
            <w:pPr>
              <w:pStyle w:val="49"/>
            </w:pPr>
            <w:r>
              <w:rPr>
                <w:rFonts w:hint="eastAsia"/>
              </w:rPr>
              <w:t>高清网络半球摄像机</w:t>
            </w:r>
          </w:p>
        </w:tc>
        <w:tc>
          <w:tcPr>
            <w:tcW w:w="12073" w:type="dxa"/>
            <w:vAlign w:val="center"/>
          </w:tcPr>
          <w:p>
            <w:pPr>
              <w:pStyle w:val="49"/>
            </w:pPr>
            <w:r>
              <w:rPr>
                <w:rFonts w:hint="eastAsia"/>
              </w:rPr>
              <w:t>1、≥400万半球型网络摄像机，采用1/2.7" CMOS传感器</w:t>
            </w:r>
            <w:r>
              <w:rPr>
                <w:rFonts w:hint="eastAsia"/>
              </w:rPr>
              <w:br w:type="textWrapping"/>
            </w:r>
            <w:r>
              <w:rPr>
                <w:rFonts w:hint="eastAsia"/>
              </w:rPr>
              <w:t>2、照度≤0.005Lux，0Lux with IR；</w:t>
            </w:r>
            <w:r>
              <w:rPr>
                <w:rFonts w:hint="eastAsia"/>
              </w:rPr>
              <w:br w:type="textWrapping"/>
            </w:r>
            <w:r>
              <w:rPr>
                <w:rFonts w:hint="eastAsia"/>
              </w:rPr>
              <w:t>3、采用2.7mm-12mm镜头, 水平视场角93°～35°；</w:t>
            </w:r>
            <w:r>
              <w:rPr>
                <w:rFonts w:hint="eastAsia"/>
              </w:rPr>
              <w:br w:type="textWrapping"/>
            </w:r>
            <w:r>
              <w:rPr>
                <w:rFonts w:hint="eastAsia"/>
              </w:rPr>
              <w:t>4、视频编码标准支持H.265、H.264、MJPEG编码格式，音频编码标准支持G.711/MP2L2/AAC，图像尺寸≥2560×1440；</w:t>
            </w:r>
            <w:r>
              <w:rPr>
                <w:rFonts w:hint="eastAsia"/>
              </w:rPr>
              <w:br w:type="textWrapping"/>
            </w:r>
            <w:r>
              <w:rPr>
                <w:rFonts w:hint="eastAsia"/>
              </w:rPr>
              <w:t>5、支持Micro SD/SDHC/SDXC卡(128G)本地存储；</w:t>
            </w:r>
            <w:r>
              <w:rPr>
                <w:rFonts w:hint="eastAsia"/>
              </w:rPr>
              <w:br w:type="textWrapping"/>
            </w:r>
            <w:r>
              <w:rPr>
                <w:rFonts w:hint="eastAsia"/>
              </w:rPr>
              <w:t>6、支持SIP、RTP、RTCP等网络协议，支持TS、PS流封装，支持标准SIP2.0协议；</w:t>
            </w:r>
            <w:r>
              <w:rPr>
                <w:rFonts w:hint="eastAsia"/>
              </w:rPr>
              <w:br w:type="textWrapping"/>
            </w:r>
            <w:r>
              <w:rPr>
                <w:rFonts w:hint="eastAsia"/>
              </w:rPr>
              <w:t>7、具有视频移动侦测能力，可根据设置策略实现相应的编码、传输、存储或视频报警；</w:t>
            </w:r>
            <w:r>
              <w:rPr>
                <w:rFonts w:hint="eastAsia"/>
              </w:rPr>
              <w:br w:type="textWrapping"/>
            </w:r>
            <w:r>
              <w:rPr>
                <w:rFonts w:hint="eastAsia"/>
              </w:rPr>
              <w:t>8、支持SIP的地址解析、信令转发，支持SIP URI统一命名规则、分级命名；</w:t>
            </w:r>
            <w:r>
              <w:rPr>
                <w:rFonts w:hint="eastAsia"/>
              </w:rPr>
              <w:br w:type="textWrapping"/>
            </w:r>
            <w:r>
              <w:rPr>
                <w:rFonts w:hint="eastAsia"/>
              </w:rPr>
              <w:t>9、支持UDP回放方式，支持UDP下载方式；</w:t>
            </w:r>
            <w:r>
              <w:rPr>
                <w:rFonts w:hint="eastAsia"/>
              </w:rPr>
              <w:br w:type="textWrapping"/>
            </w:r>
            <w:r>
              <w:rPr>
                <w:rFonts w:hint="eastAsia"/>
              </w:rPr>
              <w:t>10、支持时间同步功能，支持网络时间协议（NTP）；</w:t>
            </w:r>
            <w:r>
              <w:rPr>
                <w:rFonts w:hint="eastAsia"/>
              </w:rPr>
              <w:br w:type="textWrapping"/>
            </w:r>
            <w:r>
              <w:rPr>
                <w:rFonts w:hint="eastAsia"/>
              </w:rPr>
              <w:t>11、具有≥1个RJ45 10M/100M自适应以太网口、≥1对音频输入/输出接口、≥2对报警输入/输出接口；</w:t>
            </w:r>
            <w:r>
              <w:rPr>
                <w:rFonts w:hint="eastAsia"/>
              </w:rPr>
              <w:br w:type="textWrapping"/>
            </w:r>
            <w:r>
              <w:rPr>
                <w:rFonts w:hint="eastAsia"/>
              </w:rPr>
              <w:t>12、支持DC12V/PoE(802.3af)供电；</w:t>
            </w:r>
            <w:r>
              <w:rPr>
                <w:rFonts w:hint="eastAsia"/>
              </w:rPr>
              <w:br w:type="textWrapping"/>
            </w:r>
            <w:r>
              <w:rPr>
                <w:rFonts w:hint="eastAsia"/>
              </w:rPr>
              <w:t>13、红外照射距离≥30米；</w:t>
            </w:r>
            <w:r>
              <w:rPr>
                <w:rFonts w:hint="eastAsia"/>
              </w:rPr>
              <w:br w:type="textWrapping"/>
            </w:r>
            <w:r>
              <w:rPr>
                <w:rFonts w:hint="eastAsia"/>
              </w:rPr>
              <w:t>14、防护等级为IP67。</w:t>
            </w:r>
            <w:r>
              <w:rPr>
                <w:rFonts w:hint="eastAsia"/>
              </w:rPr>
              <w:br w:type="textWrapping"/>
            </w:r>
            <w:r>
              <w:rPr>
                <w:rFonts w:hint="eastAsia"/>
              </w:rPr>
              <w:t>15、符合标准：符合《公共安全视频监控联网系统信息传输、交换、控制技术要求》GB/T28181-2016。符合《国家教育考试网上巡查系统视频标准技术规范》JY/T-KS-JS-2017-1。</w:t>
            </w:r>
            <w:r>
              <w:rPr>
                <w:rFonts w:hint="eastAsia"/>
              </w:rPr>
              <w:br w:type="textWrapping"/>
            </w:r>
            <w:r>
              <w:rPr>
                <w:rFonts w:hint="eastAsia"/>
              </w:rPr>
              <w:t>16、包含支架和电源；</w:t>
            </w:r>
            <w:r>
              <w:rPr>
                <w:rFonts w:hint="eastAsia"/>
              </w:rPr>
              <w:br w:type="textWrapping"/>
            </w:r>
            <w:r>
              <w:rPr>
                <w:rFonts w:hint="eastAsia"/>
              </w:rPr>
              <w:t>17、提供产品来源渠道证明文件（包括但不限于销售协议、代理协议、原厂授权）加盖公章。</w:t>
            </w:r>
          </w:p>
        </w:tc>
        <w:tc>
          <w:tcPr>
            <w:tcW w:w="485" w:type="dxa"/>
            <w:noWrap/>
            <w:vAlign w:val="center"/>
          </w:tcPr>
          <w:p>
            <w:pPr>
              <w:pStyle w:val="49"/>
            </w:pPr>
            <w:r>
              <w:rPr>
                <w:rFonts w:hint="eastAsia"/>
              </w:rPr>
              <w:t>23</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704" w:type="dxa"/>
            <w:noWrap/>
            <w:vAlign w:val="center"/>
          </w:tcPr>
          <w:p>
            <w:pPr>
              <w:pStyle w:val="49"/>
            </w:pPr>
            <w:r>
              <w:rPr>
                <w:rFonts w:hint="eastAsia"/>
              </w:rPr>
              <w:t>3</w:t>
            </w:r>
          </w:p>
        </w:tc>
        <w:tc>
          <w:tcPr>
            <w:tcW w:w="851" w:type="dxa"/>
            <w:vAlign w:val="center"/>
          </w:tcPr>
          <w:p>
            <w:pPr>
              <w:pStyle w:val="49"/>
            </w:pPr>
            <w:r>
              <w:rPr>
                <w:rFonts w:hint="eastAsia"/>
              </w:rPr>
              <w:t>拾音器</w:t>
            </w:r>
          </w:p>
        </w:tc>
        <w:tc>
          <w:tcPr>
            <w:tcW w:w="12073" w:type="dxa"/>
            <w:vAlign w:val="center"/>
          </w:tcPr>
          <w:p>
            <w:pPr>
              <w:pStyle w:val="49"/>
            </w:pPr>
            <w:r>
              <w:rPr>
                <w:rFonts w:hint="eastAsia"/>
              </w:rPr>
              <w:t>监听面积：50平方米-100平方米；音频传输距离: 3000米 ；适配器：内置前置放大电路，不需要适配器；频率响应：20Hz ～ 20kHz； 连接方式：3条引线 (电源,音频,公共地)；灵敏度：-32dB；传输线缆：3芯0.5mm2 RVVP电缆；信噪比 ；80dB ( 1米40 dB音源) 30dB (10米40 dB音源) 1KHz at 1 Pa；指向特性；全指向性 动态范围：104dB (1KHz at Max dB SPL)；环境温度： -25℃ ～ 75℃；最大承受音压： 120dB SPL (1KHz,THD 1%)；输出阻抗；600欧姆非平衡；输出信号幅度 ：2.5Vpp/-25db。</w:t>
            </w:r>
          </w:p>
        </w:tc>
        <w:tc>
          <w:tcPr>
            <w:tcW w:w="485" w:type="dxa"/>
            <w:noWrap/>
            <w:vAlign w:val="center"/>
          </w:tcPr>
          <w:p>
            <w:pPr>
              <w:pStyle w:val="49"/>
            </w:pPr>
            <w:r>
              <w:rPr>
                <w:rFonts w:hint="eastAsia"/>
              </w:rPr>
              <w:t>23</w:t>
            </w:r>
          </w:p>
        </w:tc>
        <w:tc>
          <w:tcPr>
            <w:tcW w:w="447" w:type="dxa"/>
            <w:noWrap/>
            <w:vAlign w:val="center"/>
          </w:tcPr>
          <w:p>
            <w:pPr>
              <w:pStyle w:val="49"/>
            </w:pPr>
            <w:r>
              <w:rPr>
                <w:rFonts w:hint="eastAsia"/>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704" w:type="dxa"/>
            <w:noWrap/>
            <w:vAlign w:val="center"/>
          </w:tcPr>
          <w:p>
            <w:pPr>
              <w:pStyle w:val="49"/>
            </w:pPr>
            <w:r>
              <w:rPr>
                <w:rFonts w:hint="eastAsia"/>
              </w:rPr>
              <w:t>4</w:t>
            </w:r>
          </w:p>
        </w:tc>
        <w:tc>
          <w:tcPr>
            <w:tcW w:w="851" w:type="dxa"/>
            <w:vAlign w:val="center"/>
          </w:tcPr>
          <w:p>
            <w:pPr>
              <w:pStyle w:val="49"/>
            </w:pPr>
            <w:r>
              <w:rPr>
                <w:rFonts w:hint="eastAsia"/>
              </w:rPr>
              <w:t>筒型网络摄像机</w:t>
            </w:r>
          </w:p>
        </w:tc>
        <w:tc>
          <w:tcPr>
            <w:tcW w:w="12073" w:type="dxa"/>
            <w:vAlign w:val="center"/>
          </w:tcPr>
          <w:p>
            <w:pPr>
              <w:pStyle w:val="49"/>
            </w:pPr>
            <w:r>
              <w:rPr>
                <w:rFonts w:hint="eastAsia"/>
              </w:rPr>
              <w:t>≥400万筒型摄像机，采用1/2.7" CMOS传感器；最小照度最小照度≤0.005Lux，0Lux with IR；采用2.7mm-12mm镜头, 水平视场角93°～35°，视频编码标准支持H.265/H.264，音频编码标准支持G.711/MP2L2/AAC，图像尺寸≥2560×1440；支持Micro SD/SDHC/SDXC卡(≥128G)本地存储；具有≥1个RJ45 10M/100M自适应以太网口、1对音频输入/输出接口、2对报警输入/输出接口；支持DC12V/PoE(802.3af)供电；红外照射距离≥30米；防护等级为IP67。符合标准：符合《公共安全视频监控联网系统信息传输、交换、控制技术要求》GB/T28181-2016。符合《国家教育考试网上巡查系统视频标准技术规范》JY/T-KS-JS-2017-1。</w:t>
            </w:r>
          </w:p>
        </w:tc>
        <w:tc>
          <w:tcPr>
            <w:tcW w:w="485" w:type="dxa"/>
            <w:noWrap/>
            <w:vAlign w:val="center"/>
          </w:tcPr>
          <w:p>
            <w:pPr>
              <w:pStyle w:val="49"/>
            </w:pPr>
            <w:r>
              <w:rPr>
                <w:rFonts w:hint="eastAsia"/>
              </w:rPr>
              <w:t>8</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0" w:hRule="atLeast"/>
        </w:trPr>
        <w:tc>
          <w:tcPr>
            <w:tcW w:w="704" w:type="dxa"/>
            <w:noWrap/>
            <w:vAlign w:val="center"/>
          </w:tcPr>
          <w:p>
            <w:pPr>
              <w:pStyle w:val="49"/>
            </w:pPr>
            <w:r>
              <w:rPr>
                <w:rFonts w:hint="eastAsia"/>
              </w:rPr>
              <w:t>5</w:t>
            </w:r>
          </w:p>
        </w:tc>
        <w:tc>
          <w:tcPr>
            <w:tcW w:w="851" w:type="dxa"/>
            <w:vAlign w:val="center"/>
          </w:tcPr>
          <w:p>
            <w:pPr>
              <w:pStyle w:val="49"/>
            </w:pPr>
            <w:r>
              <w:rPr>
                <w:rFonts w:hint="eastAsia"/>
              </w:rPr>
              <w:t>高清网络球型摄像机</w:t>
            </w:r>
          </w:p>
        </w:tc>
        <w:tc>
          <w:tcPr>
            <w:tcW w:w="12073" w:type="dxa"/>
            <w:vAlign w:val="center"/>
          </w:tcPr>
          <w:p>
            <w:pPr>
              <w:pStyle w:val="49"/>
            </w:pPr>
            <w:r>
              <w:rPr>
                <w:rFonts w:hint="eastAsia"/>
              </w:rPr>
              <w:t>1、≥400万7寸红外网络高清智能球机，采用1/2.5" CMOS传感器，最小照度≤0.005Lux，0Lux with IR；</w:t>
            </w:r>
          </w:p>
          <w:p>
            <w:pPr>
              <w:pStyle w:val="49"/>
            </w:pPr>
            <w:r>
              <w:rPr>
                <w:rFonts w:hint="eastAsia"/>
              </w:rPr>
              <w:t>2、采用4.8mm-110mm镜头, ≥ 23倍光学变倍、≥16倍数字变倍；</w:t>
            </w:r>
          </w:p>
          <w:p>
            <w:pPr>
              <w:pStyle w:val="49"/>
            </w:pPr>
            <w:r>
              <w:rPr>
                <w:rFonts w:hint="eastAsia"/>
              </w:rPr>
              <w:t>3、视频编码标准支持H.265/H.264，音频编码标准支持G.711/MP2L2/AAC等，≥2560×1440；</w:t>
            </w:r>
          </w:p>
          <w:p>
            <w:pPr>
              <w:pStyle w:val="49"/>
            </w:pPr>
            <w:r>
              <w:rPr>
                <w:rFonts w:hint="eastAsia"/>
              </w:rPr>
              <w:t>4、最高输出帧率为30fps、输出分辨率支持2560×1440/1920×1080/1280×960/1280×720；</w:t>
            </w:r>
          </w:p>
          <w:p>
            <w:pPr>
              <w:pStyle w:val="49"/>
            </w:pPr>
            <w:r>
              <w:rPr>
                <w:rFonts w:hint="eastAsia"/>
              </w:rPr>
              <w:t>5、支持Micro SD/SDHC/SDXC卡(≥256G)本地存储；</w:t>
            </w:r>
          </w:p>
          <w:p>
            <w:pPr>
              <w:pStyle w:val="49"/>
            </w:pPr>
            <w:r>
              <w:rPr>
                <w:rFonts w:hint="eastAsia"/>
              </w:rPr>
              <w:t>6、具有智能报警功能，支持越界侦测、区域入侵侦测、音频异常侦测和移动侦测等报警类型；</w:t>
            </w:r>
          </w:p>
          <w:p>
            <w:pPr>
              <w:pStyle w:val="49"/>
            </w:pPr>
            <w:r>
              <w:rPr>
                <w:rFonts w:hint="eastAsia"/>
              </w:rPr>
              <w:t>7、支持宽动态、透雾、强光抑制、3D定位和电子防抖；</w:t>
            </w:r>
          </w:p>
          <w:p>
            <w:pPr>
              <w:pStyle w:val="49"/>
            </w:pPr>
            <w:r>
              <w:rPr>
                <w:rFonts w:hint="eastAsia"/>
              </w:rPr>
              <w:t>8、水平及垂直：水平范围360°，垂直范围-15°～90°，水平转速：0.1°～160°/s，速度可设，水平预置点速度：240°/s，垂直速度：垂直转速：0.1°～120°/s，速度可设，垂直预置点速度：200°/s；</w:t>
            </w:r>
          </w:p>
          <w:p>
            <w:pPr>
              <w:pStyle w:val="49"/>
            </w:pPr>
            <w:r>
              <w:rPr>
                <w:rFonts w:hint="eastAsia"/>
              </w:rPr>
              <w:t>9、支持≥300个预置点；</w:t>
            </w:r>
          </w:p>
          <w:p>
            <w:pPr>
              <w:pStyle w:val="49"/>
            </w:pPr>
            <w:r>
              <w:rPr>
                <w:rFonts w:hint="eastAsia"/>
              </w:rPr>
              <w:t>10、≥8条巡航扫描，每条可设置≥32个预置点，支持断电记忆；</w:t>
            </w:r>
          </w:p>
          <w:p>
            <w:pPr>
              <w:pStyle w:val="49"/>
            </w:pPr>
            <w:r>
              <w:rPr>
                <w:rFonts w:hint="eastAsia"/>
              </w:rPr>
              <w:t>11、支持标准SIP2.0，支持统一SIP URI统一命名规则、分级命名；</w:t>
            </w:r>
          </w:p>
          <w:p>
            <w:pPr>
              <w:pStyle w:val="49"/>
            </w:pPr>
            <w:r>
              <w:rPr>
                <w:rFonts w:hint="eastAsia"/>
              </w:rPr>
              <w:t xml:space="preserve">12、具有≥1个RJ45 10M/100M自适应以太网口、≥1对音频输入/输出接口、≥1对报警输入/输出接口； </w:t>
            </w:r>
          </w:p>
          <w:p>
            <w:pPr>
              <w:pStyle w:val="49"/>
            </w:pPr>
            <w:r>
              <w:rPr>
                <w:rFonts w:hint="eastAsia"/>
              </w:rPr>
              <w:t>13、红外照射距离≥150米；</w:t>
            </w:r>
          </w:p>
          <w:p>
            <w:pPr>
              <w:pStyle w:val="49"/>
            </w:pPr>
            <w:r>
              <w:rPr>
                <w:rFonts w:hint="eastAsia"/>
              </w:rPr>
              <w:t>14、防护等级：IP66，TVS 4000V 防雷、防浪涌、防突波，符合GB/T17626.5 四级标准；</w:t>
            </w:r>
          </w:p>
          <w:p>
            <w:pPr>
              <w:pStyle w:val="49"/>
            </w:pPr>
            <w:r>
              <w:rPr>
                <w:rFonts w:hint="eastAsia"/>
              </w:rPr>
              <w:t>15、符合标准：符合《国家教育考试网上巡查系统视频标准技术规范》JY/T-KS-JS-2017-1。</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vAlign w:val="center"/>
          </w:tcPr>
          <w:p>
            <w:pPr>
              <w:pStyle w:val="49"/>
            </w:pPr>
            <w:r>
              <w:rPr>
                <w:rFonts w:hint="eastAsia"/>
              </w:rPr>
              <w:t>6</w:t>
            </w:r>
          </w:p>
        </w:tc>
        <w:tc>
          <w:tcPr>
            <w:tcW w:w="851" w:type="dxa"/>
            <w:vAlign w:val="center"/>
          </w:tcPr>
          <w:p>
            <w:pPr>
              <w:pStyle w:val="49"/>
            </w:pPr>
            <w:r>
              <w:rPr>
                <w:rFonts w:hint="eastAsia"/>
              </w:rPr>
              <w:t>SIP网关及媒体转发服务器</w:t>
            </w:r>
          </w:p>
        </w:tc>
        <w:tc>
          <w:tcPr>
            <w:tcW w:w="12073" w:type="dxa"/>
            <w:vAlign w:val="center"/>
          </w:tcPr>
          <w:p>
            <w:pPr>
              <w:pStyle w:val="49"/>
            </w:pPr>
            <w:r>
              <w:rPr>
                <w:rFonts w:hint="eastAsia"/>
              </w:rPr>
              <w:t>1、SIP网关为嵌入式，内置linux操作系统；本身具有抗病毒和抗攻击能力，避免遭受病毒攻击，确保服务器能够长期稳定运行。具有点播、录像等功能。</w:t>
            </w:r>
          </w:p>
          <w:p>
            <w:pPr>
              <w:pStyle w:val="49"/>
            </w:pPr>
            <w:r>
              <w:rPr>
                <w:rFonts w:hint="eastAsia"/>
              </w:rPr>
              <w:t>2、能实现《国家教育考试网上巡查系统视频标准技术规范》JY/T-KS-JS-2017-1中规定的SIP协议与其它协议相互转换；（提供满足参数的证明材料，不限于检测报告、彩页官网截图等）</w:t>
            </w:r>
          </w:p>
          <w:p>
            <w:pPr>
              <w:pStyle w:val="49"/>
            </w:pPr>
            <w:r>
              <w:rPr>
                <w:rFonts w:hint="eastAsia"/>
              </w:rPr>
              <w:t>3、支持标准SIP2.0；支持SIP地址解析、信令转发；</w:t>
            </w:r>
          </w:p>
          <w:p>
            <w:pPr>
              <w:pStyle w:val="49"/>
            </w:pPr>
            <w:r>
              <w:rPr>
                <w:rFonts w:hint="eastAsia"/>
              </w:rPr>
              <w:t>4、支持H.264、H.265、MPEG4视频编码格式；支持ACC、G.711、MPEG Layer2音频编码格式；</w:t>
            </w:r>
          </w:p>
          <w:p>
            <w:pPr>
              <w:pStyle w:val="49"/>
            </w:pPr>
            <w:r>
              <w:rPr>
                <w:rFonts w:hint="eastAsia"/>
              </w:rPr>
              <w:t>5、支持IP、UDP、RTP、RTCP、SIP等网络协议；</w:t>
            </w:r>
          </w:p>
          <w:p>
            <w:pPr>
              <w:pStyle w:val="49"/>
            </w:pPr>
            <w:r>
              <w:rPr>
                <w:rFonts w:hint="eastAsia"/>
              </w:rPr>
              <w:t>6、单台设备可提供≥64路1920x1080媒体流的分发功能；</w:t>
            </w:r>
          </w:p>
          <w:p>
            <w:pPr>
              <w:pStyle w:val="49"/>
            </w:pPr>
            <w:r>
              <w:rPr>
                <w:rFonts w:hint="eastAsia"/>
              </w:rPr>
              <w:t>7、具有音、视频转发和路由控制功能，流媒体的NAT穿越功能；</w:t>
            </w:r>
          </w:p>
          <w:p>
            <w:pPr>
              <w:pStyle w:val="49"/>
            </w:pPr>
            <w:r>
              <w:rPr>
                <w:rFonts w:hint="eastAsia"/>
              </w:rPr>
              <w:t>8、支持时间同步功能支持网络时间协议（NTP）；</w:t>
            </w:r>
          </w:p>
          <w:p>
            <w:pPr>
              <w:pStyle w:val="49"/>
            </w:pPr>
            <w:r>
              <w:rPr>
                <w:rFonts w:hint="eastAsia"/>
              </w:rPr>
              <w:t>9、设备支持考试计划管理、支持考务人员编排功能，支持物理考场和逻辑考场对应功能，支持摄像机物理与考场逻辑位置对应，系统支持通过查看实时视频，查看该视频涉及考场的考试人员信息；</w:t>
            </w:r>
          </w:p>
          <w:p>
            <w:pPr>
              <w:pStyle w:val="49"/>
            </w:pPr>
            <w:r>
              <w:rPr>
                <w:rFonts w:hint="eastAsia"/>
              </w:rPr>
              <w:t>10、具有≥2个10M/100M/1000M自适应以太网接口；</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704" w:type="dxa"/>
            <w:noWrap/>
            <w:vAlign w:val="center"/>
          </w:tcPr>
          <w:p>
            <w:pPr>
              <w:pStyle w:val="49"/>
            </w:pPr>
            <w:r>
              <w:rPr>
                <w:rFonts w:hint="eastAsia"/>
              </w:rPr>
              <w:t>7</w:t>
            </w:r>
          </w:p>
        </w:tc>
        <w:tc>
          <w:tcPr>
            <w:tcW w:w="851" w:type="dxa"/>
            <w:vAlign w:val="center"/>
          </w:tcPr>
          <w:p>
            <w:pPr>
              <w:pStyle w:val="49"/>
            </w:pPr>
            <w:r>
              <w:rPr>
                <w:rFonts w:hint="eastAsia"/>
              </w:rPr>
              <w:t>网上巡查系统软件</w:t>
            </w:r>
          </w:p>
        </w:tc>
        <w:tc>
          <w:tcPr>
            <w:tcW w:w="12073" w:type="dxa"/>
            <w:vAlign w:val="center"/>
          </w:tcPr>
          <w:p>
            <w:pPr>
              <w:pStyle w:val="49"/>
            </w:pPr>
            <w:r>
              <w:rPr>
                <w:rFonts w:hint="eastAsia"/>
              </w:rPr>
              <w:t xml:space="preserve">1.软件界面明显位置具有帮助按钮，当用户需要时能提供文档说明，功能界面具有导航栏。 </w:t>
            </w:r>
            <w:r>
              <w:rPr>
                <w:rFonts w:hint="eastAsia"/>
              </w:rPr>
              <w:br w:type="textWrapping"/>
            </w:r>
            <w:r>
              <w:rPr>
                <w:rFonts w:hint="eastAsia"/>
              </w:rPr>
              <w:t xml:space="preserve">2.软件平台支持多用户使用，用户登录时经过账号和密码的相关性、安全性验证，防止非法操作。 </w:t>
            </w:r>
            <w:r>
              <w:rPr>
                <w:rFonts w:hint="eastAsia"/>
              </w:rPr>
              <w:br w:type="textWrapping"/>
            </w:r>
            <w:r>
              <w:rPr>
                <w:rFonts w:hint="eastAsia"/>
              </w:rPr>
              <w:t xml:space="preserve">3.软件平台具有较高的安全性，具有加密锁防护，防止软件被非法复制挪用，在加密锁失效或丢失的情况下，软件支持激活码激活。 </w:t>
            </w:r>
            <w:r>
              <w:rPr>
                <w:rFonts w:hint="eastAsia"/>
              </w:rPr>
              <w:br w:type="textWrapping"/>
            </w:r>
            <w:r>
              <w:rPr>
                <w:rFonts w:hint="eastAsia"/>
              </w:rPr>
              <w:t>4.视频预览界面具有导航列表和视频显示窗口，导航列可收缩折叠。</w:t>
            </w:r>
            <w:r>
              <w:rPr>
                <w:rFonts w:hint="eastAsia"/>
              </w:rPr>
              <w:br w:type="textWrapping"/>
            </w:r>
            <w:r>
              <w:rPr>
                <w:rFonts w:hint="eastAsia"/>
              </w:rPr>
              <w:t xml:space="preserve">5.视频预览窗口支持1、4、9、1+5等多画面预览。 </w:t>
            </w:r>
            <w:r>
              <w:rPr>
                <w:rFonts w:hint="eastAsia"/>
              </w:rPr>
              <w:br w:type="textWrapping"/>
            </w:r>
            <w:r>
              <w:rPr>
                <w:rFonts w:hint="eastAsia"/>
              </w:rPr>
              <w:t>6.在视频图像预览时支持抓图、录像、开启或关闭声音以及云台控制等操作。</w:t>
            </w:r>
            <w:r>
              <w:rPr>
                <w:rFonts w:hint="eastAsia"/>
              </w:rPr>
              <w:br w:type="textWrapping"/>
            </w:r>
            <w:r>
              <w:rPr>
                <w:rFonts w:hint="eastAsia"/>
              </w:rPr>
              <w:t xml:space="preserve">7.具有巡查列表提交功能，上传列表可选，可将考务规定的巡查编码设备通道列表上传，考务规定以外的列表可实现不上传但是能本地查看。 </w:t>
            </w:r>
            <w:r>
              <w:rPr>
                <w:rFonts w:hint="eastAsia"/>
              </w:rPr>
              <w:br w:type="textWrapping"/>
            </w:r>
            <w:r>
              <w:rPr>
                <w:rFonts w:hint="eastAsia"/>
              </w:rPr>
              <w:t>8.视频巡查实现分组巡查：支持考场，走廊，保密室独立创建分组进行巡查。</w:t>
            </w:r>
            <w:r>
              <w:rPr>
                <w:rFonts w:hint="eastAsia"/>
              </w:rPr>
              <w:br w:type="textWrapping"/>
            </w:r>
            <w:r>
              <w:rPr>
                <w:rFonts w:hint="eastAsia"/>
              </w:rPr>
              <w:t>9.支持按设备名称、区域节点名称检索设备树列表，支持考试任务接收，上传列表符合性校验，支持自定义设备树，可根据考试任务需求选择性创建设备树列表。</w:t>
            </w:r>
            <w:r>
              <w:rPr>
                <w:rFonts w:hint="eastAsia"/>
              </w:rPr>
              <w:br w:type="textWrapping"/>
            </w:r>
            <w:r>
              <w:rPr>
                <w:rFonts w:hint="eastAsia"/>
              </w:rPr>
              <w:t xml:space="preserve">10.支持对存储设备远程管理，实现存储控制、录像策略制定等功能。 </w:t>
            </w:r>
            <w:r>
              <w:rPr>
                <w:rFonts w:hint="eastAsia"/>
              </w:rPr>
              <w:br w:type="textWrapping"/>
            </w:r>
            <w:r>
              <w:rPr>
                <w:rFonts w:hint="eastAsia"/>
              </w:rPr>
              <w:t xml:space="preserve">11.支持对多台电视墙解码设备远程集中管理，实现远程解码上墙的内容控制、显示模式、轮巡切换、主辅码流等设置功能。 </w:t>
            </w:r>
            <w:r>
              <w:rPr>
                <w:rFonts w:hint="eastAsia"/>
              </w:rPr>
              <w:br w:type="textWrapping"/>
            </w:r>
            <w:r>
              <w:rPr>
                <w:rFonts w:hint="eastAsia"/>
              </w:rPr>
              <w:t xml:space="preserve">12.软件具有对所有网络摄像机、存储服务器、网络数字矩阵画面分割器、SIP服务器远程管理设置、视频预览、OSD设置、校时、设备列表树管理、列表上传、录像文件检索、下载、回放等功能。 </w:t>
            </w:r>
            <w:r>
              <w:rPr>
                <w:rFonts w:hint="eastAsia"/>
              </w:rPr>
              <w:br w:type="textWrapping"/>
            </w:r>
            <w:r>
              <w:rPr>
                <w:rFonts w:hint="eastAsia"/>
              </w:rPr>
              <w:t>13.功能设计符合《国家教育考试网上巡查系统视频标准技术规范》JY/T-KS-JS-2017-1。</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5" w:hRule="atLeast"/>
        </w:trPr>
        <w:tc>
          <w:tcPr>
            <w:tcW w:w="704" w:type="dxa"/>
            <w:noWrap/>
            <w:vAlign w:val="center"/>
          </w:tcPr>
          <w:p>
            <w:pPr>
              <w:pStyle w:val="49"/>
            </w:pPr>
            <w:r>
              <w:rPr>
                <w:rFonts w:hint="eastAsia"/>
              </w:rPr>
              <w:t>8</w:t>
            </w:r>
          </w:p>
        </w:tc>
        <w:tc>
          <w:tcPr>
            <w:tcW w:w="851" w:type="dxa"/>
            <w:vAlign w:val="center"/>
          </w:tcPr>
          <w:p>
            <w:pPr>
              <w:pStyle w:val="49"/>
            </w:pPr>
            <w:r>
              <w:rPr>
                <w:rFonts w:hint="eastAsia"/>
              </w:rPr>
              <w:t>网络硬盘录像机</w:t>
            </w:r>
          </w:p>
        </w:tc>
        <w:tc>
          <w:tcPr>
            <w:tcW w:w="12073" w:type="dxa"/>
            <w:vAlign w:val="center"/>
          </w:tcPr>
          <w:p>
            <w:pPr>
              <w:pStyle w:val="49"/>
            </w:pPr>
            <w:r>
              <w:rPr>
                <w:rFonts w:hint="eastAsia"/>
              </w:rPr>
              <w:t>1、网络视频输入≥64路；</w:t>
            </w:r>
            <w:r>
              <w:rPr>
                <w:rFonts w:hint="eastAsia"/>
              </w:rPr>
              <w:br w:type="textWrapping"/>
            </w:r>
            <w:r>
              <w:rPr>
                <w:rFonts w:hint="eastAsia"/>
              </w:rPr>
              <w:t>2、具有录像回放及检索等功能；</w:t>
            </w:r>
            <w:r>
              <w:rPr>
                <w:rFonts w:hint="eastAsia"/>
              </w:rPr>
              <w:br w:type="textWrapping"/>
            </w:r>
            <w:r>
              <w:rPr>
                <w:rFonts w:hint="eastAsia"/>
              </w:rPr>
              <w:t>3、具有VGA输出：≥2路、HDMI输出：≥2路，RJ45≥2路，SATA接口≥8路，eSATA接口≥1路；</w:t>
            </w:r>
            <w:r>
              <w:rPr>
                <w:rFonts w:hint="eastAsia"/>
              </w:rPr>
              <w:br w:type="textWrapping"/>
            </w:r>
            <w:r>
              <w:rPr>
                <w:rFonts w:hint="eastAsia"/>
              </w:rPr>
              <w:t>4、预览分割：1/4/6/8/9/16/25/32/64画面；</w:t>
            </w:r>
            <w:r>
              <w:rPr>
                <w:rFonts w:hint="eastAsia"/>
              </w:rPr>
              <w:br w:type="textWrapping"/>
            </w:r>
            <w:r>
              <w:rPr>
                <w:rFonts w:hint="eastAsia"/>
              </w:rPr>
              <w:t>5、视频编码格式支持H.264、H.265、MPEG4编码格式，音频编码支持ACC、G.711、MPEG Layer2音频编码格式；</w:t>
            </w:r>
            <w:r>
              <w:rPr>
                <w:rFonts w:hint="eastAsia"/>
              </w:rPr>
              <w:br w:type="textWrapping"/>
            </w:r>
            <w:r>
              <w:rPr>
                <w:rFonts w:hint="eastAsia"/>
              </w:rPr>
              <w:t>6、支持TS、PS流封装格式，支持标准SIP2.0、支持SIP地址解析、信令转发、支持SIP URI 统一命名规则、分级命名；</w:t>
            </w:r>
            <w:r>
              <w:rPr>
                <w:rFonts w:hint="eastAsia"/>
              </w:rPr>
              <w:br w:type="textWrapping"/>
            </w:r>
            <w:r>
              <w:rPr>
                <w:rFonts w:hint="eastAsia"/>
              </w:rPr>
              <w:t>7、支持TCP/IP、DHCP、SIP、RTCP、PPOE等网络协议；</w:t>
            </w:r>
            <w:r>
              <w:rPr>
                <w:rFonts w:hint="eastAsia"/>
              </w:rPr>
              <w:br w:type="textWrapping"/>
            </w:r>
            <w:r>
              <w:rPr>
                <w:rFonts w:hint="eastAsia"/>
              </w:rPr>
              <w:t>8、具有数字时钟显示（OSD）功能，支持时间同步功能，支持网络时间协议（NTP）；</w:t>
            </w:r>
            <w:r>
              <w:rPr>
                <w:rFonts w:hint="eastAsia"/>
              </w:rPr>
              <w:br w:type="textWrapping"/>
            </w:r>
            <w:r>
              <w:rPr>
                <w:rFonts w:hint="eastAsia"/>
              </w:rPr>
              <w:t>9、支持硬盘配额和硬盘盘组两种存储模式，可对不同通道分配不同的录像保存容量，单块硬盘≥10TB；</w:t>
            </w:r>
            <w:r>
              <w:rPr>
                <w:rFonts w:hint="eastAsia"/>
              </w:rPr>
              <w:br w:type="textWrapping"/>
            </w:r>
            <w:r>
              <w:rPr>
                <w:rFonts w:hint="eastAsia"/>
              </w:rPr>
              <w:t>10、支持RAIDO、1、5、10；</w:t>
            </w:r>
            <w:r>
              <w:rPr>
                <w:rFonts w:hint="eastAsia"/>
              </w:rPr>
              <w:br w:type="textWrapping"/>
            </w:r>
            <w:r>
              <w:rPr>
                <w:rFonts w:hint="eastAsia"/>
              </w:rPr>
              <w:t>11、提供产品来源渠道证明文件（包括但不限于销售协议、代理协议、原厂授权）加盖公章。</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9</w:t>
            </w:r>
          </w:p>
        </w:tc>
        <w:tc>
          <w:tcPr>
            <w:tcW w:w="851" w:type="dxa"/>
            <w:vAlign w:val="center"/>
          </w:tcPr>
          <w:p>
            <w:pPr>
              <w:pStyle w:val="49"/>
            </w:pPr>
            <w:r>
              <w:rPr>
                <w:rFonts w:hint="eastAsia"/>
              </w:rPr>
              <w:t>企业级硬盘</w:t>
            </w:r>
          </w:p>
        </w:tc>
        <w:tc>
          <w:tcPr>
            <w:tcW w:w="12073" w:type="dxa"/>
            <w:vAlign w:val="center"/>
          </w:tcPr>
          <w:p>
            <w:pPr>
              <w:pStyle w:val="49"/>
            </w:pPr>
            <w:r>
              <w:rPr>
                <w:rFonts w:hint="eastAsia"/>
              </w:rPr>
              <w:t>≥4T，7200转</w:t>
            </w:r>
          </w:p>
        </w:tc>
        <w:tc>
          <w:tcPr>
            <w:tcW w:w="485" w:type="dxa"/>
            <w:noWrap/>
            <w:vAlign w:val="center"/>
          </w:tcPr>
          <w:p>
            <w:pPr>
              <w:pStyle w:val="49"/>
            </w:pPr>
            <w:r>
              <w:rPr>
                <w:rFonts w:hint="eastAsia"/>
              </w:rPr>
              <w:t>8</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10</w:t>
            </w:r>
          </w:p>
        </w:tc>
        <w:tc>
          <w:tcPr>
            <w:tcW w:w="851" w:type="dxa"/>
            <w:vAlign w:val="center"/>
          </w:tcPr>
          <w:p>
            <w:pPr>
              <w:pStyle w:val="49"/>
            </w:pPr>
            <w:r>
              <w:rPr>
                <w:rFonts w:hint="eastAsia"/>
              </w:rPr>
              <w:t>显示器</w:t>
            </w:r>
          </w:p>
        </w:tc>
        <w:tc>
          <w:tcPr>
            <w:tcW w:w="12073" w:type="dxa"/>
            <w:vAlign w:val="center"/>
          </w:tcPr>
          <w:p>
            <w:pPr>
              <w:pStyle w:val="49"/>
            </w:pPr>
            <w:r>
              <w:rPr>
                <w:rFonts w:hint="eastAsia"/>
              </w:rPr>
              <w:t>≥23寸显示器，支持HDMI或DVI输入</w:t>
            </w:r>
          </w:p>
        </w:tc>
        <w:tc>
          <w:tcPr>
            <w:tcW w:w="485" w:type="dxa"/>
            <w:noWrap/>
            <w:vAlign w:val="center"/>
          </w:tcPr>
          <w:p>
            <w:pPr>
              <w:pStyle w:val="49"/>
            </w:pPr>
            <w:r>
              <w:rPr>
                <w:rFonts w:hint="eastAsia"/>
              </w:rPr>
              <w:t>3</w:t>
            </w:r>
          </w:p>
        </w:tc>
        <w:tc>
          <w:tcPr>
            <w:tcW w:w="447"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4" w:type="dxa"/>
            <w:noWrap/>
            <w:vAlign w:val="center"/>
          </w:tcPr>
          <w:p>
            <w:pPr>
              <w:pStyle w:val="49"/>
            </w:pPr>
            <w:r>
              <w:rPr>
                <w:rFonts w:hint="eastAsia"/>
              </w:rPr>
              <w:t>11</w:t>
            </w:r>
          </w:p>
        </w:tc>
        <w:tc>
          <w:tcPr>
            <w:tcW w:w="851" w:type="dxa"/>
            <w:vAlign w:val="center"/>
          </w:tcPr>
          <w:p>
            <w:pPr>
              <w:pStyle w:val="49"/>
            </w:pPr>
            <w:r>
              <w:rPr>
                <w:rFonts w:hint="eastAsia"/>
              </w:rPr>
              <w:t>电脑桌</w:t>
            </w:r>
          </w:p>
        </w:tc>
        <w:tc>
          <w:tcPr>
            <w:tcW w:w="12073" w:type="dxa"/>
            <w:vAlign w:val="center"/>
          </w:tcPr>
          <w:p>
            <w:pPr>
              <w:pStyle w:val="49"/>
            </w:pPr>
            <w:r>
              <w:rPr>
                <w:rFonts w:hint="eastAsia"/>
              </w:rPr>
              <w:t>2机位电脑桌，选用优质环保高级中密度纤维板，并经过防虫、防腐、高温、高压处理，；密度：0.72g/cm³;E1级环保标准，甲醛释放量≤9.0mg/100mg面漆：采用环保面漆，透明度高、耐划伤、防黄变，符合国家标准；VOC≤670g/l(苯≤0.3％，甲苯、二甲苯、乙苯总和≤30％等）。</w:t>
            </w:r>
          </w:p>
        </w:tc>
        <w:tc>
          <w:tcPr>
            <w:tcW w:w="485" w:type="dxa"/>
            <w:noWrap/>
            <w:vAlign w:val="center"/>
          </w:tcPr>
          <w:p>
            <w:pPr>
              <w:pStyle w:val="49"/>
            </w:pPr>
            <w:r>
              <w:rPr>
                <w:rFonts w:hint="eastAsia"/>
              </w:rPr>
              <w:t>4</w:t>
            </w:r>
          </w:p>
        </w:tc>
        <w:tc>
          <w:tcPr>
            <w:tcW w:w="447" w:type="dxa"/>
            <w:noWrap/>
            <w:vAlign w:val="center"/>
          </w:tcPr>
          <w:p>
            <w:pPr>
              <w:pStyle w:val="49"/>
            </w:pPr>
            <w:r>
              <w:rPr>
                <w:rFonts w:hint="eastAsia"/>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4" w:type="dxa"/>
            <w:noWrap/>
            <w:vAlign w:val="center"/>
          </w:tcPr>
          <w:p>
            <w:pPr>
              <w:pStyle w:val="49"/>
            </w:pPr>
            <w:r>
              <w:rPr>
                <w:rFonts w:hint="eastAsia"/>
              </w:rPr>
              <w:t>12</w:t>
            </w:r>
          </w:p>
        </w:tc>
        <w:tc>
          <w:tcPr>
            <w:tcW w:w="851" w:type="dxa"/>
            <w:vAlign w:val="center"/>
          </w:tcPr>
          <w:p>
            <w:pPr>
              <w:pStyle w:val="49"/>
            </w:pPr>
            <w:r>
              <w:rPr>
                <w:rFonts w:hint="eastAsia"/>
              </w:rPr>
              <w:t>多画面数字分割器</w:t>
            </w:r>
          </w:p>
        </w:tc>
        <w:tc>
          <w:tcPr>
            <w:tcW w:w="12073" w:type="dxa"/>
            <w:vAlign w:val="center"/>
          </w:tcPr>
          <w:p>
            <w:pPr>
              <w:pStyle w:val="49"/>
            </w:pPr>
            <w:r>
              <w:rPr>
                <w:rFonts w:hint="eastAsia"/>
              </w:rPr>
              <w:t>1、具有≥4路HDMI输出接口；</w:t>
            </w:r>
            <w:r>
              <w:rPr>
                <w:rFonts w:hint="eastAsia"/>
              </w:rPr>
              <w:br w:type="textWrapping"/>
            </w:r>
            <w:r>
              <w:rPr>
                <w:rFonts w:hint="eastAsia"/>
              </w:rPr>
              <w:t>2、支持≥32个解码通道，解码能力支持≥32路1080P@30fps及以下分辨率；</w:t>
            </w:r>
            <w:r>
              <w:rPr>
                <w:rFonts w:hint="eastAsia"/>
              </w:rPr>
              <w:br w:type="textWrapping"/>
            </w:r>
            <w:r>
              <w:rPr>
                <w:rFonts w:hint="eastAsia"/>
              </w:rPr>
              <w:t>3、画面分割数支持1/4/6/8/9/12/16/25；</w:t>
            </w:r>
            <w:r>
              <w:rPr>
                <w:rFonts w:hint="eastAsia"/>
              </w:rPr>
              <w:br w:type="textWrapping"/>
            </w:r>
            <w:r>
              <w:rPr>
                <w:rFonts w:hint="eastAsia"/>
              </w:rPr>
              <w:t>4、支持SIP2.0协议、支持SIP地址解析、信令转发，SIP、RTP、RTCP等网络协议；</w:t>
            </w:r>
            <w:r>
              <w:rPr>
                <w:rFonts w:hint="eastAsia"/>
              </w:rPr>
              <w:br w:type="textWrapping"/>
            </w:r>
            <w:r>
              <w:rPr>
                <w:rFonts w:hint="eastAsia"/>
              </w:rPr>
              <w:t>5、具有≥20个RJ45接口，具有≥4路音频输出接口，≥1个RS232串行接口、≥1个DVI口、≥1个VGA口、≥2个RCA接口、≥2个USB接口；</w:t>
            </w:r>
            <w:r>
              <w:rPr>
                <w:rFonts w:hint="eastAsia"/>
              </w:rPr>
              <w:br w:type="textWrapping"/>
            </w:r>
            <w:r>
              <w:rPr>
                <w:rFonts w:hint="eastAsia"/>
              </w:rPr>
              <w:t>6、具有≥8路报警输入及≥8路报警输出接口；</w:t>
            </w:r>
            <w:r>
              <w:rPr>
                <w:rFonts w:hint="eastAsia"/>
              </w:rPr>
              <w:br w:type="textWrapping"/>
            </w:r>
            <w:r>
              <w:rPr>
                <w:rFonts w:hint="eastAsia"/>
              </w:rPr>
              <w:t>7、符合标准：《国家教育考试网上巡查系统视频标准技术规范》JY/T-KS-JS-2017-1。</w:t>
            </w:r>
            <w:r>
              <w:rPr>
                <w:rFonts w:hint="eastAsia"/>
              </w:rPr>
              <w:br w:type="textWrapping"/>
            </w:r>
            <w:r>
              <w:rPr>
                <w:rFonts w:hint="eastAsia"/>
              </w:rPr>
              <w:t>8、提供产品来源渠道证明文件（包括但不限于销售协议、代理协议、原厂授权）加盖公章。</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704" w:type="dxa"/>
            <w:noWrap/>
            <w:vAlign w:val="center"/>
          </w:tcPr>
          <w:p>
            <w:pPr>
              <w:pStyle w:val="49"/>
            </w:pPr>
            <w:r>
              <w:rPr>
                <w:rFonts w:hint="eastAsia"/>
              </w:rPr>
              <w:t>13</w:t>
            </w:r>
          </w:p>
        </w:tc>
        <w:tc>
          <w:tcPr>
            <w:tcW w:w="851" w:type="dxa"/>
            <w:vAlign w:val="center"/>
          </w:tcPr>
          <w:p>
            <w:pPr>
              <w:pStyle w:val="49"/>
            </w:pPr>
            <w:r>
              <w:rPr>
                <w:rFonts w:hint="eastAsia"/>
              </w:rPr>
              <w:t>UPS</w:t>
            </w:r>
          </w:p>
        </w:tc>
        <w:tc>
          <w:tcPr>
            <w:tcW w:w="12073" w:type="dxa"/>
            <w:vAlign w:val="center"/>
          </w:tcPr>
          <w:p>
            <w:pPr>
              <w:pStyle w:val="49"/>
            </w:pPr>
            <w:r>
              <w:rPr>
                <w:rFonts w:hint="eastAsia"/>
              </w:rPr>
              <w:t>采用在线UPS电源，UPS容量为≥10kVA，单套满载延时要求≥2小时；UPS主机逆变器采用三电平技术，保证可靠性的同时提高系统效率；UPS主机具有独立旁路功能，确保主路系统出现异常或故障时，旁路系统仍能正常输出，确保负载不间断供电；采用全数字化充电器，电池电压和电流可任意设置；为避免误操作，UPS的开、关机采用双键组合的形式来实现开关机；UPS主机应具有LCD显示和LED状态显示， 可以显示：输入电压/频率、输出电压/频率、有功功率、视在功率、电池节数、电池电压、电池容量百分比；输入额定电压：208Vac/220 Vac/230Vac/240Vac；输入电压可变范围：110~176Vac（50%~100%负载线性降额） 176~288Vac（不降额）；输入频率变化范围：40~70Hz；输入功率因数≥0.99；输出额定电压：208 Vac（PF=0.9）/220 Vac /230 Vac /240Vac；输出功率因数不小于1；输出波形失真度：≤1%(线性负载）；≤4%（非线性负载）；系统效率：在线模式：≥95%@100%负载，ECO 模式：≥98%；防护等级：IP20；16节100AH电池，含电池柜。</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14</w:t>
            </w:r>
          </w:p>
        </w:tc>
        <w:tc>
          <w:tcPr>
            <w:tcW w:w="851" w:type="dxa"/>
            <w:vAlign w:val="center"/>
          </w:tcPr>
          <w:p>
            <w:pPr>
              <w:pStyle w:val="49"/>
            </w:pPr>
            <w:r>
              <w:rPr>
                <w:rFonts w:hint="eastAsia"/>
              </w:rPr>
              <w:t>汇聚交换机</w:t>
            </w:r>
          </w:p>
        </w:tc>
        <w:tc>
          <w:tcPr>
            <w:tcW w:w="12073" w:type="dxa"/>
            <w:vAlign w:val="center"/>
          </w:tcPr>
          <w:p>
            <w:pPr>
              <w:pStyle w:val="49"/>
            </w:pPr>
            <w:r>
              <w:rPr>
                <w:rFonts w:hint="eastAsia"/>
              </w:rPr>
              <w:t>L3，≥24口光纤接口,≥8口光电复用</w:t>
            </w:r>
          </w:p>
        </w:tc>
        <w:tc>
          <w:tcPr>
            <w:tcW w:w="485" w:type="dxa"/>
            <w:noWrap/>
            <w:vAlign w:val="center"/>
          </w:tcPr>
          <w:p>
            <w:pPr>
              <w:pStyle w:val="49"/>
            </w:pPr>
            <w:r>
              <w:rPr>
                <w:rFonts w:hint="eastAsia"/>
              </w:rPr>
              <w:t>1</w:t>
            </w:r>
          </w:p>
        </w:tc>
        <w:tc>
          <w:tcPr>
            <w:tcW w:w="447"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15</w:t>
            </w:r>
          </w:p>
        </w:tc>
        <w:tc>
          <w:tcPr>
            <w:tcW w:w="851" w:type="dxa"/>
            <w:vAlign w:val="center"/>
          </w:tcPr>
          <w:p>
            <w:pPr>
              <w:pStyle w:val="49"/>
            </w:pPr>
            <w:r>
              <w:rPr>
                <w:rFonts w:hint="eastAsia"/>
              </w:rPr>
              <w:t>交换机</w:t>
            </w:r>
          </w:p>
        </w:tc>
        <w:tc>
          <w:tcPr>
            <w:tcW w:w="12073" w:type="dxa"/>
            <w:vAlign w:val="center"/>
          </w:tcPr>
          <w:p>
            <w:pPr>
              <w:pStyle w:val="49"/>
            </w:pPr>
            <w:r>
              <w:rPr>
                <w:rFonts w:hint="eastAsia"/>
              </w:rPr>
              <w:t>L2，交换容量≥256Gbps；≥24个10/100/1000Base-T以太网端口，≥2个1000Base-X SFP千兆以太网端口</w:t>
            </w:r>
          </w:p>
        </w:tc>
        <w:tc>
          <w:tcPr>
            <w:tcW w:w="485" w:type="dxa"/>
            <w:noWrap/>
            <w:vAlign w:val="center"/>
          </w:tcPr>
          <w:p>
            <w:pPr>
              <w:pStyle w:val="49"/>
            </w:pPr>
            <w:r>
              <w:rPr>
                <w:rFonts w:hint="eastAsia"/>
              </w:rPr>
              <w:t>3</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16</w:t>
            </w:r>
          </w:p>
        </w:tc>
        <w:tc>
          <w:tcPr>
            <w:tcW w:w="851" w:type="dxa"/>
            <w:vAlign w:val="center"/>
          </w:tcPr>
          <w:p>
            <w:pPr>
              <w:pStyle w:val="49"/>
            </w:pPr>
            <w:r>
              <w:rPr>
                <w:rFonts w:hint="eastAsia"/>
              </w:rPr>
              <w:t>单模光纤模块</w:t>
            </w:r>
          </w:p>
        </w:tc>
        <w:tc>
          <w:tcPr>
            <w:tcW w:w="12073" w:type="dxa"/>
            <w:vAlign w:val="center"/>
          </w:tcPr>
          <w:p>
            <w:pPr>
              <w:pStyle w:val="49"/>
            </w:pPr>
            <w:r>
              <w:rPr>
                <w:rFonts w:hint="eastAsia"/>
              </w:rPr>
              <w:t>光模块-SFP-GE-单模模块-（1310nm,10km,LC）</w:t>
            </w:r>
          </w:p>
        </w:tc>
        <w:tc>
          <w:tcPr>
            <w:tcW w:w="485" w:type="dxa"/>
            <w:noWrap/>
            <w:vAlign w:val="center"/>
          </w:tcPr>
          <w:p>
            <w:pPr>
              <w:pStyle w:val="49"/>
            </w:pPr>
            <w:r>
              <w:rPr>
                <w:rFonts w:hint="eastAsia"/>
              </w:rPr>
              <w:t>6</w:t>
            </w:r>
          </w:p>
        </w:tc>
        <w:tc>
          <w:tcPr>
            <w:tcW w:w="447"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17</w:t>
            </w:r>
          </w:p>
        </w:tc>
        <w:tc>
          <w:tcPr>
            <w:tcW w:w="851" w:type="dxa"/>
            <w:vAlign w:val="center"/>
          </w:tcPr>
          <w:p>
            <w:pPr>
              <w:pStyle w:val="49"/>
            </w:pPr>
            <w:r>
              <w:rPr>
                <w:rFonts w:hint="eastAsia"/>
              </w:rPr>
              <w:t>42U机柜</w:t>
            </w:r>
          </w:p>
        </w:tc>
        <w:tc>
          <w:tcPr>
            <w:tcW w:w="12073" w:type="dxa"/>
            <w:vAlign w:val="center"/>
          </w:tcPr>
          <w:p>
            <w:pPr>
              <w:pStyle w:val="49"/>
            </w:pPr>
            <w:r>
              <w:rPr>
                <w:rFonts w:hint="eastAsia"/>
              </w:rPr>
              <w:t>600*900*2000mm，隔板≥3个，≥2个8口PDU</w:t>
            </w:r>
          </w:p>
        </w:tc>
        <w:tc>
          <w:tcPr>
            <w:tcW w:w="485" w:type="dxa"/>
            <w:noWrap/>
            <w:vAlign w:val="center"/>
          </w:tcPr>
          <w:p>
            <w:pPr>
              <w:pStyle w:val="49"/>
            </w:pPr>
            <w:r>
              <w:rPr>
                <w:rFonts w:hint="eastAsia"/>
              </w:rPr>
              <w:t>1</w:t>
            </w:r>
          </w:p>
        </w:tc>
        <w:tc>
          <w:tcPr>
            <w:tcW w:w="447"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18</w:t>
            </w:r>
          </w:p>
        </w:tc>
        <w:tc>
          <w:tcPr>
            <w:tcW w:w="851" w:type="dxa"/>
            <w:vAlign w:val="center"/>
          </w:tcPr>
          <w:p>
            <w:pPr>
              <w:pStyle w:val="49"/>
            </w:pPr>
            <w:r>
              <w:rPr>
                <w:rFonts w:hint="eastAsia"/>
              </w:rPr>
              <w:t>9U机柜</w:t>
            </w:r>
          </w:p>
        </w:tc>
        <w:tc>
          <w:tcPr>
            <w:tcW w:w="12073" w:type="dxa"/>
            <w:vAlign w:val="center"/>
          </w:tcPr>
          <w:p>
            <w:pPr>
              <w:pStyle w:val="49"/>
            </w:pPr>
            <w:r>
              <w:rPr>
                <w:rFonts w:hint="eastAsia"/>
              </w:rPr>
              <w:t>9U网络机柜，1个电源插座</w:t>
            </w:r>
          </w:p>
        </w:tc>
        <w:tc>
          <w:tcPr>
            <w:tcW w:w="485" w:type="dxa"/>
            <w:noWrap/>
            <w:vAlign w:val="center"/>
          </w:tcPr>
          <w:p>
            <w:pPr>
              <w:pStyle w:val="49"/>
            </w:pPr>
            <w:r>
              <w:rPr>
                <w:rFonts w:hint="eastAsia"/>
              </w:rPr>
              <w:t>1</w:t>
            </w:r>
          </w:p>
        </w:tc>
        <w:tc>
          <w:tcPr>
            <w:tcW w:w="447"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19</w:t>
            </w:r>
          </w:p>
        </w:tc>
        <w:tc>
          <w:tcPr>
            <w:tcW w:w="851" w:type="dxa"/>
            <w:vAlign w:val="center"/>
          </w:tcPr>
          <w:p>
            <w:pPr>
              <w:pStyle w:val="49"/>
            </w:pPr>
            <w:r>
              <w:rPr>
                <w:rFonts w:hint="eastAsia"/>
              </w:rPr>
              <w:t>光纤</w:t>
            </w:r>
          </w:p>
        </w:tc>
        <w:tc>
          <w:tcPr>
            <w:tcW w:w="12073" w:type="dxa"/>
            <w:vAlign w:val="center"/>
          </w:tcPr>
          <w:p>
            <w:pPr>
              <w:pStyle w:val="49"/>
            </w:pPr>
            <w:r>
              <w:rPr>
                <w:rFonts w:hint="eastAsia"/>
              </w:rPr>
              <w:t>室外铠装单模光纤，12芯，根据现场调整数量。</w:t>
            </w:r>
          </w:p>
        </w:tc>
        <w:tc>
          <w:tcPr>
            <w:tcW w:w="485" w:type="dxa"/>
            <w:noWrap/>
            <w:vAlign w:val="center"/>
          </w:tcPr>
          <w:p>
            <w:pPr>
              <w:pStyle w:val="49"/>
            </w:pPr>
            <w:r>
              <w:rPr>
                <w:rFonts w:hint="eastAsia"/>
              </w:rPr>
              <w:t>1</w:t>
            </w:r>
          </w:p>
        </w:tc>
        <w:tc>
          <w:tcPr>
            <w:tcW w:w="447"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 w:hRule="atLeast"/>
        </w:trPr>
        <w:tc>
          <w:tcPr>
            <w:tcW w:w="704" w:type="dxa"/>
            <w:noWrap/>
            <w:vAlign w:val="center"/>
          </w:tcPr>
          <w:p>
            <w:pPr>
              <w:pStyle w:val="49"/>
            </w:pPr>
            <w:r>
              <w:rPr>
                <w:rFonts w:hint="eastAsia"/>
              </w:rPr>
              <w:t>20</w:t>
            </w:r>
          </w:p>
        </w:tc>
        <w:tc>
          <w:tcPr>
            <w:tcW w:w="851" w:type="dxa"/>
            <w:vAlign w:val="center"/>
          </w:tcPr>
          <w:p>
            <w:pPr>
              <w:pStyle w:val="49"/>
            </w:pPr>
            <w:r>
              <w:rPr>
                <w:rFonts w:hint="eastAsia"/>
              </w:rPr>
              <w:t>光纤辅料</w:t>
            </w:r>
          </w:p>
        </w:tc>
        <w:tc>
          <w:tcPr>
            <w:tcW w:w="12073" w:type="dxa"/>
            <w:vAlign w:val="center"/>
          </w:tcPr>
          <w:p>
            <w:pPr>
              <w:pStyle w:val="49"/>
            </w:pPr>
            <w:r>
              <w:rPr>
                <w:rFonts w:hint="eastAsia"/>
              </w:rPr>
              <w:t>配置机架光纤盒、耦合器、尾纤、光纤跳线</w:t>
            </w:r>
          </w:p>
        </w:tc>
        <w:tc>
          <w:tcPr>
            <w:tcW w:w="485" w:type="dxa"/>
            <w:noWrap/>
            <w:vAlign w:val="center"/>
          </w:tcPr>
          <w:p>
            <w:pPr>
              <w:pStyle w:val="49"/>
            </w:pPr>
            <w:r>
              <w:rPr>
                <w:rFonts w:hint="eastAsia"/>
              </w:rPr>
              <w:t>1</w:t>
            </w:r>
          </w:p>
        </w:tc>
        <w:tc>
          <w:tcPr>
            <w:tcW w:w="447" w:type="dxa"/>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 w:hRule="atLeast"/>
        </w:trPr>
        <w:tc>
          <w:tcPr>
            <w:tcW w:w="704" w:type="dxa"/>
            <w:noWrap/>
            <w:vAlign w:val="center"/>
          </w:tcPr>
          <w:p>
            <w:pPr>
              <w:pStyle w:val="49"/>
            </w:pPr>
            <w:r>
              <w:rPr>
                <w:rFonts w:hint="eastAsia"/>
              </w:rPr>
              <w:t>21</w:t>
            </w:r>
          </w:p>
        </w:tc>
        <w:tc>
          <w:tcPr>
            <w:tcW w:w="851" w:type="dxa"/>
            <w:vAlign w:val="center"/>
          </w:tcPr>
          <w:p>
            <w:pPr>
              <w:pStyle w:val="49"/>
            </w:pPr>
            <w:r>
              <w:rPr>
                <w:rFonts w:hint="eastAsia"/>
              </w:rPr>
              <w:t>线缆线材</w:t>
            </w:r>
          </w:p>
        </w:tc>
        <w:tc>
          <w:tcPr>
            <w:tcW w:w="12073" w:type="dxa"/>
            <w:vAlign w:val="center"/>
          </w:tcPr>
          <w:p>
            <w:pPr>
              <w:pStyle w:val="49"/>
            </w:pPr>
            <w:r>
              <w:rPr>
                <w:rFonts w:hint="eastAsia"/>
              </w:rPr>
              <w:t>电源线、六类网线、PVC槽、电源插座、电源空开等。</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628" w:type="dxa"/>
            <w:gridSpan w:val="3"/>
            <w:noWrap/>
            <w:vAlign w:val="center"/>
          </w:tcPr>
          <w:p>
            <w:pPr>
              <w:pStyle w:val="49"/>
            </w:pPr>
            <w:r>
              <w:rPr>
                <w:rFonts w:hint="eastAsia"/>
                <w:b/>
                <w:bCs w:val="0"/>
              </w:rPr>
              <w:t>二、身份验证系统</w:t>
            </w:r>
          </w:p>
        </w:tc>
        <w:tc>
          <w:tcPr>
            <w:tcW w:w="485" w:type="dxa"/>
            <w:noWrap/>
            <w:vAlign w:val="center"/>
          </w:tcPr>
          <w:p>
            <w:pPr>
              <w:pStyle w:val="49"/>
            </w:pPr>
            <w:r>
              <w:rPr>
                <w:rFonts w:hint="eastAsia"/>
              </w:rPr>
              <w:t>　</w:t>
            </w:r>
          </w:p>
        </w:tc>
        <w:tc>
          <w:tcPr>
            <w:tcW w:w="447"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5" w:hRule="atLeast"/>
        </w:trPr>
        <w:tc>
          <w:tcPr>
            <w:tcW w:w="704" w:type="dxa"/>
            <w:noWrap/>
            <w:vAlign w:val="center"/>
          </w:tcPr>
          <w:p>
            <w:pPr>
              <w:pStyle w:val="49"/>
            </w:pPr>
            <w:r>
              <w:rPr>
                <w:rFonts w:hint="eastAsia"/>
              </w:rPr>
              <w:t>1</w:t>
            </w:r>
          </w:p>
        </w:tc>
        <w:tc>
          <w:tcPr>
            <w:tcW w:w="851" w:type="dxa"/>
            <w:vAlign w:val="center"/>
          </w:tcPr>
          <w:p>
            <w:pPr>
              <w:pStyle w:val="49"/>
            </w:pPr>
            <w:r>
              <w:rPr>
                <w:rFonts w:hint="eastAsia"/>
              </w:rPr>
              <w:t>考生身份认证系统软件平台</w:t>
            </w:r>
          </w:p>
        </w:tc>
        <w:tc>
          <w:tcPr>
            <w:tcW w:w="12073" w:type="dxa"/>
            <w:vAlign w:val="center"/>
          </w:tcPr>
          <w:p>
            <w:pPr>
              <w:pStyle w:val="49"/>
            </w:pPr>
            <w:r>
              <w:rPr>
                <w:rFonts w:hint="eastAsia"/>
              </w:rPr>
              <w:t>1.用户管理：应能够对用户进行增、删、改以及用户的权限和角色划分。统一账户管理,统一授权管理，统一认证管理,统一审计管理；</w:t>
            </w:r>
            <w:r>
              <w:rPr>
                <w:rFonts w:hint="eastAsia"/>
              </w:rPr>
              <w:br w:type="textWrapping"/>
            </w:r>
            <w:r>
              <w:rPr>
                <w:rFonts w:hint="eastAsia"/>
              </w:rPr>
              <w:t>2.机构管理：应能够对各级机构进行增、删、改，可对用户进行按市、县区、考点等行政划分进行权限控制；考区编号；</w:t>
            </w:r>
            <w:r>
              <w:rPr>
                <w:rFonts w:hint="eastAsia"/>
              </w:rPr>
              <w:br w:type="textWrapping"/>
            </w:r>
            <w:r>
              <w:rPr>
                <w:rFonts w:hint="eastAsia"/>
              </w:rPr>
              <w:t>3.角色管理：应能够对系统角色的增、删、改。例如：系统管理员、用户等角色；</w:t>
            </w:r>
            <w:r>
              <w:rPr>
                <w:rFonts w:hint="eastAsia"/>
              </w:rPr>
              <w:br w:type="textWrapping"/>
            </w:r>
            <w:r>
              <w:rPr>
                <w:rFonts w:hint="eastAsia"/>
              </w:rPr>
              <w:t>4.终端管理：管理终端应能够批量设置、批量数据下发、批量更新终端版本；</w:t>
            </w:r>
            <w:r>
              <w:rPr>
                <w:rFonts w:hint="eastAsia"/>
              </w:rPr>
              <w:br w:type="textWrapping"/>
            </w:r>
            <w:r>
              <w:rPr>
                <w:rFonts w:hint="eastAsia"/>
              </w:rPr>
              <w:t>5.考试计划：应能够根据每年的考试情况，制定各场考试的考试计划，可绑定科目，身份认证终端验证时间。按设定时间计划主动上传验证结果数据；</w:t>
            </w:r>
          </w:p>
          <w:p>
            <w:pPr>
              <w:pStyle w:val="49"/>
            </w:pPr>
            <w:r>
              <w:rPr>
                <w:rFonts w:hint="eastAsia"/>
              </w:rPr>
              <w:t>6.服务器采用1U标准机架式服务器，C</w:t>
            </w:r>
            <w:r>
              <w:t xml:space="preserve">PU </w:t>
            </w:r>
            <w:r>
              <w:rPr>
                <w:rFonts w:hint="eastAsia"/>
              </w:rPr>
              <w:t>≥2.8GHz处理器，内存≥8GB，≥500GB/SATA，≥6个U</w:t>
            </w:r>
            <w:r>
              <w:t>SB</w:t>
            </w:r>
            <w:r>
              <w:rPr>
                <w:rFonts w:hint="eastAsia"/>
              </w:rPr>
              <w:t>接口，出具型号及彩页</w:t>
            </w:r>
            <w:r>
              <w:rPr>
                <w:rFonts w:hint="eastAsia"/>
              </w:rPr>
              <w:br w:type="textWrapping"/>
            </w:r>
            <w:r>
              <w:t>7</w:t>
            </w:r>
            <w:r>
              <w:rPr>
                <w:rFonts w:hint="eastAsia"/>
              </w:rPr>
              <w:t>.数据导入：应能够导入考点库、考场库、考生库、图像库、指纹库和删除相关批次等相关数据。提供数据接口供下级服务器按考点编号或考区编号下载本区域内所有考生身份数据库；</w:t>
            </w:r>
            <w:r>
              <w:rPr>
                <w:rFonts w:hint="eastAsia"/>
              </w:rPr>
              <w:br w:type="textWrapping"/>
            </w:r>
            <w:r>
              <w:t>8</w:t>
            </w:r>
            <w:r>
              <w:rPr>
                <w:rFonts w:hint="eastAsia"/>
              </w:rPr>
              <w:t>.数据打包：应能够对导入系统的考生数据进行打包，为身份认证终端下载做准备。平台数据进行加密处理,保证数据安全；</w:t>
            </w:r>
            <w:r>
              <w:rPr>
                <w:rFonts w:hint="eastAsia"/>
              </w:rPr>
              <w:br w:type="textWrapping"/>
            </w:r>
            <w:r>
              <w:t>9</w:t>
            </w:r>
            <w:r>
              <w:rPr>
                <w:rFonts w:hint="eastAsia"/>
              </w:rPr>
              <w:t>.认证结果：应能够查看考生认证数据情况。可导出excel报表，可导出dbf数据库和认证照片。导出报告。支持考务需求的各类报表打印、套打、批量打印等；</w:t>
            </w:r>
            <w:r>
              <w:rPr>
                <w:rFonts w:hint="eastAsia"/>
              </w:rPr>
              <w:br w:type="textWrapping"/>
            </w:r>
            <w:r>
              <w:t>10</w:t>
            </w:r>
            <w:r>
              <w:rPr>
                <w:rFonts w:hint="eastAsia"/>
              </w:rPr>
              <w:t>.违纪管理：应能够管理终端上传上来的违纪数据，应可导出excel报表；</w:t>
            </w:r>
            <w:r>
              <w:rPr>
                <w:rFonts w:hint="eastAsia"/>
              </w:rPr>
              <w:br w:type="textWrapping"/>
            </w:r>
            <w:r>
              <w:rPr>
                <w:rFonts w:hint="eastAsia"/>
              </w:rPr>
              <w:t>1</w:t>
            </w:r>
            <w:r>
              <w:t>1</w:t>
            </w:r>
            <w:r>
              <w:rPr>
                <w:rFonts w:hint="eastAsia"/>
              </w:rPr>
              <w:t>.缺考管理：应能够管理终端上传上来的缺考数据，应可导出excel报表；</w:t>
            </w:r>
            <w:r>
              <w:rPr>
                <w:rFonts w:hint="eastAsia"/>
              </w:rPr>
              <w:br w:type="textWrapping"/>
            </w:r>
            <w:r>
              <w:rPr>
                <w:rFonts w:hint="eastAsia"/>
              </w:rPr>
              <w:t>1</w:t>
            </w:r>
            <w:r>
              <w:t>2</w:t>
            </w:r>
            <w:r>
              <w:rPr>
                <w:rFonts w:hint="eastAsia"/>
              </w:rPr>
              <w:t>.考生入场情况：大屏总览应能够展示考生入场实时的认证数据以及对认证数据的图形分析。汇总与统计结果以报表和图表形式输出；</w:t>
            </w:r>
            <w:r>
              <w:rPr>
                <w:rFonts w:hint="eastAsia"/>
              </w:rPr>
              <w:br w:type="textWrapping"/>
            </w:r>
            <w:r>
              <w:rPr>
                <w:rFonts w:hint="eastAsia"/>
              </w:rPr>
              <w:t>1</w:t>
            </w:r>
            <w:r>
              <w:t>3</w:t>
            </w:r>
            <w:r>
              <w:rPr>
                <w:rFonts w:hint="eastAsia"/>
              </w:rPr>
              <w:t>.应可实现与中心平台的数据交互，实现考务指挥；</w:t>
            </w:r>
            <w:r>
              <w:rPr>
                <w:rFonts w:hint="eastAsia"/>
              </w:rPr>
              <w:br w:type="textWrapping"/>
            </w:r>
            <w:r>
              <w:rPr>
                <w:rFonts w:hint="eastAsia"/>
              </w:rPr>
              <w:t>1</w:t>
            </w:r>
            <w:r>
              <w:t>4</w:t>
            </w:r>
            <w:r>
              <w:rPr>
                <w:rFonts w:hint="eastAsia"/>
              </w:rPr>
              <w:t>.应可根据用户需求定制开发功能。</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04" w:type="dxa"/>
            <w:noWrap/>
            <w:vAlign w:val="center"/>
          </w:tcPr>
          <w:p>
            <w:pPr>
              <w:pStyle w:val="49"/>
            </w:pPr>
            <w:r>
              <w:rPr>
                <w:rFonts w:hint="eastAsia"/>
              </w:rPr>
              <w:t>2</w:t>
            </w:r>
          </w:p>
        </w:tc>
        <w:tc>
          <w:tcPr>
            <w:tcW w:w="851" w:type="dxa"/>
            <w:vAlign w:val="center"/>
          </w:tcPr>
          <w:p>
            <w:pPr>
              <w:pStyle w:val="49"/>
            </w:pPr>
            <w:r>
              <w:rPr>
                <w:rFonts w:hint="eastAsia"/>
              </w:rPr>
              <w:t>管理计算机</w:t>
            </w:r>
          </w:p>
        </w:tc>
        <w:tc>
          <w:tcPr>
            <w:tcW w:w="12073" w:type="dxa"/>
            <w:vAlign w:val="center"/>
          </w:tcPr>
          <w:p>
            <w:pPr>
              <w:pStyle w:val="49"/>
            </w:pPr>
            <w:r>
              <w:rPr>
                <w:rFonts w:hint="eastAsia"/>
              </w:rPr>
              <w:t>≥I7-9700 ≥8G DDRIII 2133MHz，≥128G固态硬盘，≥1TG SATA3 7200rpm， ≥2G独立显卡，≥23”显示器,USB鼠标键盘，win10</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04" w:type="dxa"/>
            <w:noWrap/>
            <w:vAlign w:val="center"/>
          </w:tcPr>
          <w:p>
            <w:pPr>
              <w:pStyle w:val="49"/>
            </w:pPr>
            <w:r>
              <w:rPr>
                <w:rFonts w:hint="eastAsia"/>
              </w:rPr>
              <w:t>3</w:t>
            </w:r>
          </w:p>
        </w:tc>
        <w:tc>
          <w:tcPr>
            <w:tcW w:w="851" w:type="dxa"/>
            <w:vAlign w:val="center"/>
          </w:tcPr>
          <w:p>
            <w:pPr>
              <w:pStyle w:val="49"/>
            </w:pPr>
            <w:r>
              <w:rPr>
                <w:rFonts w:hint="eastAsia"/>
              </w:rPr>
              <w:t>身份验证终端</w:t>
            </w:r>
          </w:p>
        </w:tc>
        <w:tc>
          <w:tcPr>
            <w:tcW w:w="12073" w:type="dxa"/>
            <w:vAlign w:val="center"/>
          </w:tcPr>
          <w:p>
            <w:pPr>
              <w:pStyle w:val="49"/>
            </w:pPr>
            <w:r>
              <w:rPr>
                <w:rFonts w:hint="eastAsia"/>
              </w:rPr>
              <w:t xml:space="preserve">1.屏幕尺寸大于等于8英寸IPS显示屏，分辨率大于等于1280*800，可触控。可视角度大于等于170°； </w:t>
            </w:r>
            <w:r>
              <w:rPr>
                <w:rFonts w:hint="eastAsia"/>
              </w:rPr>
              <w:br w:type="textWrapping"/>
            </w:r>
            <w:r>
              <w:rPr>
                <w:rFonts w:hint="eastAsia"/>
              </w:rPr>
              <w:t>2.CPU不低于4核，主频≥1.8GHz；</w:t>
            </w:r>
            <w:r>
              <w:rPr>
                <w:rFonts w:hint="eastAsia"/>
              </w:rPr>
              <w:br w:type="textWrapping"/>
            </w:r>
            <w:r>
              <w:rPr>
                <w:rFonts w:hint="eastAsia"/>
              </w:rPr>
              <w:t>3.存储：运行内存≥4GB，存储容量≥64GB；</w:t>
            </w:r>
            <w:r>
              <w:rPr>
                <w:rFonts w:hint="eastAsia"/>
              </w:rPr>
              <w:br w:type="textWrapping"/>
            </w:r>
            <w:r>
              <w:rPr>
                <w:rFonts w:hint="eastAsia"/>
              </w:rPr>
              <w:t>4.拍照模块：前置大于等于500w摄像头，具备自动聚焦功能，后置大于等于800w摄像头，且带有录像功能，能录制考生入场的视频并保存；（出具证明材料，不限于检测报告、彩页、官网截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5.为实现多种数据传输方式，终端应能够扫描并识别综合管理平台下发的二维码；（出具证明材料，不限于检测报告、彩页、官网截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6.扬声器：身份认证设备自带扬声器，能够进行语音提示，声音清晰，音量可调，最大音量≥100分贝，且能播报验证认证姓名；（出具证明材料，不限于检测报告、彩页、官网截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7.通行指示灯：具有通行颜色光源指示灯，满足在室外环境快速通行的指示要求，至少具有三种颜色指示灯分别表示通过、不通过、需复核；（出具证明材料，不限于检测报告、彩页、官网截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8.供电：采用电池供电模式时可持续使用10小时以上；</w:t>
            </w:r>
            <w:r>
              <w:rPr>
                <w:rFonts w:hint="eastAsia"/>
              </w:rPr>
              <w:br w:type="textWrapping"/>
            </w:r>
            <w:r>
              <w:rPr>
                <w:rFonts w:hint="eastAsia"/>
              </w:rPr>
              <w:t>9..联网功能：支持WiFi和以太网；</w:t>
            </w:r>
            <w:r>
              <w:rPr>
                <w:rFonts w:hint="eastAsia"/>
              </w:rPr>
              <w:br w:type="textWrapping"/>
            </w:r>
            <w:r>
              <w:rPr>
                <w:rFonts w:hint="eastAsia"/>
              </w:rPr>
              <w:t>10.二代身份证信息采集模块：可读取二代身份证信息，包括姓名、证件照片、指纹信息、证件有效期等。符合公安部《手持式居民身份证阅器》（GA 1153-2014）或符合公安部《台式居民身份证阅读器通用技术要求》（GA450-2013）；</w:t>
            </w:r>
            <w:r>
              <w:rPr>
                <w:rFonts w:hint="eastAsia"/>
              </w:rPr>
              <w:br w:type="textWrapping"/>
            </w:r>
            <w:r>
              <w:rPr>
                <w:rFonts w:hint="eastAsia"/>
              </w:rPr>
              <w:t>11.指纹采集模块：身份认证设备能够采集手指指纹信息，只对活体指纹进行识别。指纹采集器符合公安部GA/T 1011-2012《居民身份证指纹采集器通用技术要求》。</w:t>
            </w:r>
            <w:r>
              <w:rPr>
                <w:rFonts w:hint="eastAsia"/>
              </w:rPr>
              <w:br w:type="textWrapping"/>
            </w:r>
            <w:r>
              <w:rPr>
                <w:rFonts w:hint="eastAsia"/>
              </w:rPr>
              <w:t>12.人脸识别模块：可在软件界面中检测并采集人脸图像、人脸定位框可跟随人脸移动；（出具证明材料，不限于检测报告、彩页、官网截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13.人性化设计：身份证模块位于终端右下方，方便客户刷身份证。符合客户使用习惯；验证提示灯位于终端右上方，提示效果明显；</w:t>
            </w:r>
            <w:r>
              <w:rPr>
                <w:rFonts w:hint="eastAsia"/>
              </w:rPr>
              <w:br w:type="textWrapping"/>
            </w:r>
            <w:r>
              <w:rPr>
                <w:rFonts w:hint="eastAsia"/>
              </w:rPr>
              <w:t>14.补光灯：具有双LED光源补光组件，补光灯色温4500K~6500K、显色指数（Ra）不小于90；光源为LED恒定光源；（提供检测报告复印件并加盖公章）</w:t>
            </w:r>
            <w:r>
              <w:rPr>
                <w:rFonts w:hint="eastAsia"/>
              </w:rPr>
              <w:br w:type="textWrapping"/>
            </w:r>
            <w:r>
              <w:rPr>
                <w:rFonts w:hint="eastAsia"/>
              </w:rPr>
              <w:t>15.可定时备份数据，如误删除数据，可进行数据恢复；（出具证明材料，不限于检测报告、彩页、官网截</w:t>
            </w:r>
            <w:r>
              <w:rPr>
                <w:rFonts w:hint="eastAsia"/>
                <w:lang w:eastAsia="zh-CN"/>
              </w:rPr>
              <w:t>图</w:t>
            </w:r>
            <w:r>
              <w:rPr>
                <w:rFonts w:hint="eastAsia"/>
              </w:rPr>
              <w:t>复印件并加盖公章）</w:t>
            </w:r>
            <w:r>
              <w:rPr>
                <w:rFonts w:hint="eastAsia"/>
              </w:rPr>
              <w:br w:type="textWrapping"/>
            </w:r>
            <w:r>
              <w:rPr>
                <w:rFonts w:hint="eastAsia"/>
              </w:rPr>
              <w:t>16.断网重传：若身份认证系统上传认证结果时无法接入专网，身份认证系统能够将认证结果保存，待恢复联网后上传；</w:t>
            </w:r>
            <w:r>
              <w:rPr>
                <w:rFonts w:hint="eastAsia"/>
              </w:rPr>
              <w:br w:type="textWrapping"/>
            </w:r>
            <w:r>
              <w:rPr>
                <w:rFonts w:hint="eastAsia"/>
              </w:rPr>
              <w:t>17.扩展性：身份认证系统软件保证以后能够进行更新、升级，根据新的身份认证系统建设技术要求，软件做相应的调整，以连接省端的数据交换接口；</w:t>
            </w:r>
          </w:p>
          <w:p>
            <w:pPr>
              <w:pStyle w:val="49"/>
            </w:pPr>
            <w:r>
              <w:rPr>
                <w:rFonts w:hint="eastAsia"/>
              </w:rPr>
              <w:t>18.设备需符合《GA/T 1324-2017 安全防范人脸识别应用静态人脸图像采集规范》的相关要求；</w:t>
            </w:r>
            <w:r>
              <w:rPr>
                <w:rFonts w:hint="eastAsia"/>
              </w:rPr>
              <w:br w:type="textWrapping"/>
            </w:r>
            <w:r>
              <w:rPr>
                <w:rFonts w:hint="eastAsia"/>
              </w:rPr>
              <w:t>19.测温模块：测温精度标：0.1℃ ；测温范围：32-43(℃)；测量误差≤±0.3℃；测温时间＜1s；</w:t>
            </w:r>
            <w:r>
              <w:rPr>
                <w:rFonts w:hint="eastAsia"/>
              </w:rPr>
              <w:br w:type="textWrapping"/>
            </w:r>
            <w:r>
              <w:t>20</w:t>
            </w:r>
            <w:r>
              <w:rPr>
                <w:rFonts w:hint="eastAsia"/>
              </w:rPr>
              <w:t>.多种组合模式：应支持手持验证方式。支持立式支架验证方式；</w:t>
            </w:r>
          </w:p>
          <w:p>
            <w:pPr>
              <w:pStyle w:val="49"/>
            </w:pPr>
            <w:r>
              <w:rPr>
                <w:rFonts w:hint="eastAsia"/>
              </w:rPr>
              <w:t>21.提供产品来源渠道证明文件（包括但不限于销售协议、代理协议、原厂授权）加盖公章。</w:t>
            </w:r>
          </w:p>
        </w:tc>
        <w:tc>
          <w:tcPr>
            <w:tcW w:w="485" w:type="dxa"/>
            <w:noWrap/>
            <w:vAlign w:val="center"/>
          </w:tcPr>
          <w:p>
            <w:pPr>
              <w:pStyle w:val="49"/>
            </w:pPr>
            <w:r>
              <w:rPr>
                <w:rFonts w:hint="eastAsia"/>
              </w:rPr>
              <w:t>3</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851" w:type="dxa"/>
            <w:vAlign w:val="center"/>
          </w:tcPr>
          <w:p>
            <w:pPr>
              <w:pStyle w:val="49"/>
            </w:pPr>
            <w:r>
              <w:rPr>
                <w:rFonts w:hint="eastAsia"/>
              </w:rPr>
              <w:t>交换机</w:t>
            </w:r>
          </w:p>
        </w:tc>
        <w:tc>
          <w:tcPr>
            <w:tcW w:w="12073" w:type="dxa"/>
            <w:vAlign w:val="center"/>
          </w:tcPr>
          <w:p>
            <w:pPr>
              <w:pStyle w:val="49"/>
            </w:pPr>
            <w:r>
              <w:rPr>
                <w:rFonts w:hint="eastAsia"/>
              </w:rPr>
              <w:t>L2，交换容量≥256Gbps；≥24个10/100/1000Base-T以太网端口，≥2个1000Base-X SFP千兆以太网端口</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851" w:type="dxa"/>
            <w:vAlign w:val="center"/>
          </w:tcPr>
          <w:p>
            <w:pPr>
              <w:pStyle w:val="49"/>
            </w:pPr>
            <w:r>
              <w:rPr>
                <w:rFonts w:hint="eastAsia"/>
              </w:rPr>
              <w:t>单模光纤模块</w:t>
            </w:r>
          </w:p>
        </w:tc>
        <w:tc>
          <w:tcPr>
            <w:tcW w:w="12073" w:type="dxa"/>
            <w:vAlign w:val="center"/>
          </w:tcPr>
          <w:p>
            <w:pPr>
              <w:pStyle w:val="49"/>
            </w:pPr>
            <w:r>
              <w:rPr>
                <w:rFonts w:hint="eastAsia"/>
              </w:rPr>
              <w:t>光模块-SFP-GE-单模模块-（1310nm,10km,LC）</w:t>
            </w:r>
          </w:p>
        </w:tc>
        <w:tc>
          <w:tcPr>
            <w:tcW w:w="485" w:type="dxa"/>
            <w:noWrap/>
            <w:vAlign w:val="center"/>
          </w:tcPr>
          <w:p>
            <w:pPr>
              <w:pStyle w:val="49"/>
            </w:pPr>
            <w:r>
              <w:rPr>
                <w:rFonts w:hint="eastAsia"/>
              </w:rPr>
              <w:t>2</w:t>
            </w:r>
          </w:p>
        </w:tc>
        <w:tc>
          <w:tcPr>
            <w:tcW w:w="447"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851" w:type="dxa"/>
            <w:vAlign w:val="center"/>
          </w:tcPr>
          <w:p>
            <w:pPr>
              <w:pStyle w:val="49"/>
            </w:pPr>
            <w:r>
              <w:rPr>
                <w:rFonts w:hint="eastAsia"/>
              </w:rPr>
              <w:t>线缆线材</w:t>
            </w:r>
          </w:p>
        </w:tc>
        <w:tc>
          <w:tcPr>
            <w:tcW w:w="12073" w:type="dxa"/>
            <w:vAlign w:val="center"/>
          </w:tcPr>
          <w:p>
            <w:pPr>
              <w:pStyle w:val="49"/>
            </w:pPr>
            <w:r>
              <w:rPr>
                <w:rFonts w:hint="eastAsia"/>
              </w:rPr>
              <w:t>电源线、六类网线、PVC槽、电源插座、电源空开、U型槽、隔离栏。</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trPr>
        <w:tc>
          <w:tcPr>
            <w:tcW w:w="13628" w:type="dxa"/>
            <w:gridSpan w:val="3"/>
            <w:noWrap/>
            <w:vAlign w:val="center"/>
          </w:tcPr>
          <w:p>
            <w:pPr>
              <w:pStyle w:val="49"/>
            </w:pPr>
            <w:r>
              <w:rPr>
                <w:rFonts w:hint="eastAsia"/>
                <w:b/>
                <w:bCs w:val="0"/>
              </w:rPr>
              <w:t>三、无线电作弊防控系统</w:t>
            </w:r>
          </w:p>
        </w:tc>
        <w:tc>
          <w:tcPr>
            <w:tcW w:w="485" w:type="dxa"/>
            <w:noWrap/>
            <w:vAlign w:val="center"/>
          </w:tcPr>
          <w:p>
            <w:pPr>
              <w:pStyle w:val="49"/>
            </w:pPr>
            <w:r>
              <w:rPr>
                <w:rFonts w:hint="eastAsia"/>
              </w:rPr>
              <w:t>　</w:t>
            </w:r>
          </w:p>
        </w:tc>
        <w:tc>
          <w:tcPr>
            <w:tcW w:w="447" w:type="dxa"/>
            <w:noWrap/>
            <w:vAlign w:val="center"/>
          </w:tcPr>
          <w:p>
            <w:pPr>
              <w:pStyle w:val="49"/>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04" w:type="dxa"/>
            <w:noWrap/>
            <w:vAlign w:val="center"/>
          </w:tcPr>
          <w:p>
            <w:pPr>
              <w:pStyle w:val="49"/>
            </w:pPr>
            <w:r>
              <w:rPr>
                <w:rFonts w:hint="eastAsia"/>
              </w:rPr>
              <w:t>1</w:t>
            </w:r>
          </w:p>
        </w:tc>
        <w:tc>
          <w:tcPr>
            <w:tcW w:w="851" w:type="dxa"/>
            <w:vAlign w:val="center"/>
          </w:tcPr>
          <w:p>
            <w:pPr>
              <w:pStyle w:val="49"/>
            </w:pPr>
            <w:r>
              <w:rPr>
                <w:rFonts w:hint="eastAsia"/>
              </w:rPr>
              <w:t>屏蔽终端</w:t>
            </w:r>
          </w:p>
        </w:tc>
        <w:tc>
          <w:tcPr>
            <w:tcW w:w="12073" w:type="dxa"/>
            <w:vAlign w:val="center"/>
          </w:tcPr>
          <w:p>
            <w:pPr>
              <w:pStyle w:val="49"/>
            </w:pPr>
            <w:r>
              <w:rPr>
                <w:rFonts w:hint="eastAsia"/>
              </w:rPr>
              <w:t>1、 支持对2G/3G/4G/5G电信、联通、移动的全网屏蔽以及蓝牙、WiFi2.4G及5.8G的实时全屏蔽；</w:t>
            </w:r>
            <w:r>
              <w:rPr>
                <w:rFonts w:hint="eastAsia"/>
              </w:rPr>
              <w:br w:type="textWrapping"/>
            </w:r>
            <w:r>
              <w:rPr>
                <w:rFonts w:hint="eastAsia"/>
              </w:rPr>
              <w:t>2、 可有效屏蔽考场中的数传作弊设备信号，语音作弊设备信号等专业作弊设备信号；</w:t>
            </w:r>
            <w:r>
              <w:rPr>
                <w:rFonts w:hint="eastAsia"/>
              </w:rPr>
              <w:br w:type="textWrapping"/>
            </w:r>
            <w:r>
              <w:rPr>
                <w:rFonts w:hint="eastAsia"/>
              </w:rPr>
              <w:t>3、 支持对50MHz-1.6GHz频段的专业作弊设备，采用侦测引导阻断方式，支持不少于11路以上屏，固定有效阻断考场内信号强度≤-65dBm的无线电信号；</w:t>
            </w:r>
            <w:r>
              <w:rPr>
                <w:rFonts w:hint="eastAsia"/>
              </w:rPr>
              <w:br w:type="textWrapping"/>
            </w:r>
            <w:r>
              <w:rPr>
                <w:rFonts w:hint="eastAsia"/>
              </w:rPr>
              <w:t>4、 蔽信号的同时引导阻断，对作弊信号频点实现点对点的精准屏蔽，≥20路；</w:t>
            </w:r>
            <w:r>
              <w:rPr>
                <w:rFonts w:hint="eastAsia"/>
              </w:rPr>
              <w:br w:type="textWrapping"/>
            </w:r>
            <w:r>
              <w:rPr>
                <w:rFonts w:hint="eastAsia"/>
              </w:rPr>
              <w:t>5、 屏蔽以设备为中心≥10米内无线信号；</w:t>
            </w:r>
            <w:r>
              <w:rPr>
                <w:rFonts w:hint="eastAsia"/>
              </w:rPr>
              <w:br w:type="textWrapping"/>
            </w:r>
            <w:r>
              <w:rPr>
                <w:rFonts w:hint="eastAsia"/>
              </w:rPr>
              <w:t>6、 对国家公开的对讲频段采用直接屏蔽方式；</w:t>
            </w:r>
            <w:r>
              <w:rPr>
                <w:rFonts w:hint="eastAsia"/>
              </w:rPr>
              <w:br w:type="textWrapping"/>
            </w:r>
            <w:r>
              <w:rPr>
                <w:rFonts w:hint="eastAsia"/>
              </w:rPr>
              <w:t>7、 在50MHz-1.6GHz频段，仅在发现作弊信号的频点和出现时刻发射屏蔽信号，无作弊信号时不发射屏蔽信号；</w:t>
            </w:r>
            <w:r>
              <w:rPr>
                <w:rFonts w:hint="eastAsia"/>
              </w:rPr>
              <w:br w:type="textWrapping"/>
            </w:r>
            <w:r>
              <w:rPr>
                <w:rFonts w:hint="eastAsia"/>
              </w:rPr>
              <w:t>8、 在50MHz-1.6GHz频段可调节输出增益,能通过设置避免对考场周边军用、警用、航空，医疗等特殊用途的通讯的干扰；根据用户的考务工作设置的考务通讯频点，不受干扰；</w:t>
            </w:r>
            <w:r>
              <w:rPr>
                <w:rFonts w:hint="eastAsia"/>
              </w:rPr>
              <w:br w:type="textWrapping"/>
            </w:r>
            <w:r>
              <w:rPr>
                <w:rFonts w:hint="eastAsia"/>
              </w:rPr>
              <w:t>9、 具有≥2个RJ45网络接口，可接应急电话，支持TCP/IP协议和UDP广播/组播协议，具备联网能力；</w:t>
            </w:r>
            <w:r>
              <w:rPr>
                <w:rFonts w:hint="eastAsia"/>
              </w:rPr>
              <w:br w:type="textWrapping"/>
            </w:r>
            <w:r>
              <w:rPr>
                <w:rFonts w:hint="eastAsia"/>
              </w:rPr>
              <w:t>10、设备能够接受远程开关指令，实现单独或整体通道开启/关闭，设备能够根据管理平台软件设定的考试时间自动开启/关闭设备的通道；</w:t>
            </w:r>
            <w:r>
              <w:rPr>
                <w:rFonts w:hint="eastAsia"/>
              </w:rPr>
              <w:br w:type="textWrapping"/>
            </w:r>
            <w:r>
              <w:rPr>
                <w:rFonts w:hint="eastAsia"/>
              </w:rPr>
              <w:t>11、支持平台远程管理，屏蔽终端工作状态查看和管理；</w:t>
            </w:r>
            <w:r>
              <w:rPr>
                <w:rFonts w:hint="eastAsia"/>
              </w:rPr>
              <w:br w:type="textWrapping"/>
            </w:r>
            <w:r>
              <w:rPr>
                <w:rFonts w:hint="eastAsia"/>
              </w:rPr>
              <w:t>12、可以考场为单位对设备进行集中管理；设备支持远程批量固件升级；</w:t>
            </w:r>
            <w:r>
              <w:rPr>
                <w:rFonts w:hint="eastAsia"/>
              </w:rPr>
              <w:br w:type="textWrapping"/>
            </w:r>
            <w:r>
              <w:rPr>
                <w:rFonts w:hint="eastAsia"/>
              </w:rPr>
              <w:t>13、支持壁挂等多种使用场景；</w:t>
            </w:r>
            <w:r>
              <w:rPr>
                <w:rFonts w:hint="eastAsia"/>
              </w:rPr>
              <w:br w:type="textWrapping"/>
            </w:r>
            <w:r>
              <w:rPr>
                <w:rFonts w:hint="eastAsia"/>
              </w:rPr>
              <w:t>14、满足GB8702-2014《电磁环境控制限值》辐射标准要求，（包括但不限于检验报告、官网和功能截图等）</w:t>
            </w:r>
          </w:p>
        </w:tc>
        <w:tc>
          <w:tcPr>
            <w:tcW w:w="485" w:type="dxa"/>
            <w:noWrap/>
            <w:vAlign w:val="center"/>
          </w:tcPr>
          <w:p>
            <w:pPr>
              <w:pStyle w:val="49"/>
            </w:pPr>
            <w:r>
              <w:rPr>
                <w:rFonts w:hint="eastAsia"/>
              </w:rPr>
              <w:t>18</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8" w:hRule="atLeast"/>
        </w:trPr>
        <w:tc>
          <w:tcPr>
            <w:tcW w:w="704" w:type="dxa"/>
            <w:noWrap/>
            <w:vAlign w:val="center"/>
          </w:tcPr>
          <w:p>
            <w:pPr>
              <w:pStyle w:val="49"/>
            </w:pPr>
            <w:r>
              <w:rPr>
                <w:rFonts w:hint="eastAsia"/>
              </w:rPr>
              <w:t>2</w:t>
            </w:r>
          </w:p>
        </w:tc>
        <w:tc>
          <w:tcPr>
            <w:tcW w:w="851" w:type="dxa"/>
            <w:vAlign w:val="center"/>
          </w:tcPr>
          <w:p>
            <w:pPr>
              <w:pStyle w:val="49"/>
            </w:pPr>
            <w:r>
              <w:rPr>
                <w:rFonts w:hint="eastAsia"/>
              </w:rPr>
              <w:t>作弊防控系统管理平台</w:t>
            </w:r>
          </w:p>
        </w:tc>
        <w:tc>
          <w:tcPr>
            <w:tcW w:w="12073" w:type="dxa"/>
            <w:vAlign w:val="center"/>
          </w:tcPr>
          <w:p>
            <w:r>
              <w:rPr>
                <w:rFonts w:hint="eastAsia"/>
              </w:rPr>
              <w:t>符合《陕西省国家教育考试综合管理平台建设规划》（陕教考办〔2018〕4号），符合《西安市国家教育考试综合管理平台建设规划方案》（市教发〔2020〕64号）要求；可通过浏览器页面进行系统管理工作；支持对系统设备进行查询、增加、删除、远程开关、固件升级等操作；可实现对系统设备的IP地址、工作状态、教室信息、在线状态、MAC地址、版本等信息的查询和管理；可自动呈现所有作弊信号特征，包括信号类型（语音或数传)、出现时间、考试场次、出现时的频点等；管理平台对作弊信息进行数据储存和传输时支持加密处理，系统还原的作弊答案信息生成、传输、展示环节均经过加密处理，信息脱离系统后无法正常播放、显示；信号文件自动解调添加考试计划场次后，在计划场次时间范围内会自动对设备检测到的文件进行解调。在解调文件列表中可呈现所有作弊信号特征，包括信号类型（语音或数传)、出现时间、考试场次、出现时的频点等，且提供已还原的语音和数传类作弊器材发射信号内容的播放、下载功能；提供已还原的语音和数传类作弊器材发射信号内容的回放、查看、记录、查询、下载、统计功能；不影响屏蔽效果的情况下，对作弊语音信号监听内容进行保存取证；系统能实现多级级联，上级平台能够查看下级管理平台的所有信息，包括设备信息，信号统计，信号还原等信息；黑白名单库支持手工编辑、上级平台下发；实现资源共享，可预留考务通信频点，不影响正常通讯；平台支持设备信息实时显示,可直接预览查看屏蔽设备各通道的运行状态,侦测服务器在线运行情况；支持分布式网络部署架构，可根据业务需要不断扩展；当管理软件与侦测服务器无法正常工作，或网络中断时，阻断器可以独立开展工作，并可以屏蔽工作频率上的全部信号；对接综合管理平台：须能与西安市综合管理平台无缝对接，方便进行数据交换。</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04" w:type="dxa"/>
            <w:noWrap/>
            <w:vAlign w:val="center"/>
          </w:tcPr>
          <w:p>
            <w:pPr>
              <w:pStyle w:val="49"/>
            </w:pPr>
            <w:r>
              <w:rPr>
                <w:rFonts w:hint="eastAsia"/>
              </w:rPr>
              <w:t>3</w:t>
            </w:r>
          </w:p>
        </w:tc>
        <w:tc>
          <w:tcPr>
            <w:tcW w:w="851" w:type="dxa"/>
            <w:vAlign w:val="center"/>
          </w:tcPr>
          <w:p>
            <w:pPr>
              <w:pStyle w:val="49"/>
            </w:pPr>
            <w:r>
              <w:rPr>
                <w:rFonts w:hint="eastAsia"/>
              </w:rPr>
              <w:t>无线信号侦测服务器</w:t>
            </w:r>
          </w:p>
        </w:tc>
        <w:tc>
          <w:tcPr>
            <w:tcW w:w="12073" w:type="dxa"/>
            <w:vAlign w:val="center"/>
          </w:tcPr>
          <w:p>
            <w:pPr>
              <w:pStyle w:val="49"/>
            </w:pPr>
            <w:r>
              <w:rPr>
                <w:rFonts w:hint="eastAsia"/>
              </w:rPr>
              <w:t>符合《陕西省国家教育考试综合管理平台建设规划》（陕教考办〔2018〕4号）相关规范,符合《西安市国家教育考试综合管理平台建设规划方案》（市教发〔2020〕64号）要求。</w:t>
            </w:r>
            <w:r>
              <w:rPr>
                <w:rFonts w:hint="eastAsia"/>
              </w:rPr>
              <w:br w:type="textWrapping"/>
            </w:r>
            <w:r>
              <w:rPr>
                <w:rFonts w:hint="eastAsia"/>
              </w:rPr>
              <w:t>1、侦测主机：支持对40MHz~3000MHz频率范围自动进行频谱扫描，可侦测最低信号强度≤-80dbm，侦测动态范围≥70dB，能将考前合法的背景信号通过侦测扫描和外部导入等多种方式进行背景信号的学习和存储，建立黑白名单库；</w:t>
            </w:r>
            <w:r>
              <w:rPr>
                <w:rFonts w:hint="eastAsia"/>
              </w:rPr>
              <w:br w:type="textWrapping"/>
            </w:r>
            <w:r>
              <w:rPr>
                <w:rFonts w:hint="eastAsia"/>
              </w:rPr>
              <w:t>2、侦测主机可以通过网络为多个屏蔽设备提供实时的信号服务，为其提供作弊信号的特征信息；</w:t>
            </w:r>
            <w:r>
              <w:rPr>
                <w:rFonts w:hint="eastAsia"/>
              </w:rPr>
              <w:br w:type="textWrapping"/>
            </w:r>
            <w:r>
              <w:rPr>
                <w:rFonts w:hint="eastAsia"/>
              </w:rPr>
              <w:t>3、侦测主机自带液晶显示屏，用于直观显示系统信息；</w:t>
            </w:r>
            <w:r>
              <w:rPr>
                <w:rFonts w:hint="eastAsia"/>
              </w:rPr>
              <w:br w:type="textWrapping"/>
            </w:r>
            <w:r>
              <w:rPr>
                <w:rFonts w:hint="eastAsia"/>
              </w:rPr>
              <w:t>4、在没有网络的情况下也能够自动校时；</w:t>
            </w:r>
            <w:r>
              <w:rPr>
                <w:rFonts w:hint="eastAsia"/>
              </w:rPr>
              <w:br w:type="textWrapping"/>
            </w:r>
            <w:r>
              <w:rPr>
                <w:rFonts w:hint="eastAsia"/>
              </w:rPr>
              <w:t>5、设备运行支持无人值守，支持过热保护、短路保护等功能；</w:t>
            </w:r>
            <w:r>
              <w:rPr>
                <w:rFonts w:hint="eastAsia"/>
              </w:rPr>
              <w:br w:type="textWrapping"/>
            </w:r>
            <w:r>
              <w:rPr>
                <w:rFonts w:hint="eastAsia"/>
              </w:rPr>
              <w:t>6、引导阻断信号支持50MHz-1.6GHz间任意频点的作弊信号进行11路以上作弊信号引导阻断；</w:t>
            </w:r>
            <w:r>
              <w:rPr>
                <w:rFonts w:hint="eastAsia"/>
              </w:rPr>
              <w:br w:type="textWrapping"/>
            </w:r>
            <w:r>
              <w:rPr>
                <w:rFonts w:hint="eastAsia"/>
              </w:rPr>
              <w:t>7、可对50MHz-1.6GHz间各类教材作弊器材，如数传橡皮、笔、格尺等作弊信号进行有效引导屏蔽；</w:t>
            </w:r>
            <w:r>
              <w:rPr>
                <w:rFonts w:hint="eastAsia"/>
              </w:rPr>
              <w:br w:type="textWrapping"/>
            </w:r>
            <w:r>
              <w:rPr>
                <w:rFonts w:hint="eastAsia"/>
              </w:rPr>
              <w:t>8、对讲频段范围：136MHz-174MHz、400MHz-470MHz实现全时侦测阻断；</w:t>
            </w:r>
            <w:r>
              <w:rPr>
                <w:rFonts w:hint="eastAsia"/>
              </w:rPr>
              <w:br w:type="textWrapping"/>
            </w:r>
            <w:r>
              <w:rPr>
                <w:rFonts w:hint="eastAsia"/>
              </w:rPr>
              <w:t>9、侦测主机向无线屏蔽系统管理软件注册，支持背景信号学习和黑白名单库建立；</w:t>
            </w:r>
            <w:r>
              <w:rPr>
                <w:rFonts w:hint="eastAsia"/>
              </w:rPr>
              <w:br w:type="textWrapping"/>
            </w:r>
            <w:r>
              <w:rPr>
                <w:rFonts w:hint="eastAsia"/>
              </w:rPr>
              <w:t>10、支持信号特征分析和显示并对屏蔽断设备进行策略引导，能够对可疑信号进行还原取证；</w:t>
            </w:r>
            <w:r>
              <w:rPr>
                <w:rFonts w:hint="eastAsia"/>
              </w:rPr>
              <w:br w:type="textWrapping"/>
            </w:r>
            <w:r>
              <w:rPr>
                <w:rFonts w:hint="eastAsia"/>
              </w:rPr>
              <w:t>11、侦测主机与考点无线屏蔽系统管理软件采用网络连接，对侦测主机的所有操作均在无线屏蔽系统管理软件上完成。</w:t>
            </w:r>
            <w:r>
              <w:rPr>
                <w:rFonts w:hint="eastAsia"/>
              </w:rPr>
              <w:br w:type="textWrapping"/>
            </w:r>
            <w:r>
              <w:rPr>
                <w:rFonts w:hint="eastAsia"/>
              </w:rPr>
              <w:t>12、提供相应功能证明材料（包括但不限于检验报告、官网和功能截图等）</w:t>
            </w:r>
          </w:p>
        </w:tc>
        <w:tc>
          <w:tcPr>
            <w:tcW w:w="485" w:type="dxa"/>
            <w:vAlign w:val="center"/>
          </w:tcPr>
          <w:p>
            <w:pPr>
              <w:pStyle w:val="49"/>
            </w:pPr>
            <w:r>
              <w:rPr>
                <w:rFonts w:hint="eastAsia"/>
              </w:rPr>
              <w:t xml:space="preserve">1 </w:t>
            </w:r>
          </w:p>
        </w:tc>
        <w:tc>
          <w:tcPr>
            <w:tcW w:w="447" w:type="dxa"/>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4</w:t>
            </w:r>
          </w:p>
        </w:tc>
        <w:tc>
          <w:tcPr>
            <w:tcW w:w="851" w:type="dxa"/>
            <w:vAlign w:val="center"/>
          </w:tcPr>
          <w:p>
            <w:pPr>
              <w:pStyle w:val="49"/>
            </w:pPr>
            <w:r>
              <w:rPr>
                <w:rFonts w:hint="eastAsia"/>
              </w:rPr>
              <w:t>交换机</w:t>
            </w:r>
          </w:p>
        </w:tc>
        <w:tc>
          <w:tcPr>
            <w:tcW w:w="12073" w:type="dxa"/>
            <w:vAlign w:val="center"/>
          </w:tcPr>
          <w:p>
            <w:pPr>
              <w:pStyle w:val="49"/>
            </w:pPr>
            <w:r>
              <w:rPr>
                <w:rFonts w:hint="eastAsia"/>
              </w:rPr>
              <w:t>L2，交换容量≥256Gbps；≥24个10/100/1000Base-T以太网端口，≥2个1000Base-X SFP千兆以太网端口</w:t>
            </w:r>
          </w:p>
        </w:tc>
        <w:tc>
          <w:tcPr>
            <w:tcW w:w="485" w:type="dxa"/>
            <w:noWrap/>
            <w:vAlign w:val="center"/>
          </w:tcPr>
          <w:p>
            <w:pPr>
              <w:pStyle w:val="49"/>
            </w:pPr>
            <w:r>
              <w:rPr>
                <w:rFonts w:hint="eastAsia"/>
              </w:rPr>
              <w:t>1</w:t>
            </w:r>
          </w:p>
        </w:tc>
        <w:tc>
          <w:tcPr>
            <w:tcW w:w="447" w:type="dxa"/>
            <w:noWrap/>
            <w:vAlign w:val="center"/>
          </w:tcPr>
          <w:p>
            <w:pPr>
              <w:pStyle w:val="49"/>
            </w:pPr>
            <w:r>
              <w:rPr>
                <w:rFonts w:hint="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5</w:t>
            </w:r>
          </w:p>
        </w:tc>
        <w:tc>
          <w:tcPr>
            <w:tcW w:w="851" w:type="dxa"/>
            <w:vAlign w:val="center"/>
          </w:tcPr>
          <w:p>
            <w:pPr>
              <w:pStyle w:val="49"/>
            </w:pPr>
            <w:r>
              <w:rPr>
                <w:rFonts w:hint="eastAsia"/>
              </w:rPr>
              <w:t>单模光纤模块</w:t>
            </w:r>
          </w:p>
        </w:tc>
        <w:tc>
          <w:tcPr>
            <w:tcW w:w="12073" w:type="dxa"/>
            <w:vAlign w:val="center"/>
          </w:tcPr>
          <w:p>
            <w:pPr>
              <w:pStyle w:val="49"/>
            </w:pPr>
            <w:r>
              <w:rPr>
                <w:rFonts w:hint="eastAsia"/>
              </w:rPr>
              <w:t>光模块-SFP-GE-单模模块-（1310nm,10km,LC）</w:t>
            </w:r>
          </w:p>
        </w:tc>
        <w:tc>
          <w:tcPr>
            <w:tcW w:w="485" w:type="dxa"/>
            <w:vAlign w:val="center"/>
          </w:tcPr>
          <w:p>
            <w:pPr>
              <w:pStyle w:val="49"/>
            </w:pPr>
            <w:r>
              <w:rPr>
                <w:rFonts w:hint="eastAsia"/>
              </w:rPr>
              <w:t xml:space="preserve">2 </w:t>
            </w:r>
          </w:p>
        </w:tc>
        <w:tc>
          <w:tcPr>
            <w:tcW w:w="447" w:type="dxa"/>
            <w:vAlign w:val="center"/>
          </w:tcPr>
          <w:p>
            <w:pPr>
              <w:pStyle w:val="49"/>
            </w:pPr>
            <w:r>
              <w:rPr>
                <w:rFonts w:hint="eastAsia"/>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704" w:type="dxa"/>
            <w:noWrap/>
            <w:vAlign w:val="center"/>
          </w:tcPr>
          <w:p>
            <w:pPr>
              <w:pStyle w:val="49"/>
            </w:pPr>
            <w:r>
              <w:rPr>
                <w:rFonts w:hint="eastAsia"/>
              </w:rPr>
              <w:t>6</w:t>
            </w:r>
          </w:p>
        </w:tc>
        <w:tc>
          <w:tcPr>
            <w:tcW w:w="851" w:type="dxa"/>
            <w:vAlign w:val="center"/>
          </w:tcPr>
          <w:p>
            <w:pPr>
              <w:pStyle w:val="49"/>
            </w:pPr>
            <w:r>
              <w:rPr>
                <w:rFonts w:hint="eastAsia"/>
              </w:rPr>
              <w:t>线缆线材</w:t>
            </w:r>
          </w:p>
        </w:tc>
        <w:tc>
          <w:tcPr>
            <w:tcW w:w="12073" w:type="dxa"/>
            <w:vAlign w:val="center"/>
          </w:tcPr>
          <w:p>
            <w:pPr>
              <w:pStyle w:val="49"/>
            </w:pPr>
            <w:r>
              <w:rPr>
                <w:rFonts w:hint="eastAsia"/>
              </w:rPr>
              <w:t>电源线、六类网线、PVC槽、电源插座、电源空开等。</w:t>
            </w:r>
          </w:p>
        </w:tc>
        <w:tc>
          <w:tcPr>
            <w:tcW w:w="485" w:type="dxa"/>
            <w:noWrap/>
            <w:vAlign w:val="center"/>
          </w:tcPr>
          <w:p>
            <w:pPr>
              <w:pStyle w:val="49"/>
            </w:pPr>
            <w:r>
              <w:rPr>
                <w:rFonts w:hint="eastAsia"/>
              </w:rPr>
              <w:t xml:space="preserve">1 </w:t>
            </w:r>
          </w:p>
        </w:tc>
        <w:tc>
          <w:tcPr>
            <w:tcW w:w="447" w:type="dxa"/>
            <w:noWrap/>
            <w:vAlign w:val="center"/>
          </w:tcPr>
          <w:p>
            <w:pPr>
              <w:pStyle w:val="49"/>
            </w:pPr>
            <w:r>
              <w:rPr>
                <w:rFonts w:hint="eastAsia"/>
              </w:rPr>
              <w:t>批</w:t>
            </w:r>
          </w:p>
        </w:tc>
      </w:tr>
    </w:tbl>
    <w:p/>
    <w:p>
      <w:pPr>
        <w:widowControl/>
        <w:ind w:firstLine="480" w:firstLineChars="200"/>
        <w:jc w:val="left"/>
        <w:rPr>
          <w:rFonts w:asciiTheme="majorHAnsi" w:hAnsiTheme="majorHAnsi" w:cstheme="majorBidi"/>
          <w:b/>
          <w:bCs/>
          <w:sz w:val="32"/>
          <w:szCs w:val="32"/>
        </w:rPr>
      </w:pPr>
      <w:r>
        <w:rPr>
          <w:rFonts w:hint="eastAsia"/>
          <w:b/>
          <w:sz w:val="24"/>
        </w:rPr>
        <w:t>核心设备：高清网络半球摄像机、考生身份认证系统软件平台、身份验证终端。</w:t>
      </w:r>
      <w:r>
        <w:br w:type="page"/>
      </w:r>
    </w:p>
    <w:p>
      <w:pPr>
        <w:pStyle w:val="15"/>
        <w:spacing w:line="360" w:lineRule="auto"/>
        <w:ind w:firstLine="480" w:firstLineChars="200"/>
        <w:rPr>
          <w:rFonts w:cs="宋体"/>
          <w:kern w:val="0"/>
          <w:sz w:val="24"/>
          <w:szCs w:val="24"/>
        </w:rPr>
      </w:pPr>
      <w:r>
        <w:rPr>
          <w:rFonts w:hint="eastAsia" w:cs="宋体"/>
          <w:kern w:val="0"/>
          <w:sz w:val="24"/>
          <w:szCs w:val="24"/>
        </w:rPr>
        <w:t>二、商务要求</w:t>
      </w:r>
    </w:p>
    <w:p>
      <w:pPr>
        <w:pStyle w:val="15"/>
        <w:spacing w:line="360" w:lineRule="auto"/>
        <w:ind w:firstLine="440" w:firstLineChars="200"/>
        <w:rPr>
          <w:rFonts w:cs="宋体"/>
          <w:kern w:val="0"/>
          <w:sz w:val="22"/>
        </w:rPr>
      </w:pPr>
      <w:r>
        <w:rPr>
          <w:rFonts w:hint="eastAsia" w:cs="宋体"/>
          <w:kern w:val="0"/>
          <w:sz w:val="22"/>
        </w:rPr>
        <w:t>质保期6年，从设备安装调试完，经采购人验收合格后起算质保期对所供产品提供6年质保；在每年的高考、中考、学业水平考试、教师资格考试、成考、自考等重大考试时，提前15天安排专业技术人员对所有设备进行检修，对故障设备采取换修服务，确保在考试中所有设备正常运行，并在考试过程中进行现场维护保障。）；</w:t>
      </w:r>
    </w:p>
    <w:p>
      <w:pPr>
        <w:pStyle w:val="15"/>
        <w:spacing w:line="360" w:lineRule="auto"/>
        <w:ind w:firstLine="440" w:firstLineChars="200"/>
        <w:rPr>
          <w:rFonts w:cs="宋体"/>
          <w:kern w:val="0"/>
          <w:sz w:val="22"/>
        </w:rPr>
      </w:pPr>
      <w:r>
        <w:rPr>
          <w:rFonts w:hint="eastAsia" w:cs="宋体"/>
          <w:kern w:val="0"/>
          <w:sz w:val="22"/>
        </w:rPr>
        <w:t>所有设备由供方免费安装调试；</w:t>
      </w:r>
    </w:p>
    <w:p>
      <w:pPr>
        <w:pStyle w:val="15"/>
        <w:spacing w:line="360" w:lineRule="auto"/>
        <w:ind w:firstLine="440" w:firstLineChars="200"/>
        <w:rPr>
          <w:rFonts w:cs="宋体"/>
          <w:kern w:val="0"/>
          <w:sz w:val="22"/>
        </w:rPr>
      </w:pPr>
      <w:r>
        <w:rPr>
          <w:rFonts w:hint="eastAsia" w:cs="宋体"/>
          <w:kern w:val="0"/>
          <w:sz w:val="22"/>
        </w:rPr>
        <w:t>免费对设备使用人员进行培训、技术指导，并有培训计划、培训方式、课程安排情况等；</w:t>
      </w:r>
    </w:p>
    <w:p>
      <w:pPr>
        <w:pStyle w:val="15"/>
        <w:spacing w:line="360" w:lineRule="auto"/>
        <w:ind w:firstLine="440" w:firstLineChars="200"/>
        <w:rPr>
          <w:rFonts w:cs="宋体"/>
          <w:kern w:val="0"/>
          <w:sz w:val="22"/>
        </w:rPr>
      </w:pPr>
      <w:r>
        <w:rPr>
          <w:rFonts w:hint="eastAsia" w:cs="宋体"/>
          <w:kern w:val="0"/>
          <w:sz w:val="22"/>
        </w:rPr>
        <w:t>质保期内免费对设备进行定期维护，并注明维护范围和间隔时长；免费维修，包括各种部件及配件的更换。</w:t>
      </w:r>
    </w:p>
    <w:p>
      <w:pPr>
        <w:spacing w:line="400" w:lineRule="exact"/>
        <w:ind w:firstLine="480" w:firstLineChars="200"/>
        <w:jc w:val="left"/>
        <w:rPr>
          <w:rFonts w:cs="Arial"/>
          <w:b/>
          <w:bCs/>
          <w:sz w:val="24"/>
        </w:rPr>
        <w:sectPr>
          <w:pgSz w:w="16838" w:h="11906" w:orient="landscape"/>
          <w:pgMar w:top="1304" w:right="1134" w:bottom="1304" w:left="1134" w:header="851" w:footer="851" w:gutter="0"/>
          <w:cols w:space="720" w:num="1"/>
          <w:titlePg/>
          <w:docGrid w:type="linesAndChars" w:linePitch="312" w:charSpace="0"/>
        </w:sectPr>
      </w:pPr>
      <w:r>
        <w:rPr>
          <w:rFonts w:cs="Arial"/>
          <w:b/>
          <w:bCs/>
          <w:sz w:val="24"/>
        </w:rPr>
        <w:t>备注: 采购代理机构和采购人在技术要求中指出的设备的标准以及参照的分类号仅起说明作用，并没有任何限制性。投标人在投标中可以选用替代标准，但这些替代要实质上相当于或优于技术规格的要求</w:t>
      </w:r>
      <w:r>
        <w:rPr>
          <w:rFonts w:hint="eastAsia" w:cs="Arial"/>
          <w:b/>
          <w:bCs/>
          <w:sz w:val="24"/>
        </w:rPr>
        <w:t>。</w:t>
      </w:r>
    </w:p>
    <w:p>
      <w:pPr>
        <w:rPr>
          <w:rFonts w:ascii="宋体" w:hAnsi="宋体" w:cs="宋体"/>
          <w:sz w:val="36"/>
          <w:szCs w:val="36"/>
        </w:rPr>
      </w:pPr>
    </w:p>
    <w:p>
      <w:pPr>
        <w:pStyle w:val="3"/>
        <w:jc w:val="center"/>
        <w:rPr>
          <w:bCs w:val="0"/>
        </w:rPr>
      </w:pPr>
      <w:r>
        <w:rPr>
          <w:rFonts w:hint="eastAsia" w:ascii="宋体" w:hAnsi="宋体" w:cs="宋体"/>
          <w:sz w:val="36"/>
          <w:szCs w:val="36"/>
        </w:rPr>
        <w:t>第五章 合同主要条款</w:t>
      </w:r>
    </w:p>
    <w:p>
      <w:pPr>
        <w:spacing w:line="480" w:lineRule="auto"/>
        <w:jc w:val="center"/>
        <w:rPr>
          <w:rFonts w:ascii="宋体" w:hAnsi="宋体"/>
          <w:b/>
          <w:bCs/>
          <w:sz w:val="44"/>
          <w:szCs w:val="36"/>
        </w:rPr>
      </w:pPr>
    </w:p>
    <w:p>
      <w:pPr>
        <w:spacing w:line="480" w:lineRule="auto"/>
        <w:jc w:val="center"/>
        <w:rPr>
          <w:rFonts w:ascii="宋体" w:hAnsi="宋体"/>
          <w:b/>
          <w:bCs/>
          <w:sz w:val="44"/>
          <w:szCs w:val="36"/>
        </w:rPr>
      </w:pPr>
    </w:p>
    <w:p>
      <w:pPr>
        <w:spacing w:line="480" w:lineRule="auto"/>
        <w:jc w:val="center"/>
        <w:rPr>
          <w:rFonts w:ascii="宋体" w:hAnsi="宋体"/>
          <w:b/>
          <w:sz w:val="44"/>
          <w:szCs w:val="36"/>
        </w:rPr>
      </w:pPr>
    </w:p>
    <w:p>
      <w:pPr>
        <w:spacing w:line="480" w:lineRule="auto"/>
        <w:jc w:val="center"/>
        <w:rPr>
          <w:rFonts w:ascii="宋体" w:hAnsi="宋体"/>
          <w:b/>
          <w:sz w:val="44"/>
          <w:szCs w:val="36"/>
        </w:rPr>
      </w:pPr>
      <w:r>
        <w:rPr>
          <w:rFonts w:ascii="宋体" w:hAnsi="宋体"/>
          <w:b/>
          <w:sz w:val="44"/>
          <w:szCs w:val="36"/>
        </w:rPr>
        <w:t>合作协议模板</w:t>
      </w:r>
    </w:p>
    <w:p>
      <w:pPr>
        <w:jc w:val="center"/>
        <w:rPr>
          <w:rFonts w:ascii="宋体" w:hAnsi="宋体"/>
          <w:b/>
          <w:sz w:val="44"/>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ascii="宋体" w:hAnsi="宋体"/>
          <w:b/>
          <w:sz w:val="30"/>
          <w:szCs w:val="30"/>
        </w:rPr>
        <w:t>20</w:t>
      </w:r>
      <w:r>
        <w:rPr>
          <w:rFonts w:hint="eastAsia" w:ascii="宋体" w:hAnsi="宋体"/>
          <w:b/>
          <w:sz w:val="30"/>
          <w:szCs w:val="30"/>
        </w:rPr>
        <w:t>21</w:t>
      </w:r>
      <w:r>
        <w:rPr>
          <w:rFonts w:ascii="宋体" w:hAnsi="宋体"/>
          <w:b/>
          <w:sz w:val="30"/>
          <w:szCs w:val="30"/>
        </w:rPr>
        <w:t>年  月</w:t>
      </w:r>
    </w:p>
    <w:p>
      <w:pPr>
        <w:spacing w:line="360" w:lineRule="auto"/>
        <w:rPr>
          <w:rFonts w:ascii="宋体" w:hAnsi="宋体"/>
          <w:b/>
          <w:color w:val="000000"/>
          <w:sz w:val="24"/>
        </w:rPr>
      </w:pPr>
      <w:r>
        <w:rPr>
          <w:rFonts w:ascii="宋体" w:hAnsi="宋体"/>
          <w:sz w:val="28"/>
          <w:szCs w:val="28"/>
        </w:rPr>
        <w:br w:type="page"/>
      </w:r>
      <w:r>
        <w:rPr>
          <w:rFonts w:ascii="宋体" w:hAnsi="宋体"/>
          <w:b/>
          <w:bCs/>
          <w:color w:val="000000"/>
          <w:sz w:val="24"/>
        </w:rPr>
        <w:t>甲    方：</w:t>
      </w:r>
    </w:p>
    <w:p>
      <w:pPr>
        <w:spacing w:line="360" w:lineRule="auto"/>
        <w:rPr>
          <w:rFonts w:ascii="宋体" w:hAnsi="宋体"/>
          <w:b/>
          <w:color w:val="000000"/>
          <w:sz w:val="24"/>
        </w:rPr>
      </w:pPr>
      <w:r>
        <w:rPr>
          <w:rFonts w:ascii="宋体" w:hAnsi="宋体"/>
          <w:b/>
          <w:bCs/>
          <w:color w:val="000000"/>
          <w:sz w:val="24"/>
        </w:rPr>
        <w:t>乙    方：</w:t>
      </w:r>
    </w:p>
    <w:p>
      <w:pPr>
        <w:spacing w:line="360" w:lineRule="auto"/>
        <w:ind w:firstLine="480" w:firstLineChars="200"/>
        <w:rPr>
          <w:rFonts w:ascii="宋体" w:hAnsi="宋体"/>
          <w:color w:val="000000"/>
          <w:sz w:val="24"/>
        </w:rPr>
      </w:pPr>
      <w:r>
        <w:rPr>
          <w:rFonts w:ascii="宋体" w:hAnsi="宋体"/>
          <w:color w:val="000000"/>
          <w:sz w:val="24"/>
        </w:rPr>
        <w:t>甲方就采购所需，按照政府采购程序组织公开招标采购，确定乙方为中标供应商。依据《中华人民共和国政府采购法》、《中华人民共和国招标投标法》、《中华人民共和国合同法》以及招标文件、中标供应商招标文件正本和澄清表（函）、中标通知书，经甲、乙双方协商，达成如下条款。</w:t>
      </w:r>
    </w:p>
    <w:p>
      <w:pPr>
        <w:spacing w:line="360" w:lineRule="auto"/>
        <w:rPr>
          <w:rFonts w:ascii="宋体" w:hAnsi="宋体"/>
          <w:b/>
          <w:bCs/>
          <w:color w:val="000000"/>
          <w:sz w:val="24"/>
        </w:rPr>
      </w:pPr>
      <w:r>
        <w:rPr>
          <w:rFonts w:ascii="宋体" w:hAnsi="宋体"/>
          <w:b/>
          <w:bCs/>
          <w:color w:val="000000"/>
          <w:sz w:val="24"/>
        </w:rPr>
        <w:t>一、项目概况</w:t>
      </w:r>
    </w:p>
    <w:p>
      <w:pPr>
        <w:spacing w:line="360" w:lineRule="auto"/>
        <w:rPr>
          <w:rFonts w:ascii="宋体" w:hAnsi="宋体"/>
          <w:color w:val="000000"/>
          <w:sz w:val="24"/>
        </w:rPr>
      </w:pPr>
      <w:r>
        <w:rPr>
          <w:rFonts w:ascii="宋体" w:hAnsi="宋体"/>
          <w:color w:val="000000"/>
          <w:sz w:val="24"/>
        </w:rPr>
        <w:t>1、项目名称：</w:t>
      </w:r>
    </w:p>
    <w:p>
      <w:pPr>
        <w:spacing w:line="360" w:lineRule="auto"/>
        <w:rPr>
          <w:rFonts w:ascii="宋体" w:hAnsi="宋体"/>
          <w:bCs/>
          <w:sz w:val="24"/>
        </w:rPr>
      </w:pPr>
      <w:r>
        <w:rPr>
          <w:rFonts w:ascii="宋体" w:hAnsi="宋体"/>
          <w:color w:val="000000"/>
          <w:sz w:val="24"/>
        </w:rPr>
        <w:t>2、内    容：</w:t>
      </w:r>
    </w:p>
    <w:p>
      <w:pPr>
        <w:spacing w:line="360" w:lineRule="auto"/>
        <w:ind w:firstLine="480" w:firstLineChars="200"/>
        <w:rPr>
          <w:rFonts w:ascii="宋体" w:hAnsi="宋体"/>
          <w:color w:val="000000"/>
          <w:sz w:val="24"/>
        </w:rPr>
      </w:pPr>
      <w:r>
        <w:rPr>
          <w:rFonts w:ascii="宋体" w:hAnsi="宋体"/>
          <w:color w:val="000000"/>
          <w:sz w:val="24"/>
        </w:rPr>
        <w:t>详见附件：招标内容及要求</w:t>
      </w:r>
    </w:p>
    <w:p>
      <w:pPr>
        <w:numPr>
          <w:ilvl w:val="0"/>
          <w:numId w:val="4"/>
        </w:numPr>
        <w:spacing w:line="360" w:lineRule="auto"/>
        <w:rPr>
          <w:rFonts w:ascii="宋体" w:hAnsi="宋体"/>
          <w:color w:val="000000"/>
          <w:sz w:val="24"/>
        </w:rPr>
      </w:pPr>
      <w:r>
        <w:rPr>
          <w:rFonts w:ascii="宋体" w:hAnsi="宋体"/>
          <w:color w:val="000000"/>
          <w:sz w:val="24"/>
        </w:rPr>
        <w:t>服务时间：。</w:t>
      </w:r>
    </w:p>
    <w:p>
      <w:pPr>
        <w:spacing w:line="360" w:lineRule="auto"/>
        <w:rPr>
          <w:rFonts w:ascii="宋体" w:hAnsi="宋体"/>
          <w:color w:val="000000"/>
          <w:sz w:val="24"/>
        </w:rPr>
      </w:pPr>
      <w:r>
        <w:rPr>
          <w:rFonts w:hint="eastAsia" w:ascii="宋体" w:hAnsi="宋体"/>
          <w:color w:val="000000"/>
          <w:sz w:val="24"/>
        </w:rPr>
        <w:t>4、服务内容：</w:t>
      </w:r>
    </w:p>
    <w:p>
      <w:pPr>
        <w:spacing w:line="360" w:lineRule="auto"/>
        <w:rPr>
          <w:rFonts w:ascii="宋体" w:hAnsi="宋体"/>
          <w:b/>
          <w:bCs/>
          <w:color w:val="000000"/>
          <w:sz w:val="24"/>
        </w:rPr>
      </w:pPr>
      <w:r>
        <w:rPr>
          <w:rFonts w:ascii="宋体" w:hAnsi="宋体"/>
          <w:b/>
          <w:bCs/>
          <w:color w:val="000000"/>
          <w:sz w:val="24"/>
        </w:rPr>
        <w:t>二、甲方的权利与义务</w:t>
      </w:r>
    </w:p>
    <w:p>
      <w:pPr>
        <w:spacing w:line="360" w:lineRule="auto"/>
        <w:ind w:firstLine="480" w:firstLineChars="200"/>
        <w:rPr>
          <w:rFonts w:ascii="宋体" w:hAnsi="宋体"/>
          <w:bCs/>
          <w:sz w:val="24"/>
        </w:rPr>
      </w:pPr>
      <w:r>
        <w:rPr>
          <w:rFonts w:ascii="宋体" w:hAnsi="宋体"/>
          <w:color w:val="000000"/>
          <w:sz w:val="24"/>
        </w:rPr>
        <w:t>1、甲方协助乙方做好</w:t>
      </w:r>
      <w:r>
        <w:rPr>
          <w:rFonts w:ascii="宋体" w:hAnsi="宋体"/>
          <w:bCs/>
          <w:sz w:val="24"/>
        </w:rPr>
        <w:t>本项目</w:t>
      </w:r>
      <w:r>
        <w:rPr>
          <w:rFonts w:ascii="宋体" w:hAnsi="宋体"/>
          <w:color w:val="000000"/>
          <w:sz w:val="24"/>
        </w:rPr>
        <w:t>准备工作，包括前期的组织、协调工作；</w:t>
      </w:r>
    </w:p>
    <w:p>
      <w:pPr>
        <w:spacing w:line="360" w:lineRule="auto"/>
        <w:ind w:firstLine="480" w:firstLineChars="200"/>
        <w:rPr>
          <w:rFonts w:ascii="宋体" w:hAnsi="宋体"/>
          <w:color w:val="000000"/>
          <w:sz w:val="24"/>
        </w:rPr>
      </w:pPr>
      <w:r>
        <w:rPr>
          <w:rFonts w:ascii="宋体" w:hAnsi="宋体"/>
          <w:color w:val="000000"/>
          <w:sz w:val="24"/>
        </w:rPr>
        <w:t>2、甲方应按照国家法律、法规的规定及本合同的约定编制规划，为乙方的工作提供方便。</w:t>
      </w:r>
    </w:p>
    <w:p>
      <w:pPr>
        <w:spacing w:line="360" w:lineRule="auto"/>
        <w:ind w:firstLine="480" w:firstLineChars="200"/>
        <w:rPr>
          <w:rFonts w:ascii="宋体" w:hAnsi="宋体"/>
          <w:color w:val="000000"/>
          <w:sz w:val="24"/>
        </w:rPr>
      </w:pPr>
      <w:r>
        <w:rPr>
          <w:rFonts w:ascii="宋体" w:hAnsi="宋体"/>
          <w:color w:val="000000"/>
          <w:sz w:val="24"/>
        </w:rPr>
        <w:t>3、甲方应按照合同要求，向乙方及时支付费用。</w:t>
      </w:r>
    </w:p>
    <w:p>
      <w:pPr>
        <w:spacing w:line="360" w:lineRule="auto"/>
        <w:rPr>
          <w:rFonts w:ascii="宋体" w:hAnsi="宋体"/>
          <w:b/>
          <w:bCs/>
          <w:color w:val="000000"/>
          <w:sz w:val="24"/>
        </w:rPr>
      </w:pPr>
      <w:r>
        <w:rPr>
          <w:rFonts w:ascii="宋体" w:hAnsi="宋体"/>
          <w:b/>
          <w:bCs/>
          <w:color w:val="000000"/>
          <w:sz w:val="24"/>
        </w:rPr>
        <w:t>三、乙方的权利与义务</w:t>
      </w:r>
    </w:p>
    <w:p>
      <w:pPr>
        <w:spacing w:line="360" w:lineRule="auto"/>
        <w:ind w:firstLine="480" w:firstLineChars="200"/>
        <w:rPr>
          <w:rFonts w:ascii="宋体" w:hAnsi="宋体"/>
          <w:color w:val="000000"/>
          <w:sz w:val="24"/>
        </w:rPr>
      </w:pPr>
      <w:r>
        <w:rPr>
          <w:rFonts w:ascii="宋体" w:hAnsi="宋体"/>
          <w:color w:val="000000"/>
          <w:sz w:val="24"/>
        </w:rPr>
        <w:t xml:space="preserve">1、从项目开始至项目结束，乙方应确保项目质量达到合格标准。 </w:t>
      </w:r>
    </w:p>
    <w:p>
      <w:pPr>
        <w:spacing w:line="360" w:lineRule="auto"/>
        <w:ind w:firstLine="480" w:firstLineChars="200"/>
        <w:rPr>
          <w:rFonts w:ascii="宋体" w:hAnsi="宋体"/>
          <w:color w:val="000000"/>
          <w:sz w:val="24"/>
        </w:rPr>
      </w:pPr>
      <w:r>
        <w:rPr>
          <w:rFonts w:ascii="宋体" w:hAnsi="宋体"/>
          <w:color w:val="000000"/>
          <w:sz w:val="24"/>
        </w:rPr>
        <w:t>2、乙方有义务向甲方提供进度安排，如因客观原因进度需要变更，乙方必须提前通知甲方。</w:t>
      </w:r>
    </w:p>
    <w:p>
      <w:pPr>
        <w:spacing w:line="360" w:lineRule="auto"/>
        <w:rPr>
          <w:rFonts w:ascii="宋体" w:hAnsi="宋体"/>
          <w:b/>
          <w:bCs/>
          <w:color w:val="000000"/>
          <w:sz w:val="24"/>
        </w:rPr>
      </w:pPr>
      <w:r>
        <w:rPr>
          <w:rFonts w:ascii="宋体" w:hAnsi="宋体"/>
          <w:b/>
          <w:bCs/>
          <w:color w:val="000000"/>
          <w:sz w:val="24"/>
        </w:rPr>
        <w:t>四、进度管理</w:t>
      </w:r>
    </w:p>
    <w:p>
      <w:pPr>
        <w:tabs>
          <w:tab w:val="left" w:pos="567"/>
        </w:tabs>
        <w:spacing w:line="360" w:lineRule="auto"/>
        <w:ind w:firstLine="480" w:firstLineChars="200"/>
        <w:rPr>
          <w:rFonts w:ascii="宋体" w:hAnsi="宋体"/>
          <w:color w:val="000000"/>
          <w:sz w:val="24"/>
        </w:rPr>
      </w:pPr>
      <w:r>
        <w:rPr>
          <w:rFonts w:ascii="宋体" w:hAnsi="宋体"/>
          <w:color w:val="000000"/>
          <w:sz w:val="24"/>
        </w:rPr>
        <w:t>1、乙方应定期向甲方通报实施方案及项目进度，因甲方原因导致项目不能按合同规定期限完成活动的，由甲方承担违约责任。</w:t>
      </w:r>
    </w:p>
    <w:p>
      <w:pPr>
        <w:tabs>
          <w:tab w:val="left" w:pos="567"/>
        </w:tabs>
        <w:spacing w:line="360" w:lineRule="auto"/>
        <w:ind w:firstLine="480" w:firstLineChars="200"/>
        <w:rPr>
          <w:rFonts w:ascii="宋体" w:hAnsi="宋体"/>
          <w:color w:val="000000"/>
          <w:sz w:val="24"/>
        </w:rPr>
      </w:pPr>
      <w:r>
        <w:rPr>
          <w:rFonts w:ascii="宋体" w:hAnsi="宋体"/>
          <w:color w:val="000000"/>
          <w:sz w:val="24"/>
        </w:rPr>
        <w:t>2、根据进展，当局部发生变动时，乙方应配合甲方进行调整，若因调整产生费用，费用由甲方承担。</w:t>
      </w:r>
    </w:p>
    <w:p>
      <w:pPr>
        <w:spacing w:line="360" w:lineRule="auto"/>
        <w:rPr>
          <w:rFonts w:ascii="宋体" w:hAnsi="宋体"/>
          <w:b/>
          <w:bCs/>
          <w:color w:val="000000"/>
          <w:sz w:val="24"/>
        </w:rPr>
      </w:pPr>
      <w:r>
        <w:rPr>
          <w:rFonts w:ascii="宋体" w:hAnsi="宋体"/>
          <w:b/>
          <w:bCs/>
          <w:color w:val="000000"/>
          <w:sz w:val="24"/>
        </w:rPr>
        <w:t>五、质量管理</w:t>
      </w:r>
    </w:p>
    <w:p>
      <w:pPr>
        <w:spacing w:line="360" w:lineRule="auto"/>
        <w:ind w:left="360"/>
        <w:rPr>
          <w:rFonts w:ascii="宋体" w:hAnsi="宋体"/>
          <w:color w:val="000000"/>
          <w:sz w:val="24"/>
        </w:rPr>
      </w:pPr>
      <w:r>
        <w:rPr>
          <w:rFonts w:ascii="宋体" w:hAnsi="宋体"/>
          <w:color w:val="000000"/>
          <w:sz w:val="24"/>
        </w:rPr>
        <w:t>1、乙方应严格按照国家相关标准、规范的要求进行项目规划。</w:t>
      </w:r>
    </w:p>
    <w:p>
      <w:pPr>
        <w:spacing w:line="360" w:lineRule="auto"/>
        <w:ind w:left="360"/>
        <w:rPr>
          <w:rFonts w:ascii="宋体" w:hAnsi="宋体"/>
          <w:color w:val="000000"/>
          <w:sz w:val="24"/>
        </w:rPr>
      </w:pPr>
      <w:r>
        <w:rPr>
          <w:rFonts w:hint="eastAsia" w:ascii="宋体" w:hAnsi="宋体"/>
          <w:color w:val="000000"/>
          <w:sz w:val="24"/>
        </w:rPr>
        <w:t>2</w:t>
      </w:r>
      <w:r>
        <w:rPr>
          <w:rFonts w:ascii="宋体" w:hAnsi="宋体"/>
          <w:color w:val="000000"/>
          <w:sz w:val="24"/>
        </w:rPr>
        <w:t>、乙方应对项目严格监督、管理，以确保质量。</w:t>
      </w:r>
    </w:p>
    <w:p>
      <w:pPr>
        <w:spacing w:line="360" w:lineRule="auto"/>
        <w:rPr>
          <w:rFonts w:ascii="宋体" w:hAnsi="宋体"/>
          <w:b/>
          <w:bCs/>
          <w:color w:val="000000"/>
          <w:sz w:val="24"/>
        </w:rPr>
      </w:pPr>
      <w:r>
        <w:rPr>
          <w:rFonts w:ascii="宋体" w:hAnsi="宋体"/>
          <w:b/>
          <w:bCs/>
          <w:color w:val="000000"/>
          <w:sz w:val="24"/>
        </w:rPr>
        <w:t>六、合同总额及付款方式</w:t>
      </w:r>
    </w:p>
    <w:p>
      <w:pPr>
        <w:tabs>
          <w:tab w:val="left" w:pos="480"/>
        </w:tabs>
        <w:spacing w:line="360" w:lineRule="auto"/>
        <w:rPr>
          <w:rFonts w:ascii="宋体" w:hAnsi="宋体"/>
          <w:b/>
          <w:color w:val="000000"/>
          <w:sz w:val="24"/>
        </w:rPr>
      </w:pPr>
      <w:r>
        <w:rPr>
          <w:rFonts w:ascii="宋体" w:hAnsi="宋体"/>
          <w:b/>
          <w:color w:val="000000"/>
          <w:sz w:val="24"/>
        </w:rPr>
        <w:t>合同价款：</w:t>
      </w:r>
    </w:p>
    <w:p>
      <w:pPr>
        <w:tabs>
          <w:tab w:val="left" w:pos="480"/>
        </w:tabs>
        <w:spacing w:line="360" w:lineRule="auto"/>
        <w:ind w:firstLine="480" w:firstLineChars="200"/>
        <w:rPr>
          <w:rFonts w:ascii="宋体" w:hAnsi="宋体"/>
          <w:color w:val="000000"/>
          <w:sz w:val="24"/>
        </w:rPr>
      </w:pPr>
      <w:r>
        <w:rPr>
          <w:rFonts w:ascii="宋体" w:hAnsi="宋体"/>
          <w:color w:val="000000"/>
          <w:sz w:val="24"/>
        </w:rPr>
        <w:t>（一）合同总价款为人民币</w:t>
      </w:r>
      <w:r>
        <w:rPr>
          <w:rFonts w:ascii="宋体" w:hAnsi="宋体"/>
          <w:color w:val="000000"/>
          <w:sz w:val="24"/>
          <w:u w:val="single"/>
        </w:rPr>
        <w:t>（大写）     （￥            ）。</w:t>
      </w:r>
    </w:p>
    <w:p>
      <w:pPr>
        <w:tabs>
          <w:tab w:val="left" w:pos="480"/>
        </w:tabs>
        <w:spacing w:line="360" w:lineRule="auto"/>
        <w:ind w:firstLine="480" w:firstLineChars="200"/>
        <w:rPr>
          <w:rFonts w:ascii="宋体" w:hAnsi="宋体"/>
          <w:color w:val="000000"/>
          <w:sz w:val="24"/>
        </w:rPr>
      </w:pPr>
      <w:r>
        <w:rPr>
          <w:rFonts w:ascii="宋体" w:hAnsi="宋体"/>
          <w:color w:val="000000"/>
          <w:sz w:val="24"/>
        </w:rPr>
        <w:t>（二）合同总价一次性包死，不受市场价格变化因素的影响。</w:t>
      </w:r>
    </w:p>
    <w:p>
      <w:pPr>
        <w:tabs>
          <w:tab w:val="left" w:pos="480"/>
        </w:tabs>
        <w:spacing w:line="360" w:lineRule="auto"/>
        <w:ind w:firstLine="480" w:firstLineChars="200"/>
        <w:rPr>
          <w:rFonts w:ascii="宋体" w:hAnsi="宋体"/>
          <w:color w:val="000000"/>
          <w:sz w:val="24"/>
        </w:rPr>
      </w:pPr>
      <w:r>
        <w:rPr>
          <w:rFonts w:ascii="宋体" w:hAnsi="宋体"/>
          <w:color w:val="000000"/>
          <w:sz w:val="24"/>
        </w:rPr>
        <w:t>付款方式：</w:t>
      </w:r>
      <w:r>
        <w:rPr>
          <w:rFonts w:hint="eastAsia" w:ascii="宋体" w:hAnsi="宋体"/>
          <w:color w:val="000000"/>
          <w:sz w:val="24"/>
        </w:rPr>
        <w:t>合同签订后，货物安装并经验收合格，中标供应商提供等额发票后，支付合同金额的95%。质保期满后，支付合同金额5%。</w:t>
      </w:r>
    </w:p>
    <w:p>
      <w:pPr>
        <w:tabs>
          <w:tab w:val="left" w:pos="480"/>
        </w:tabs>
        <w:spacing w:line="360" w:lineRule="auto"/>
        <w:rPr>
          <w:rFonts w:ascii="宋体" w:hAnsi="宋体"/>
          <w:color w:val="000000"/>
          <w:sz w:val="24"/>
        </w:rPr>
      </w:pPr>
      <w:r>
        <w:rPr>
          <w:rFonts w:ascii="宋体" w:hAnsi="宋体"/>
          <w:color w:val="000000"/>
          <w:sz w:val="24"/>
        </w:rPr>
        <w:tab/>
      </w:r>
      <w:r>
        <w:rPr>
          <w:rFonts w:ascii="宋体" w:hAnsi="宋体"/>
          <w:color w:val="000000"/>
          <w:sz w:val="24"/>
        </w:rPr>
        <w:t>（三）乙方需在收到甲方每笔付款前向甲方开具等额的普通发票。</w:t>
      </w:r>
    </w:p>
    <w:p>
      <w:pPr>
        <w:tabs>
          <w:tab w:val="left" w:pos="480"/>
        </w:tabs>
        <w:spacing w:line="360" w:lineRule="auto"/>
        <w:rPr>
          <w:rFonts w:ascii="宋体" w:hAnsi="宋体"/>
          <w:color w:val="000000"/>
          <w:sz w:val="24"/>
        </w:rPr>
      </w:pPr>
      <w:r>
        <w:rPr>
          <w:rFonts w:ascii="宋体" w:hAnsi="宋体"/>
          <w:color w:val="000000"/>
          <w:sz w:val="24"/>
        </w:rPr>
        <w:tab/>
      </w:r>
      <w:r>
        <w:rPr>
          <w:rFonts w:ascii="宋体" w:hAnsi="宋体"/>
          <w:color w:val="000000"/>
          <w:sz w:val="24"/>
        </w:rPr>
        <w:t>（四）甲方通过银行转账的方式向乙方支付协议款项，乙方提供银行账号。</w:t>
      </w:r>
    </w:p>
    <w:p>
      <w:pPr>
        <w:tabs>
          <w:tab w:val="left" w:pos="480"/>
        </w:tabs>
        <w:spacing w:line="360" w:lineRule="auto"/>
        <w:rPr>
          <w:rFonts w:ascii="宋体" w:hAnsi="宋体"/>
          <w:color w:val="000000"/>
          <w:sz w:val="24"/>
        </w:rPr>
      </w:pPr>
      <w:r>
        <w:rPr>
          <w:rFonts w:ascii="宋体" w:hAnsi="宋体"/>
          <w:color w:val="000000"/>
          <w:sz w:val="24"/>
        </w:rPr>
        <w:tab/>
      </w:r>
      <w:r>
        <w:rPr>
          <w:rFonts w:ascii="宋体" w:hAnsi="宋体"/>
          <w:color w:val="000000"/>
          <w:sz w:val="24"/>
        </w:rPr>
        <w:t>（五）乙方指定账户为：</w:t>
      </w:r>
    </w:p>
    <w:p>
      <w:pPr>
        <w:tabs>
          <w:tab w:val="left" w:pos="480"/>
        </w:tabs>
        <w:spacing w:line="360" w:lineRule="auto"/>
        <w:rPr>
          <w:rFonts w:ascii="宋体" w:hAnsi="宋体"/>
          <w:color w:val="000000"/>
          <w:sz w:val="24"/>
        </w:rPr>
      </w:pPr>
      <w:r>
        <w:rPr>
          <w:rFonts w:ascii="宋体" w:hAnsi="宋体"/>
          <w:color w:val="000000"/>
          <w:sz w:val="24"/>
        </w:rPr>
        <w:tab/>
      </w:r>
      <w:r>
        <w:rPr>
          <w:rFonts w:ascii="宋体" w:hAnsi="宋体"/>
          <w:color w:val="000000"/>
          <w:sz w:val="24"/>
        </w:rPr>
        <w:tab/>
      </w:r>
      <w:r>
        <w:rPr>
          <w:rFonts w:ascii="宋体" w:hAnsi="宋体"/>
          <w:color w:val="000000"/>
          <w:sz w:val="24"/>
        </w:rPr>
        <w:tab/>
      </w:r>
      <w:r>
        <w:rPr>
          <w:rFonts w:ascii="宋体" w:hAnsi="宋体"/>
          <w:color w:val="000000"/>
          <w:sz w:val="24"/>
        </w:rPr>
        <w:t>账户名称：</w:t>
      </w:r>
    </w:p>
    <w:p>
      <w:pPr>
        <w:tabs>
          <w:tab w:val="left" w:pos="480"/>
        </w:tabs>
        <w:spacing w:line="360" w:lineRule="auto"/>
        <w:rPr>
          <w:rFonts w:ascii="宋体" w:hAnsi="宋体"/>
          <w:color w:val="000000"/>
          <w:sz w:val="24"/>
        </w:rPr>
      </w:pPr>
      <w:r>
        <w:rPr>
          <w:rFonts w:ascii="宋体" w:hAnsi="宋体"/>
          <w:color w:val="000000"/>
          <w:sz w:val="24"/>
        </w:rPr>
        <w:tab/>
      </w:r>
      <w:r>
        <w:rPr>
          <w:rFonts w:ascii="宋体" w:hAnsi="宋体"/>
          <w:color w:val="000000"/>
          <w:sz w:val="24"/>
        </w:rPr>
        <w:tab/>
      </w:r>
      <w:r>
        <w:rPr>
          <w:rFonts w:ascii="宋体" w:hAnsi="宋体"/>
          <w:color w:val="000000"/>
          <w:sz w:val="24"/>
        </w:rPr>
        <w:tab/>
      </w:r>
      <w:r>
        <w:rPr>
          <w:rFonts w:ascii="宋体" w:hAnsi="宋体"/>
          <w:color w:val="000000"/>
          <w:sz w:val="24"/>
        </w:rPr>
        <w:t>开户行：</w:t>
      </w:r>
    </w:p>
    <w:p>
      <w:pPr>
        <w:tabs>
          <w:tab w:val="left" w:pos="480"/>
        </w:tabs>
        <w:spacing w:line="360" w:lineRule="auto"/>
        <w:rPr>
          <w:rFonts w:ascii="宋体" w:hAnsi="宋体"/>
          <w:color w:val="000000"/>
          <w:sz w:val="24"/>
        </w:rPr>
      </w:pPr>
      <w:r>
        <w:rPr>
          <w:rFonts w:ascii="宋体" w:hAnsi="宋体"/>
          <w:color w:val="000000"/>
          <w:sz w:val="24"/>
        </w:rPr>
        <w:tab/>
      </w:r>
      <w:r>
        <w:rPr>
          <w:rFonts w:ascii="宋体" w:hAnsi="宋体"/>
          <w:color w:val="000000"/>
          <w:sz w:val="24"/>
        </w:rPr>
        <w:tab/>
      </w:r>
      <w:r>
        <w:rPr>
          <w:rFonts w:ascii="宋体" w:hAnsi="宋体"/>
          <w:color w:val="000000"/>
          <w:sz w:val="24"/>
        </w:rPr>
        <w:tab/>
      </w:r>
      <w:r>
        <w:rPr>
          <w:rFonts w:ascii="宋体" w:hAnsi="宋体"/>
          <w:color w:val="000000"/>
          <w:sz w:val="24"/>
        </w:rPr>
        <w:t>对公账户：</w:t>
      </w:r>
    </w:p>
    <w:p>
      <w:pPr>
        <w:spacing w:line="480" w:lineRule="auto"/>
        <w:rPr>
          <w:rFonts w:ascii="宋体" w:hAnsi="宋体"/>
          <w:b/>
          <w:bCs/>
          <w:color w:val="000000"/>
          <w:sz w:val="24"/>
        </w:rPr>
      </w:pPr>
      <w:r>
        <w:rPr>
          <w:rFonts w:hint="eastAsia" w:ascii="宋体" w:hAnsi="宋体"/>
          <w:b/>
          <w:bCs/>
          <w:color w:val="000000"/>
          <w:sz w:val="24"/>
        </w:rPr>
        <w:t>九、售后服务</w:t>
      </w:r>
    </w:p>
    <w:p>
      <w:pPr>
        <w:pStyle w:val="15"/>
        <w:spacing w:line="480" w:lineRule="auto"/>
        <w:ind w:firstLine="480" w:firstLineChars="200"/>
        <w:rPr>
          <w:color w:val="000000"/>
          <w:sz w:val="24"/>
          <w:szCs w:val="24"/>
        </w:rPr>
      </w:pPr>
      <w:r>
        <w:rPr>
          <w:rFonts w:hint="eastAsia"/>
          <w:color w:val="000000"/>
          <w:sz w:val="24"/>
          <w:szCs w:val="24"/>
        </w:rPr>
        <w:t>1、质保期6年，从设备安装调试完，经采购人验收合格后起算质保期（对所供产品提供6年质保服务；在每年的高考、中考、学业水平考试、教师资格考试、成考、自考等重大考试时，提前15天安排专业技术人员对所有设备进行检修，对故障设备采取换修服务，确保在考试中所有设备正常运行，并在考试过程中进行现场维护保障）。</w:t>
      </w:r>
    </w:p>
    <w:p>
      <w:pPr>
        <w:pStyle w:val="15"/>
        <w:spacing w:line="360" w:lineRule="auto"/>
        <w:ind w:firstLine="480" w:firstLineChars="200"/>
        <w:rPr>
          <w:color w:val="000000"/>
          <w:sz w:val="24"/>
          <w:szCs w:val="24"/>
        </w:rPr>
      </w:pPr>
      <w:r>
        <w:rPr>
          <w:rFonts w:hint="eastAsia"/>
          <w:color w:val="000000"/>
          <w:sz w:val="24"/>
          <w:szCs w:val="24"/>
        </w:rPr>
        <w:t>2、所有设备由供方免费安装调试。</w:t>
      </w:r>
    </w:p>
    <w:p>
      <w:pPr>
        <w:pStyle w:val="15"/>
        <w:spacing w:line="360" w:lineRule="auto"/>
        <w:ind w:firstLine="480" w:firstLineChars="200"/>
        <w:rPr>
          <w:color w:val="000000"/>
          <w:sz w:val="24"/>
          <w:szCs w:val="24"/>
        </w:rPr>
      </w:pPr>
      <w:r>
        <w:rPr>
          <w:rFonts w:hint="eastAsia"/>
          <w:color w:val="000000"/>
          <w:sz w:val="24"/>
          <w:szCs w:val="24"/>
        </w:rPr>
        <w:t>3、免费对设备使用人员进行培训、技术指导，并有培训计划、培训方式、课程安排情况等。</w:t>
      </w:r>
    </w:p>
    <w:p>
      <w:pPr>
        <w:pStyle w:val="15"/>
        <w:spacing w:line="360" w:lineRule="auto"/>
        <w:ind w:firstLine="480" w:firstLineChars="200"/>
        <w:rPr>
          <w:color w:val="000000"/>
          <w:sz w:val="24"/>
          <w:szCs w:val="24"/>
        </w:rPr>
      </w:pPr>
      <w:r>
        <w:rPr>
          <w:rFonts w:hint="eastAsia"/>
          <w:color w:val="000000"/>
          <w:sz w:val="24"/>
          <w:szCs w:val="24"/>
        </w:rPr>
        <w:t>4、质保期内免费对设备进行定期维护，并注明维护范围和间隔时长；免费维修，包括各种部件及配件的更换。</w:t>
      </w:r>
    </w:p>
    <w:p>
      <w:pPr>
        <w:spacing w:line="360" w:lineRule="auto"/>
        <w:rPr>
          <w:rFonts w:ascii="宋体" w:hAnsi="宋体"/>
          <w:b/>
          <w:bCs/>
          <w:color w:val="000000"/>
          <w:sz w:val="24"/>
        </w:rPr>
      </w:pPr>
      <w:r>
        <w:rPr>
          <w:rFonts w:hint="eastAsia" w:ascii="宋体" w:hAnsi="宋体"/>
          <w:b/>
          <w:bCs/>
          <w:color w:val="000000"/>
          <w:sz w:val="24"/>
        </w:rPr>
        <w:t>十</w:t>
      </w:r>
      <w:r>
        <w:rPr>
          <w:rFonts w:ascii="宋体" w:hAnsi="宋体"/>
          <w:b/>
          <w:bCs/>
          <w:color w:val="000000"/>
          <w:sz w:val="24"/>
        </w:rPr>
        <w:t>、违约责任</w:t>
      </w:r>
    </w:p>
    <w:p>
      <w:pPr>
        <w:spacing w:line="360" w:lineRule="auto"/>
        <w:ind w:firstLine="410" w:firstLineChars="171"/>
        <w:rPr>
          <w:rFonts w:ascii="宋体" w:hAnsi="宋体"/>
          <w:color w:val="000000"/>
          <w:sz w:val="24"/>
        </w:rPr>
      </w:pPr>
      <w:r>
        <w:rPr>
          <w:rFonts w:ascii="宋体" w:hAnsi="宋体"/>
          <w:color w:val="000000"/>
          <w:sz w:val="24"/>
        </w:rPr>
        <w:t>1、任何一方未履行本合同项下的条款均被视为违约。除因不可抗力（即因地震、火灾等自然灾害、战争、罢工、停电、政府和军队行为等）造成合同无法履行外，任何一方不得单方面中止合同。</w:t>
      </w:r>
    </w:p>
    <w:p>
      <w:pPr>
        <w:spacing w:line="360" w:lineRule="auto"/>
        <w:ind w:firstLine="410" w:firstLineChars="171"/>
        <w:rPr>
          <w:rFonts w:ascii="宋体" w:hAnsi="宋体"/>
          <w:color w:val="000000"/>
          <w:sz w:val="24"/>
        </w:rPr>
      </w:pPr>
      <w:r>
        <w:rPr>
          <w:rFonts w:ascii="宋体" w:hAnsi="宋体"/>
          <w:color w:val="000000"/>
          <w:sz w:val="24"/>
        </w:rPr>
        <w:t>2、任何一方违反合同所规定条款，均构成违约，违约方必须承担由此给对方造成的经济损失。</w:t>
      </w:r>
    </w:p>
    <w:p>
      <w:pPr>
        <w:spacing w:line="360" w:lineRule="auto"/>
        <w:ind w:firstLine="410" w:firstLineChars="171"/>
        <w:rPr>
          <w:rFonts w:ascii="宋体" w:hAnsi="宋体"/>
          <w:color w:val="000000"/>
          <w:sz w:val="24"/>
        </w:rPr>
      </w:pPr>
      <w:r>
        <w:rPr>
          <w:rFonts w:ascii="宋体" w:hAnsi="宋体"/>
          <w:color w:val="000000"/>
          <w:sz w:val="24"/>
        </w:rPr>
        <w:t xml:space="preserve">3、因乙方项目质量而造成的活动失败，乙方负责由此造成的损失。 </w:t>
      </w:r>
    </w:p>
    <w:p>
      <w:pPr>
        <w:spacing w:line="360" w:lineRule="auto"/>
        <w:rPr>
          <w:rFonts w:ascii="宋体" w:hAnsi="宋体"/>
          <w:b/>
          <w:color w:val="000000"/>
          <w:sz w:val="24"/>
        </w:rPr>
      </w:pPr>
      <w:r>
        <w:rPr>
          <w:rFonts w:ascii="宋体" w:hAnsi="宋体"/>
          <w:b/>
          <w:color w:val="000000"/>
          <w:sz w:val="24"/>
        </w:rPr>
        <w:t>十</w:t>
      </w:r>
      <w:r>
        <w:rPr>
          <w:rFonts w:hint="eastAsia" w:ascii="宋体" w:hAnsi="宋体"/>
          <w:b/>
          <w:color w:val="000000"/>
          <w:sz w:val="24"/>
        </w:rPr>
        <w:t>一</w:t>
      </w:r>
      <w:r>
        <w:rPr>
          <w:rFonts w:ascii="宋体" w:hAnsi="宋体"/>
          <w:b/>
          <w:color w:val="000000"/>
          <w:sz w:val="24"/>
        </w:rPr>
        <w:t>、法律适用和争议解决</w:t>
      </w:r>
    </w:p>
    <w:p>
      <w:pPr>
        <w:spacing w:line="360" w:lineRule="auto"/>
        <w:ind w:firstLine="410" w:firstLineChars="171"/>
        <w:rPr>
          <w:rFonts w:ascii="宋体" w:hAnsi="宋体"/>
          <w:color w:val="000000"/>
          <w:sz w:val="24"/>
        </w:rPr>
      </w:pPr>
      <w:r>
        <w:rPr>
          <w:rFonts w:ascii="宋体" w:hAnsi="宋体"/>
          <w:color w:val="000000"/>
          <w:sz w:val="24"/>
        </w:rPr>
        <w:t>1、本合同适用中华人民共和国法律。</w:t>
      </w:r>
    </w:p>
    <w:p>
      <w:pPr>
        <w:spacing w:line="360" w:lineRule="auto"/>
        <w:ind w:firstLine="410" w:firstLineChars="171"/>
        <w:rPr>
          <w:rFonts w:ascii="宋体" w:hAnsi="宋体"/>
          <w:color w:val="000000"/>
          <w:sz w:val="24"/>
        </w:rPr>
      </w:pPr>
      <w:r>
        <w:rPr>
          <w:rFonts w:ascii="宋体" w:hAnsi="宋体"/>
          <w:color w:val="000000"/>
          <w:sz w:val="24"/>
        </w:rPr>
        <w:t>2、双方因履行本合同而引起的争议或与本合同有关的争议，双方通过友好协商解决。协商不成，提交合同履行地人民法院诉讼解决。</w:t>
      </w:r>
    </w:p>
    <w:p>
      <w:pPr>
        <w:spacing w:line="360" w:lineRule="auto"/>
        <w:rPr>
          <w:rFonts w:ascii="宋体" w:hAnsi="宋体"/>
          <w:b/>
          <w:color w:val="000000"/>
          <w:sz w:val="24"/>
        </w:rPr>
      </w:pPr>
      <w:r>
        <w:rPr>
          <w:rFonts w:ascii="宋体" w:hAnsi="宋体"/>
          <w:b/>
          <w:color w:val="000000"/>
          <w:sz w:val="24"/>
        </w:rPr>
        <w:t>十</w:t>
      </w:r>
      <w:r>
        <w:rPr>
          <w:rFonts w:hint="eastAsia" w:ascii="宋体" w:hAnsi="宋体"/>
          <w:b/>
          <w:color w:val="000000"/>
          <w:sz w:val="24"/>
        </w:rPr>
        <w:t>二</w:t>
      </w:r>
      <w:r>
        <w:rPr>
          <w:rFonts w:ascii="宋体" w:hAnsi="宋体"/>
          <w:b/>
          <w:color w:val="000000"/>
          <w:sz w:val="24"/>
        </w:rPr>
        <w:t>、免责条款</w:t>
      </w:r>
    </w:p>
    <w:p>
      <w:pPr>
        <w:spacing w:line="360" w:lineRule="auto"/>
        <w:ind w:firstLine="435"/>
        <w:rPr>
          <w:rFonts w:ascii="宋体" w:hAnsi="宋体"/>
          <w:color w:val="000000"/>
          <w:sz w:val="24"/>
        </w:rPr>
      </w:pPr>
      <w:r>
        <w:rPr>
          <w:rFonts w:ascii="宋体" w:hAnsi="宋体"/>
          <w:color w:val="000000"/>
          <w:sz w:val="24"/>
        </w:rPr>
        <w:t>因不可抗力（即因地震、火灾等自然灾害、战争、罢工、停电、政府和军队行为等）导致甲乙双方或一方不能履行或不能完全履行本合同项下有关义务时，双方相互不承担违约责任。在不可抗力影响消除后的合理时间内，一方或双方应当继续履行合同。</w:t>
      </w:r>
    </w:p>
    <w:p>
      <w:pPr>
        <w:spacing w:line="360" w:lineRule="auto"/>
        <w:rPr>
          <w:rFonts w:ascii="宋体" w:hAnsi="宋体"/>
          <w:b/>
          <w:bCs/>
          <w:color w:val="000000"/>
          <w:sz w:val="24"/>
        </w:rPr>
      </w:pPr>
      <w:r>
        <w:rPr>
          <w:rFonts w:ascii="宋体" w:hAnsi="宋体"/>
          <w:b/>
          <w:bCs/>
          <w:color w:val="000000"/>
          <w:sz w:val="24"/>
        </w:rPr>
        <w:t>十</w:t>
      </w:r>
      <w:r>
        <w:rPr>
          <w:rFonts w:hint="eastAsia" w:ascii="宋体" w:hAnsi="宋体"/>
          <w:b/>
          <w:bCs/>
          <w:color w:val="000000"/>
          <w:sz w:val="24"/>
        </w:rPr>
        <w:t>三</w:t>
      </w:r>
      <w:r>
        <w:rPr>
          <w:rFonts w:ascii="宋体" w:hAnsi="宋体"/>
          <w:b/>
          <w:bCs/>
          <w:color w:val="000000"/>
          <w:sz w:val="24"/>
        </w:rPr>
        <w:t>、合同期限</w:t>
      </w:r>
    </w:p>
    <w:p>
      <w:pPr>
        <w:tabs>
          <w:tab w:val="left" w:pos="480"/>
        </w:tabs>
        <w:spacing w:line="360" w:lineRule="auto"/>
        <w:ind w:firstLine="480" w:firstLineChars="200"/>
        <w:rPr>
          <w:rFonts w:ascii="宋体" w:hAnsi="宋体"/>
          <w:color w:val="000000"/>
          <w:sz w:val="24"/>
        </w:rPr>
      </w:pPr>
      <w:r>
        <w:rPr>
          <w:rFonts w:ascii="宋体" w:hAnsi="宋体"/>
          <w:color w:val="000000"/>
          <w:sz w:val="24"/>
        </w:rPr>
        <w:t>本合同一式伍份，甲方执叁份，乙方执贰份，本合同甲、乙、确认各方签字盖章后生效，合同执行完毕后，自动失效（合同的服务承诺则长期有效）。</w:t>
      </w:r>
    </w:p>
    <w:p>
      <w:pPr>
        <w:spacing w:line="360" w:lineRule="auto"/>
        <w:ind w:firstLine="475" w:firstLineChars="198"/>
        <w:rPr>
          <w:rFonts w:ascii="宋体" w:hAnsi="宋体"/>
          <w:color w:val="000000"/>
          <w:sz w:val="24"/>
        </w:rPr>
      </w:pPr>
      <w:r>
        <w:rPr>
          <w:rFonts w:ascii="宋体" w:hAnsi="宋体"/>
          <w:color w:val="000000"/>
          <w:sz w:val="24"/>
        </w:rPr>
        <w:t xml:space="preserve">本合同未尽事宜由甲乙双方协商解决，并以补充协议、备忘录形式加以补充规定，补充协议和备忘录与本合同具有同等的法律效力。 </w:t>
      </w:r>
    </w:p>
    <w:p>
      <w:pPr>
        <w:tabs>
          <w:tab w:val="left" w:pos="480"/>
        </w:tabs>
        <w:spacing w:line="360" w:lineRule="auto"/>
        <w:rPr>
          <w:rFonts w:ascii="宋体" w:hAnsi="宋体"/>
          <w:b/>
          <w:color w:val="000000"/>
          <w:sz w:val="24"/>
        </w:rPr>
      </w:pPr>
      <w:r>
        <w:rPr>
          <w:rFonts w:ascii="宋体" w:hAnsi="宋体"/>
          <w:b/>
          <w:color w:val="000000"/>
          <w:sz w:val="24"/>
        </w:rPr>
        <w:t>十</w:t>
      </w:r>
      <w:r>
        <w:rPr>
          <w:rFonts w:hint="eastAsia" w:ascii="宋体" w:hAnsi="宋体"/>
          <w:b/>
          <w:color w:val="000000"/>
          <w:sz w:val="24"/>
        </w:rPr>
        <w:t>四</w:t>
      </w:r>
      <w:r>
        <w:rPr>
          <w:rFonts w:ascii="宋体" w:hAnsi="宋体"/>
          <w:b/>
          <w:color w:val="000000"/>
          <w:sz w:val="24"/>
        </w:rPr>
        <w:t>、其他事项</w:t>
      </w:r>
    </w:p>
    <w:p>
      <w:pPr>
        <w:tabs>
          <w:tab w:val="left" w:pos="480"/>
        </w:tabs>
        <w:spacing w:line="360" w:lineRule="auto"/>
        <w:ind w:firstLine="480" w:firstLineChars="200"/>
        <w:rPr>
          <w:rFonts w:ascii="宋体" w:hAnsi="宋体"/>
          <w:color w:val="000000"/>
          <w:sz w:val="24"/>
        </w:rPr>
      </w:pPr>
      <w:r>
        <w:rPr>
          <w:rFonts w:ascii="宋体" w:hAnsi="宋体"/>
          <w:color w:val="000000"/>
          <w:sz w:val="24"/>
        </w:rPr>
        <w:t>（一）在合同的履行期间以及履行期后，可以随时检查项目的执行情况，对采购内容、标准进行调查核实，并对发现的问题进行处理。</w:t>
      </w:r>
    </w:p>
    <w:p>
      <w:pPr>
        <w:tabs>
          <w:tab w:val="left" w:pos="480"/>
        </w:tabs>
        <w:spacing w:line="360" w:lineRule="auto"/>
        <w:ind w:firstLine="480" w:firstLineChars="200"/>
        <w:rPr>
          <w:rFonts w:ascii="宋体" w:hAnsi="宋体"/>
          <w:color w:val="000000"/>
          <w:sz w:val="24"/>
        </w:rPr>
      </w:pPr>
      <w:r>
        <w:rPr>
          <w:rFonts w:ascii="宋体" w:hAnsi="宋体"/>
          <w:color w:val="000000"/>
          <w:sz w:val="24"/>
        </w:rPr>
        <w:t>（二）采购文件、采购响应文件、澄清表（函）、中标通知书、合同附件均成为合同不可分割的部分。</w:t>
      </w:r>
    </w:p>
    <w:p>
      <w:pPr>
        <w:tabs>
          <w:tab w:val="left" w:pos="480"/>
        </w:tabs>
        <w:spacing w:line="360" w:lineRule="auto"/>
        <w:ind w:firstLine="480" w:firstLineChars="200"/>
        <w:rPr>
          <w:rFonts w:ascii="宋体" w:hAnsi="宋体"/>
          <w:color w:val="000000"/>
          <w:sz w:val="24"/>
        </w:rPr>
      </w:pPr>
      <w:r>
        <w:rPr>
          <w:rFonts w:ascii="宋体" w:hAnsi="宋体"/>
          <w:color w:val="000000"/>
          <w:sz w:val="24"/>
        </w:rPr>
        <w:t>（三）合同未尽事宜，由甲、乙双方协商，经双方同意后作为合同补充，与原合同具有同等法律效力。</w:t>
      </w:r>
    </w:p>
    <w:p>
      <w:pPr>
        <w:tabs>
          <w:tab w:val="left" w:pos="480"/>
        </w:tabs>
        <w:spacing w:line="360" w:lineRule="auto"/>
        <w:ind w:firstLine="480" w:firstLineChars="200"/>
        <w:rPr>
          <w:rFonts w:ascii="宋体" w:hAnsi="宋体"/>
          <w:color w:val="000000"/>
          <w:sz w:val="24"/>
        </w:rPr>
      </w:pPr>
      <w:r>
        <w:rPr>
          <w:rFonts w:ascii="宋体" w:hAnsi="宋体"/>
          <w:color w:val="000000"/>
          <w:sz w:val="24"/>
        </w:rPr>
        <w:t>（四）合同一经签订，不得擅自变更、中止或终止合同。对确需变更、调整或中止、终止合同的，应按规定履行相应的手续。</w:t>
      </w:r>
    </w:p>
    <w:p>
      <w:pPr>
        <w:tabs>
          <w:tab w:val="left" w:pos="480"/>
        </w:tabs>
        <w:spacing w:line="360" w:lineRule="auto"/>
        <w:ind w:firstLine="480" w:firstLineChars="200"/>
        <w:rPr>
          <w:rFonts w:ascii="宋体" w:hAnsi="宋体"/>
          <w:color w:val="000000"/>
          <w:sz w:val="24"/>
        </w:rPr>
      </w:pPr>
      <w:r>
        <w:rPr>
          <w:rFonts w:ascii="宋体" w:hAnsi="宋体"/>
          <w:color w:val="000000"/>
          <w:sz w:val="24"/>
        </w:rPr>
        <w:t>（五）本合同按照中华人民共和国的现行法律进行解释。</w:t>
      </w:r>
    </w:p>
    <w:p>
      <w:pPr>
        <w:tabs>
          <w:tab w:val="left" w:pos="480"/>
        </w:tabs>
        <w:spacing w:line="360" w:lineRule="auto"/>
        <w:rPr>
          <w:rFonts w:ascii="宋体" w:hAnsi="宋体"/>
          <w:color w:val="000000"/>
          <w:sz w:val="24"/>
        </w:rPr>
      </w:pPr>
      <w:r>
        <w:rPr>
          <w:rFonts w:ascii="宋体" w:hAnsi="宋体"/>
          <w:color w:val="000000"/>
          <w:sz w:val="24"/>
        </w:rPr>
        <w:t>此页无正文</w:t>
      </w:r>
    </w:p>
    <w:p>
      <w:pPr>
        <w:tabs>
          <w:tab w:val="left" w:pos="480"/>
        </w:tabs>
        <w:spacing w:line="360" w:lineRule="auto"/>
        <w:rPr>
          <w:rFonts w:ascii="宋体" w:hAnsi="宋体"/>
          <w:color w:val="000000"/>
          <w:sz w:val="24"/>
        </w:rPr>
      </w:pPr>
    </w:p>
    <w:p>
      <w:pPr>
        <w:tabs>
          <w:tab w:val="left" w:pos="480"/>
        </w:tabs>
        <w:spacing w:line="360" w:lineRule="auto"/>
        <w:rPr>
          <w:rFonts w:ascii="宋体" w:hAnsi="宋体"/>
          <w:color w:val="000000"/>
          <w:sz w:val="24"/>
        </w:rPr>
      </w:pPr>
      <w:r>
        <w:rPr>
          <w:rFonts w:ascii="宋体" w:hAnsi="宋体"/>
          <w:color w:val="000000"/>
          <w:sz w:val="24"/>
        </w:rPr>
        <w:t>甲  方（法人公章）             乙  方（法人公章）</w:t>
      </w:r>
    </w:p>
    <w:p>
      <w:pPr>
        <w:tabs>
          <w:tab w:val="left" w:pos="480"/>
        </w:tabs>
        <w:spacing w:line="360" w:lineRule="auto"/>
        <w:ind w:firstLine="480" w:firstLineChars="200"/>
        <w:rPr>
          <w:rFonts w:ascii="宋体" w:hAnsi="宋体"/>
          <w:color w:val="000000"/>
          <w:sz w:val="24"/>
        </w:rPr>
      </w:pPr>
    </w:p>
    <w:p>
      <w:pPr>
        <w:tabs>
          <w:tab w:val="left" w:pos="480"/>
        </w:tabs>
        <w:spacing w:line="360" w:lineRule="auto"/>
        <w:rPr>
          <w:rFonts w:ascii="宋体" w:hAnsi="宋体"/>
          <w:color w:val="000000"/>
          <w:sz w:val="24"/>
        </w:rPr>
      </w:pPr>
      <w:r>
        <w:rPr>
          <w:rFonts w:ascii="宋体" w:hAnsi="宋体"/>
          <w:color w:val="000000"/>
          <w:sz w:val="24"/>
        </w:rPr>
        <w:t xml:space="preserve">单位名称：                     单位名称： </w:t>
      </w:r>
    </w:p>
    <w:p>
      <w:pPr>
        <w:tabs>
          <w:tab w:val="left" w:pos="480"/>
        </w:tabs>
        <w:spacing w:line="360" w:lineRule="auto"/>
        <w:rPr>
          <w:rFonts w:ascii="宋体" w:hAnsi="宋体"/>
          <w:color w:val="000000"/>
          <w:sz w:val="24"/>
        </w:rPr>
      </w:pPr>
      <w:r>
        <w:rPr>
          <w:rFonts w:ascii="宋体" w:hAnsi="宋体"/>
          <w:color w:val="000000"/>
          <w:sz w:val="24"/>
        </w:rPr>
        <w:t>地  址：                       地  址：</w:t>
      </w:r>
    </w:p>
    <w:p>
      <w:pPr>
        <w:tabs>
          <w:tab w:val="left" w:pos="480"/>
        </w:tabs>
        <w:spacing w:line="360" w:lineRule="auto"/>
        <w:rPr>
          <w:rFonts w:ascii="宋体" w:hAnsi="宋体"/>
          <w:color w:val="000000"/>
          <w:sz w:val="24"/>
        </w:rPr>
      </w:pPr>
      <w:r>
        <w:rPr>
          <w:rFonts w:ascii="宋体" w:hAnsi="宋体"/>
          <w:color w:val="000000"/>
          <w:sz w:val="24"/>
        </w:rPr>
        <w:t>法定代表人：（签字）           法定代表人：（签字）</w:t>
      </w:r>
    </w:p>
    <w:p>
      <w:pPr>
        <w:tabs>
          <w:tab w:val="left" w:pos="480"/>
        </w:tabs>
        <w:spacing w:line="360" w:lineRule="auto"/>
        <w:rPr>
          <w:rFonts w:ascii="宋体" w:hAnsi="宋体"/>
          <w:color w:val="000000"/>
          <w:sz w:val="24"/>
        </w:rPr>
      </w:pPr>
      <w:r>
        <w:rPr>
          <w:rFonts w:ascii="宋体" w:hAnsi="宋体"/>
          <w:color w:val="000000"/>
          <w:sz w:val="24"/>
        </w:rPr>
        <w:t>代理人：（签字）               代理人：（签字）</w:t>
      </w:r>
    </w:p>
    <w:p>
      <w:pPr>
        <w:tabs>
          <w:tab w:val="left" w:pos="480"/>
        </w:tabs>
        <w:spacing w:line="360" w:lineRule="auto"/>
        <w:rPr>
          <w:rFonts w:ascii="宋体" w:hAnsi="宋体"/>
          <w:color w:val="000000"/>
          <w:sz w:val="24"/>
        </w:rPr>
      </w:pPr>
      <w:r>
        <w:rPr>
          <w:rFonts w:ascii="宋体" w:hAnsi="宋体"/>
          <w:color w:val="000000"/>
          <w:sz w:val="24"/>
        </w:rPr>
        <w:t>联系电话：                     联系电话：</w:t>
      </w:r>
    </w:p>
    <w:p>
      <w:pPr>
        <w:spacing w:line="360" w:lineRule="auto"/>
        <w:textAlignment w:val="baseline"/>
        <w:rPr>
          <w:rFonts w:cs="宋体"/>
          <w:b/>
          <w:sz w:val="24"/>
        </w:rPr>
      </w:pPr>
      <w:r>
        <w:rPr>
          <w:color w:val="000000"/>
          <w:sz w:val="24"/>
        </w:rPr>
        <w:t>签订日期：                     签订日期：</w:t>
      </w:r>
    </w:p>
    <w:p>
      <w:pPr>
        <w:rPr>
          <w:rFonts w:ascii="宋体" w:hAnsi="宋体" w:cs="宋体"/>
        </w:rPr>
      </w:pPr>
    </w:p>
    <w:p>
      <w:pPr>
        <w:ind w:firstLine="3240" w:firstLineChars="900"/>
        <w:rPr>
          <w:rFonts w:ascii="宋体" w:hAnsi="宋体" w:cs="宋体"/>
          <w:sz w:val="36"/>
          <w:szCs w:val="36"/>
        </w:rPr>
      </w:pPr>
      <w:r>
        <w:rPr>
          <w:rFonts w:hint="eastAsia" w:ascii="宋体" w:hAnsi="宋体" w:cs="宋体"/>
          <w:sz w:val="36"/>
          <w:szCs w:val="36"/>
        </w:rPr>
        <w:t>第六章投标文件格式</w:t>
      </w:r>
      <w:bookmarkEnd w:id="4"/>
      <w:bookmarkEnd w:id="5"/>
    </w:p>
    <w:p>
      <w:pPr>
        <w:spacing w:line="360" w:lineRule="auto"/>
        <w:jc w:val="left"/>
        <w:rPr>
          <w:rFonts w:ascii="宋体" w:hAnsi="宋体" w:cs="宋体"/>
          <w:b/>
          <w:sz w:val="24"/>
        </w:rPr>
      </w:pPr>
      <w:r>
        <w:rPr>
          <w:rFonts w:hint="eastAsia" w:ascii="宋体" w:hAnsi="宋体" w:cs="宋体"/>
          <w:b/>
          <w:sz w:val="24"/>
        </w:rPr>
        <w:t>项目编号：</w:t>
      </w:r>
    </w:p>
    <w:p>
      <w:pPr>
        <w:spacing w:line="360" w:lineRule="auto"/>
        <w:jc w:val="center"/>
        <w:rPr>
          <w:rFonts w:ascii="宋体" w:hAnsi="宋体" w:cs="宋体"/>
          <w:b/>
          <w:sz w:val="24"/>
        </w:rPr>
      </w:pPr>
    </w:p>
    <w:p>
      <w:pPr>
        <w:jc w:val="center"/>
        <w:rPr>
          <w:rFonts w:ascii="宋体" w:hAnsi="宋体" w:cs="宋体"/>
          <w:sz w:val="44"/>
          <w:szCs w:val="44"/>
        </w:rPr>
      </w:pPr>
    </w:p>
    <w:p>
      <w:pPr>
        <w:jc w:val="center"/>
        <w:rPr>
          <w:rFonts w:ascii="宋体" w:hAnsi="宋体" w:cs="宋体"/>
          <w:sz w:val="44"/>
          <w:szCs w:val="44"/>
        </w:rPr>
      </w:pPr>
      <w:r>
        <w:rPr>
          <w:rFonts w:hint="eastAsia" w:ascii="宋体" w:hAnsi="宋体" w:cs="宋体"/>
          <w:sz w:val="44"/>
          <w:szCs w:val="44"/>
        </w:rPr>
        <w:t>（项目名称）</w:t>
      </w:r>
    </w:p>
    <w:p>
      <w:pPr>
        <w:jc w:val="center"/>
        <w:rPr>
          <w:rFonts w:ascii="宋体" w:hAnsi="宋体" w:cs="宋体"/>
          <w:sz w:val="44"/>
          <w:szCs w:val="44"/>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jc w:val="center"/>
        <w:rPr>
          <w:rFonts w:ascii="宋体" w:hAnsi="宋体" w:cs="宋体"/>
          <w:sz w:val="84"/>
          <w:szCs w:val="84"/>
        </w:rPr>
      </w:pPr>
      <w:r>
        <w:rPr>
          <w:rFonts w:hint="eastAsia" w:ascii="宋体" w:hAnsi="宋体" w:cs="宋体"/>
          <w:sz w:val="84"/>
          <w:szCs w:val="84"/>
        </w:rPr>
        <w:t>投标文件</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tabs>
          <w:tab w:val="left" w:pos="2200"/>
        </w:tabs>
        <w:spacing w:line="360" w:lineRule="auto"/>
        <w:rPr>
          <w:rFonts w:ascii="宋体" w:hAnsi="宋体" w:cs="宋体"/>
          <w:b/>
          <w:bCs/>
          <w:sz w:val="28"/>
          <w:szCs w:val="28"/>
        </w:rPr>
      </w:pPr>
      <w:r>
        <w:rPr>
          <w:rFonts w:hint="eastAsia" w:ascii="宋体" w:hAnsi="宋体" w:cs="宋体"/>
          <w:b/>
          <w:sz w:val="28"/>
          <w:szCs w:val="28"/>
        </w:rPr>
        <w:t xml:space="preserve">      投标人：</w:t>
      </w:r>
      <w:r>
        <w:rPr>
          <w:rFonts w:hint="eastAsia" w:ascii="宋体" w:hAnsi="宋体" w:cs="宋体"/>
          <w:b/>
          <w:bCs/>
          <w:sz w:val="28"/>
          <w:szCs w:val="28"/>
        </w:rPr>
        <w:t>（盖章）</w:t>
      </w:r>
    </w:p>
    <w:p>
      <w:pPr>
        <w:spacing w:line="360" w:lineRule="auto"/>
        <w:rPr>
          <w:rFonts w:ascii="宋体" w:hAnsi="宋体" w:cs="宋体"/>
          <w:b/>
          <w:sz w:val="28"/>
          <w:szCs w:val="28"/>
        </w:rPr>
      </w:pPr>
    </w:p>
    <w:p>
      <w:pPr>
        <w:spacing w:line="360" w:lineRule="auto"/>
        <w:ind w:firstLine="840" w:firstLineChars="300"/>
        <w:rPr>
          <w:rFonts w:ascii="宋体" w:hAnsi="宋体" w:cs="宋体"/>
          <w:b/>
          <w:sz w:val="28"/>
          <w:szCs w:val="28"/>
        </w:rPr>
      </w:pPr>
      <w:r>
        <w:rPr>
          <w:rFonts w:hint="eastAsia" w:ascii="宋体" w:hAnsi="宋体" w:cs="宋体"/>
          <w:b/>
          <w:sz w:val="28"/>
          <w:szCs w:val="28"/>
        </w:rPr>
        <w:t>法定代表人或其委托代理人：</w:t>
      </w:r>
      <w:r>
        <w:rPr>
          <w:rFonts w:hint="eastAsia" w:ascii="宋体" w:hAnsi="宋体" w:cs="宋体"/>
          <w:b/>
          <w:bCs/>
          <w:sz w:val="28"/>
          <w:szCs w:val="28"/>
        </w:rPr>
        <w:t>（签字或盖章）</w:t>
      </w:r>
    </w:p>
    <w:p>
      <w:pPr>
        <w:spacing w:line="360" w:lineRule="auto"/>
        <w:rPr>
          <w:rFonts w:ascii="宋体" w:hAnsi="宋体" w:cs="宋体"/>
          <w:b/>
          <w:sz w:val="28"/>
          <w:szCs w:val="28"/>
        </w:rPr>
      </w:pPr>
    </w:p>
    <w:p>
      <w:pPr>
        <w:spacing w:line="360" w:lineRule="auto"/>
        <w:ind w:firstLine="840" w:firstLineChars="300"/>
        <w:rPr>
          <w:rFonts w:ascii="宋体" w:hAnsi="宋体" w:cs="宋体"/>
          <w:b/>
          <w:sz w:val="24"/>
        </w:rPr>
      </w:pPr>
      <w:r>
        <w:rPr>
          <w:rFonts w:hint="eastAsia" w:ascii="宋体" w:hAnsi="宋体" w:cs="宋体"/>
          <w:b/>
          <w:sz w:val="28"/>
          <w:szCs w:val="28"/>
        </w:rPr>
        <w:t>日期：</w:t>
      </w:r>
      <w:r>
        <w:rPr>
          <w:rFonts w:hint="eastAsia" w:ascii="宋体" w:hAnsi="宋体" w:cs="宋体"/>
          <w:b/>
          <w:sz w:val="28"/>
          <w:szCs w:val="28"/>
          <w:u w:val="single"/>
        </w:rPr>
        <w:t xml:space="preserve">  </w:t>
      </w:r>
      <w:r>
        <w:rPr>
          <w:rFonts w:hint="eastAsia" w:ascii="宋体" w:hAnsi="宋体" w:cs="宋体"/>
          <w:b/>
          <w:bCs/>
          <w:sz w:val="28"/>
          <w:szCs w:val="28"/>
        </w:rPr>
        <w:t>年</w:t>
      </w:r>
      <w:r>
        <w:rPr>
          <w:rFonts w:hint="eastAsia" w:ascii="宋体" w:hAnsi="宋体" w:cs="宋体"/>
          <w:b/>
          <w:sz w:val="28"/>
          <w:szCs w:val="28"/>
          <w:u w:val="single"/>
        </w:rPr>
        <w:t xml:space="preserve">  </w:t>
      </w:r>
      <w:r>
        <w:rPr>
          <w:rFonts w:hint="eastAsia" w:ascii="宋体" w:hAnsi="宋体" w:cs="宋体"/>
          <w:b/>
          <w:bCs/>
          <w:sz w:val="28"/>
          <w:szCs w:val="28"/>
        </w:rPr>
        <w:t>月</w:t>
      </w:r>
      <w:r>
        <w:rPr>
          <w:rFonts w:hint="eastAsia" w:ascii="宋体" w:hAnsi="宋体" w:cs="宋体"/>
          <w:b/>
          <w:sz w:val="28"/>
          <w:szCs w:val="28"/>
          <w:u w:val="single"/>
        </w:rPr>
        <w:t xml:space="preserve">  </w:t>
      </w:r>
      <w:r>
        <w:rPr>
          <w:rFonts w:hint="eastAsia" w:ascii="宋体" w:hAnsi="宋体" w:cs="宋体"/>
          <w:b/>
          <w:sz w:val="28"/>
          <w:szCs w:val="28"/>
        </w:rPr>
        <w:t>日</w:t>
      </w:r>
    </w:p>
    <w:p>
      <w:pPr>
        <w:pStyle w:val="44"/>
        <w:spacing w:line="720" w:lineRule="auto"/>
        <w:jc w:val="center"/>
        <w:rPr>
          <w:rFonts w:hint="default" w:cs="宋体"/>
          <w:b/>
          <w:sz w:val="36"/>
          <w:szCs w:val="36"/>
        </w:rPr>
      </w:pPr>
      <w:r>
        <w:rPr>
          <w:rFonts w:cs="宋体"/>
          <w:b/>
          <w:sz w:val="32"/>
          <w:szCs w:val="32"/>
        </w:rPr>
        <w:br w:type="page"/>
      </w:r>
      <w:r>
        <w:rPr>
          <w:rFonts w:cs="宋体"/>
          <w:b/>
          <w:sz w:val="36"/>
          <w:szCs w:val="36"/>
        </w:rPr>
        <w:t>目     录</w:t>
      </w:r>
    </w:p>
    <w:p>
      <w:pPr>
        <w:pStyle w:val="44"/>
        <w:spacing w:line="720" w:lineRule="auto"/>
        <w:ind w:firstLine="1320" w:firstLineChars="550"/>
        <w:jc w:val="both"/>
        <w:rPr>
          <w:rFonts w:hint="default" w:cs="宋体"/>
          <w:szCs w:val="24"/>
        </w:rPr>
      </w:pPr>
      <w:r>
        <w:rPr>
          <w:rFonts w:cs="宋体"/>
          <w:szCs w:val="24"/>
        </w:rPr>
        <w:t>一、投标函</w:t>
      </w:r>
    </w:p>
    <w:p>
      <w:pPr>
        <w:pStyle w:val="44"/>
        <w:spacing w:line="720" w:lineRule="auto"/>
        <w:ind w:firstLine="1320" w:firstLineChars="550"/>
        <w:jc w:val="both"/>
        <w:rPr>
          <w:rFonts w:hint="default" w:cs="宋体"/>
          <w:szCs w:val="24"/>
        </w:rPr>
      </w:pPr>
      <w:r>
        <w:rPr>
          <w:rFonts w:cs="宋体"/>
          <w:szCs w:val="24"/>
        </w:rPr>
        <w:t>二、法人委托授权书</w:t>
      </w:r>
    </w:p>
    <w:p>
      <w:pPr>
        <w:pStyle w:val="44"/>
        <w:spacing w:line="720" w:lineRule="auto"/>
        <w:ind w:firstLine="1320" w:firstLineChars="550"/>
        <w:jc w:val="both"/>
        <w:rPr>
          <w:rFonts w:hint="default" w:cs="宋体"/>
          <w:szCs w:val="24"/>
        </w:rPr>
      </w:pPr>
      <w:r>
        <w:rPr>
          <w:rFonts w:cs="宋体"/>
          <w:szCs w:val="24"/>
        </w:rPr>
        <w:t>三、开标一览表</w:t>
      </w:r>
    </w:p>
    <w:p>
      <w:pPr>
        <w:pStyle w:val="44"/>
        <w:spacing w:line="720" w:lineRule="auto"/>
        <w:ind w:firstLine="1320" w:firstLineChars="550"/>
        <w:jc w:val="both"/>
        <w:rPr>
          <w:rFonts w:hint="default" w:cs="宋体"/>
          <w:bCs/>
          <w:szCs w:val="24"/>
        </w:rPr>
      </w:pPr>
      <w:r>
        <w:rPr>
          <w:rFonts w:cs="宋体"/>
          <w:szCs w:val="24"/>
        </w:rPr>
        <w:t>四、企业基本状况简介</w:t>
      </w:r>
    </w:p>
    <w:p>
      <w:pPr>
        <w:pStyle w:val="44"/>
        <w:spacing w:line="720" w:lineRule="auto"/>
        <w:ind w:firstLine="1320" w:firstLineChars="550"/>
        <w:rPr>
          <w:rFonts w:hint="default" w:cs="宋体"/>
          <w:szCs w:val="24"/>
        </w:rPr>
      </w:pPr>
      <w:r>
        <w:rPr>
          <w:rFonts w:cs="宋体"/>
          <w:szCs w:val="24"/>
        </w:rPr>
        <w:t>五、</w:t>
      </w:r>
      <w:r>
        <w:rPr>
          <w:rFonts w:cs="宋体"/>
          <w:bCs/>
          <w:szCs w:val="24"/>
        </w:rPr>
        <w:t>技术方案</w:t>
      </w:r>
    </w:p>
    <w:p>
      <w:pPr>
        <w:pStyle w:val="44"/>
        <w:spacing w:line="720" w:lineRule="auto"/>
        <w:ind w:firstLine="1320" w:firstLineChars="550"/>
        <w:jc w:val="both"/>
        <w:rPr>
          <w:rFonts w:hint="default" w:cs="宋体"/>
          <w:szCs w:val="24"/>
        </w:rPr>
      </w:pPr>
      <w:r>
        <w:rPr>
          <w:rFonts w:cs="宋体"/>
          <w:szCs w:val="24"/>
        </w:rPr>
        <w:t>六、企业证明资料</w:t>
      </w:r>
    </w:p>
    <w:p>
      <w:pPr>
        <w:pStyle w:val="44"/>
        <w:spacing w:line="720" w:lineRule="auto"/>
        <w:ind w:firstLine="1320" w:firstLineChars="550"/>
        <w:jc w:val="both"/>
        <w:rPr>
          <w:rFonts w:hint="default" w:cs="宋体"/>
          <w:szCs w:val="24"/>
        </w:rPr>
      </w:pPr>
      <w:r>
        <w:rPr>
          <w:rFonts w:cs="宋体"/>
          <w:szCs w:val="24"/>
        </w:rPr>
        <w:t>七、技术及商务响应</w:t>
      </w:r>
    </w:p>
    <w:p>
      <w:pPr>
        <w:pStyle w:val="44"/>
        <w:spacing w:line="720" w:lineRule="auto"/>
        <w:ind w:firstLine="1320" w:firstLineChars="550"/>
        <w:jc w:val="both"/>
        <w:rPr>
          <w:rFonts w:hint="default" w:cs="宋体"/>
          <w:szCs w:val="24"/>
        </w:rPr>
      </w:pPr>
      <w:r>
        <w:rPr>
          <w:rFonts w:cs="宋体"/>
          <w:szCs w:val="24"/>
        </w:rPr>
        <w:t>八、其它</w:t>
      </w:r>
    </w:p>
    <w:p>
      <w:pPr>
        <w:widowControl/>
        <w:jc w:val="left"/>
        <w:rPr>
          <w:rFonts w:ascii="宋体" w:hAnsi="宋体" w:cs="宋体"/>
          <w:b/>
          <w:sz w:val="32"/>
          <w:szCs w:val="32"/>
        </w:rPr>
      </w:pPr>
      <w:r>
        <w:rPr>
          <w:rFonts w:hint="eastAsia"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一、投标函</w:t>
      </w:r>
    </w:p>
    <w:p>
      <w:pPr>
        <w:spacing w:line="360" w:lineRule="auto"/>
        <w:ind w:firstLine="480" w:firstLineChars="200"/>
        <w:rPr>
          <w:rFonts w:ascii="宋体" w:hAnsi="宋体" w:cs="宋体"/>
          <w:sz w:val="24"/>
          <w:u w:val="single"/>
        </w:rPr>
      </w:pPr>
      <w:r>
        <w:rPr>
          <w:rFonts w:hint="eastAsia" w:ascii="宋体" w:hAnsi="宋体" w:cs="宋体"/>
          <w:sz w:val="24"/>
          <w:u w:val="single"/>
        </w:rPr>
        <w:tab/>
      </w:r>
      <w:r>
        <w:rPr>
          <w:rFonts w:hint="eastAsia" w:ascii="宋体" w:hAnsi="宋体" w:cs="宋体"/>
          <w:sz w:val="24"/>
          <w:u w:val="single"/>
        </w:rPr>
        <w:t>（招标人全称）：</w:t>
      </w:r>
    </w:p>
    <w:p>
      <w:pPr>
        <w:pStyle w:val="8"/>
        <w:spacing w:line="400" w:lineRule="exact"/>
        <w:jc w:val="left"/>
        <w:rPr>
          <w:rFonts w:hAnsi="宋体" w:cs="宋体"/>
          <w:sz w:val="24"/>
          <w:szCs w:val="24"/>
        </w:rPr>
      </w:pPr>
      <w:r>
        <w:rPr>
          <w:rFonts w:hint="eastAsia" w:hAnsi="宋体" w:cs="宋体"/>
          <w:sz w:val="24"/>
          <w:szCs w:val="24"/>
        </w:rPr>
        <w:t xml:space="preserve">     _________(供应商全称)授权______________(授权代表姓名)_____________(职务、职称)为授权代表，参加贵方组织的______________(项目编号、项目名称)招标的有关活动。</w:t>
      </w:r>
    </w:p>
    <w:p>
      <w:pPr>
        <w:pStyle w:val="8"/>
        <w:spacing w:line="400" w:lineRule="exact"/>
        <w:jc w:val="left"/>
        <w:rPr>
          <w:rFonts w:hAnsi="宋体" w:cs="宋体"/>
          <w:sz w:val="24"/>
          <w:szCs w:val="24"/>
        </w:rPr>
      </w:pPr>
      <w:r>
        <w:rPr>
          <w:rFonts w:hint="eastAsia" w:hAnsi="宋体" w:cs="宋体"/>
          <w:sz w:val="24"/>
          <w:szCs w:val="24"/>
        </w:rPr>
        <w:t>总报价为：______________（元）。</w:t>
      </w:r>
    </w:p>
    <w:p>
      <w:pPr>
        <w:pStyle w:val="8"/>
        <w:spacing w:line="400" w:lineRule="exact"/>
        <w:jc w:val="left"/>
        <w:rPr>
          <w:rFonts w:hAnsi="宋体" w:cs="宋体"/>
          <w:sz w:val="24"/>
          <w:szCs w:val="24"/>
        </w:rPr>
      </w:pPr>
      <w:r>
        <w:rPr>
          <w:rFonts w:hint="eastAsia" w:hAnsi="宋体" w:cs="宋体"/>
          <w:sz w:val="24"/>
          <w:szCs w:val="24"/>
        </w:rPr>
        <w:t>1、我方承诺已经具备《中华人民共和国政府采购法》中第二十二条中规定的参加政府采购活动的投标供应商应当具备的条件：</w:t>
      </w:r>
    </w:p>
    <w:p>
      <w:pPr>
        <w:pStyle w:val="8"/>
        <w:spacing w:line="400" w:lineRule="exact"/>
        <w:jc w:val="left"/>
        <w:rPr>
          <w:rFonts w:hAnsi="宋体" w:cs="宋体"/>
          <w:sz w:val="24"/>
          <w:szCs w:val="24"/>
        </w:rPr>
      </w:pPr>
      <w:r>
        <w:rPr>
          <w:rFonts w:hint="eastAsia" w:hAnsi="宋体" w:cs="宋体"/>
          <w:sz w:val="24"/>
          <w:szCs w:val="24"/>
        </w:rPr>
        <w:t>（1）具有独立承担民事责任的能力；</w:t>
      </w:r>
    </w:p>
    <w:p>
      <w:pPr>
        <w:pStyle w:val="8"/>
        <w:spacing w:line="400" w:lineRule="exact"/>
        <w:jc w:val="left"/>
        <w:rPr>
          <w:rFonts w:hAnsi="宋体" w:cs="宋体"/>
          <w:sz w:val="24"/>
          <w:szCs w:val="24"/>
        </w:rPr>
      </w:pPr>
      <w:r>
        <w:rPr>
          <w:rFonts w:hint="eastAsia" w:hAnsi="宋体" w:cs="宋体"/>
          <w:sz w:val="24"/>
          <w:szCs w:val="24"/>
        </w:rPr>
        <w:t>（2）具有良好的商业信誉和健全的财务会计制度；</w:t>
      </w:r>
    </w:p>
    <w:p>
      <w:pPr>
        <w:pStyle w:val="8"/>
        <w:spacing w:line="400" w:lineRule="exact"/>
        <w:jc w:val="left"/>
        <w:rPr>
          <w:rFonts w:hAnsi="宋体" w:cs="宋体"/>
          <w:sz w:val="24"/>
          <w:szCs w:val="24"/>
        </w:rPr>
      </w:pPr>
      <w:r>
        <w:rPr>
          <w:rFonts w:hint="eastAsia" w:hAnsi="宋体" w:cs="宋体"/>
          <w:sz w:val="24"/>
          <w:szCs w:val="24"/>
        </w:rPr>
        <w:t>（3）具有履行合同所必需的设备和专业技术能力；</w:t>
      </w:r>
    </w:p>
    <w:p>
      <w:pPr>
        <w:pStyle w:val="8"/>
        <w:spacing w:line="400" w:lineRule="exact"/>
        <w:jc w:val="left"/>
        <w:rPr>
          <w:rFonts w:hAnsi="宋体" w:cs="宋体"/>
          <w:sz w:val="24"/>
          <w:szCs w:val="24"/>
        </w:rPr>
      </w:pPr>
      <w:r>
        <w:rPr>
          <w:rFonts w:hint="eastAsia" w:hAnsi="宋体" w:cs="宋体"/>
          <w:sz w:val="24"/>
          <w:szCs w:val="24"/>
        </w:rPr>
        <w:t>（4）有依法缴纳税收和社会保障资金的良好记录；</w:t>
      </w:r>
    </w:p>
    <w:p>
      <w:pPr>
        <w:pStyle w:val="8"/>
        <w:spacing w:line="400" w:lineRule="exact"/>
        <w:jc w:val="left"/>
        <w:rPr>
          <w:rFonts w:hAnsi="宋体" w:cs="宋体"/>
          <w:sz w:val="24"/>
          <w:szCs w:val="24"/>
        </w:rPr>
      </w:pPr>
      <w:r>
        <w:rPr>
          <w:rFonts w:hint="eastAsia" w:hAnsi="宋体" w:cs="宋体"/>
          <w:sz w:val="24"/>
          <w:szCs w:val="24"/>
        </w:rPr>
        <w:t>2、我方将严格遵守《中华人民共和国政府采购法》的有关规定，若有下列情形之一，将被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pStyle w:val="8"/>
        <w:spacing w:line="400" w:lineRule="exact"/>
        <w:jc w:val="left"/>
        <w:rPr>
          <w:rFonts w:hAnsi="宋体" w:cs="宋体"/>
          <w:sz w:val="24"/>
          <w:szCs w:val="24"/>
        </w:rPr>
      </w:pPr>
      <w:r>
        <w:rPr>
          <w:rFonts w:hint="eastAsia" w:hAnsi="宋体" w:cs="宋体"/>
          <w:sz w:val="24"/>
          <w:szCs w:val="24"/>
        </w:rPr>
        <w:t>（1）提供虚假材料谋取中标、成交的；重大违法记录；</w:t>
      </w:r>
    </w:p>
    <w:p>
      <w:pPr>
        <w:pStyle w:val="8"/>
        <w:spacing w:line="400" w:lineRule="exact"/>
        <w:jc w:val="left"/>
        <w:rPr>
          <w:rFonts w:hAnsi="宋体" w:cs="宋体"/>
          <w:sz w:val="24"/>
          <w:szCs w:val="24"/>
        </w:rPr>
      </w:pPr>
      <w:r>
        <w:rPr>
          <w:rFonts w:hint="eastAsia" w:hAnsi="宋体" w:cs="宋体"/>
          <w:sz w:val="24"/>
          <w:szCs w:val="24"/>
        </w:rPr>
        <w:t>（2）法律、行政法规规定的其他条件。</w:t>
      </w:r>
    </w:p>
    <w:p>
      <w:pPr>
        <w:pStyle w:val="8"/>
        <w:spacing w:line="400" w:lineRule="exact"/>
        <w:jc w:val="left"/>
        <w:rPr>
          <w:rFonts w:hAnsi="宋体" w:cs="宋体"/>
          <w:sz w:val="24"/>
          <w:szCs w:val="24"/>
        </w:rPr>
      </w:pPr>
      <w:r>
        <w:rPr>
          <w:rFonts w:hint="eastAsia" w:hAnsi="宋体" w:cs="宋体"/>
          <w:sz w:val="24"/>
          <w:szCs w:val="24"/>
        </w:rPr>
        <w:t>（3）采取不正当手段诋毁、排挤其他供应商的；</w:t>
      </w:r>
    </w:p>
    <w:p>
      <w:pPr>
        <w:pStyle w:val="8"/>
        <w:spacing w:line="400" w:lineRule="exact"/>
        <w:jc w:val="left"/>
        <w:rPr>
          <w:rFonts w:hAnsi="宋体" w:cs="宋体"/>
          <w:sz w:val="24"/>
          <w:szCs w:val="24"/>
        </w:rPr>
      </w:pPr>
      <w:r>
        <w:rPr>
          <w:rFonts w:hint="eastAsia" w:hAnsi="宋体" w:cs="宋体"/>
          <w:sz w:val="24"/>
          <w:szCs w:val="24"/>
        </w:rPr>
        <w:t>（4）与采购人、其他供应商或者采购代理机构恶意串通的；</w:t>
      </w:r>
    </w:p>
    <w:p>
      <w:pPr>
        <w:pStyle w:val="8"/>
        <w:spacing w:line="400" w:lineRule="exact"/>
        <w:jc w:val="left"/>
        <w:rPr>
          <w:rFonts w:hAnsi="宋体" w:cs="宋体"/>
          <w:sz w:val="24"/>
          <w:szCs w:val="24"/>
        </w:rPr>
      </w:pPr>
      <w:r>
        <w:rPr>
          <w:rFonts w:hint="eastAsia" w:hAnsi="宋体" w:cs="宋体"/>
          <w:sz w:val="24"/>
          <w:szCs w:val="24"/>
        </w:rPr>
        <w:t>（5）向采购人、采购代理机构行贿或者提供其他不正当利益的；</w:t>
      </w:r>
    </w:p>
    <w:p>
      <w:pPr>
        <w:pStyle w:val="8"/>
        <w:spacing w:line="400" w:lineRule="exact"/>
        <w:jc w:val="left"/>
        <w:rPr>
          <w:rFonts w:hAnsi="宋体" w:cs="宋体"/>
          <w:sz w:val="24"/>
          <w:szCs w:val="24"/>
        </w:rPr>
      </w:pPr>
      <w:r>
        <w:rPr>
          <w:rFonts w:hint="eastAsia" w:hAnsi="宋体" w:cs="宋体"/>
          <w:sz w:val="24"/>
          <w:szCs w:val="24"/>
        </w:rPr>
        <w:t>（6）在采购过程中与采购人进行协商谈判的；</w:t>
      </w:r>
    </w:p>
    <w:p>
      <w:pPr>
        <w:pStyle w:val="8"/>
        <w:spacing w:line="400" w:lineRule="exact"/>
        <w:jc w:val="left"/>
        <w:rPr>
          <w:rFonts w:hAnsi="宋体" w:cs="宋体"/>
          <w:sz w:val="24"/>
          <w:szCs w:val="24"/>
        </w:rPr>
      </w:pPr>
      <w:r>
        <w:rPr>
          <w:rFonts w:hint="eastAsia" w:hAnsi="宋体" w:cs="宋体"/>
          <w:sz w:val="24"/>
          <w:szCs w:val="24"/>
        </w:rPr>
        <w:t>（7）拒绝有关部门监督检查或者提供虚假情况的。</w:t>
      </w:r>
    </w:p>
    <w:p>
      <w:pPr>
        <w:pStyle w:val="8"/>
        <w:spacing w:line="400" w:lineRule="exact"/>
        <w:jc w:val="left"/>
        <w:rPr>
          <w:rFonts w:hAnsi="宋体" w:cs="宋体"/>
          <w:sz w:val="24"/>
          <w:szCs w:val="24"/>
        </w:rPr>
      </w:pPr>
      <w:r>
        <w:rPr>
          <w:rFonts w:hint="eastAsia" w:hAnsi="宋体" w:cs="宋体"/>
          <w:sz w:val="24"/>
          <w:szCs w:val="24"/>
        </w:rPr>
        <w:t>3、完全满足招标文件中全部实质性要求。</w:t>
      </w:r>
    </w:p>
    <w:p>
      <w:pPr>
        <w:pStyle w:val="8"/>
        <w:spacing w:line="400" w:lineRule="exact"/>
        <w:jc w:val="left"/>
        <w:rPr>
          <w:rFonts w:hAnsi="宋体" w:cs="宋体"/>
          <w:sz w:val="24"/>
          <w:szCs w:val="24"/>
        </w:rPr>
      </w:pPr>
      <w:r>
        <w:rPr>
          <w:rFonts w:hint="eastAsia" w:hAnsi="宋体" w:cs="宋体"/>
          <w:sz w:val="24"/>
          <w:szCs w:val="24"/>
        </w:rPr>
        <w:t>4、提供规定的全部响应文件：正本</w:t>
      </w:r>
      <w:r>
        <w:rPr>
          <w:rFonts w:hint="eastAsia" w:hAnsi="宋体" w:cs="宋体"/>
          <w:b/>
          <w:sz w:val="28"/>
          <w:szCs w:val="28"/>
          <w:u w:val="single"/>
        </w:rPr>
        <w:t xml:space="preserve">  </w:t>
      </w:r>
      <w:r>
        <w:rPr>
          <w:rFonts w:hint="eastAsia" w:hAnsi="宋体" w:cs="宋体"/>
          <w:sz w:val="24"/>
          <w:szCs w:val="24"/>
        </w:rPr>
        <w:t>份、副本</w:t>
      </w:r>
      <w:r>
        <w:rPr>
          <w:rFonts w:hint="eastAsia" w:hAnsi="宋体" w:cs="宋体"/>
          <w:b/>
          <w:sz w:val="28"/>
          <w:szCs w:val="28"/>
          <w:u w:val="single"/>
        </w:rPr>
        <w:t xml:space="preserve">  </w:t>
      </w:r>
      <w:r>
        <w:rPr>
          <w:rFonts w:hint="eastAsia" w:hAnsi="宋体" w:cs="宋体"/>
          <w:sz w:val="24"/>
          <w:szCs w:val="24"/>
        </w:rPr>
        <w:t>份，电子版</w:t>
      </w:r>
      <w:r>
        <w:rPr>
          <w:rFonts w:hint="eastAsia" w:hAnsi="宋体" w:cs="宋体"/>
          <w:b/>
          <w:sz w:val="28"/>
          <w:szCs w:val="28"/>
          <w:u w:val="single"/>
        </w:rPr>
        <w:t xml:space="preserve">  </w:t>
      </w:r>
      <w:r>
        <w:rPr>
          <w:rFonts w:hint="eastAsia" w:hAnsi="宋体" w:cs="宋体"/>
          <w:sz w:val="24"/>
          <w:szCs w:val="24"/>
        </w:rPr>
        <w:t>份。</w:t>
      </w:r>
    </w:p>
    <w:p>
      <w:pPr>
        <w:pStyle w:val="8"/>
        <w:spacing w:line="400" w:lineRule="exact"/>
        <w:jc w:val="left"/>
        <w:rPr>
          <w:rFonts w:hAnsi="宋体" w:cs="宋体"/>
          <w:sz w:val="24"/>
          <w:szCs w:val="24"/>
        </w:rPr>
      </w:pPr>
      <w:r>
        <w:rPr>
          <w:rFonts w:hint="eastAsia" w:hAnsi="宋体" w:cs="宋体"/>
          <w:sz w:val="24"/>
          <w:szCs w:val="24"/>
        </w:rPr>
        <w:t>5、保证遵守响应文件中的有关规定。</w:t>
      </w:r>
    </w:p>
    <w:p>
      <w:pPr>
        <w:pStyle w:val="8"/>
        <w:spacing w:line="400" w:lineRule="exact"/>
        <w:jc w:val="left"/>
        <w:rPr>
          <w:rFonts w:hAnsi="宋体" w:cs="宋体"/>
          <w:sz w:val="24"/>
          <w:szCs w:val="24"/>
        </w:rPr>
      </w:pPr>
      <w:r>
        <w:rPr>
          <w:rFonts w:hint="eastAsia" w:hAnsi="宋体" w:cs="宋体"/>
          <w:sz w:val="24"/>
          <w:szCs w:val="24"/>
        </w:rPr>
        <w:t>6、保证严格执行双方所签的采购合同，并承担合同规定的责任义务。</w:t>
      </w:r>
    </w:p>
    <w:p>
      <w:pPr>
        <w:pStyle w:val="8"/>
        <w:spacing w:line="400" w:lineRule="exact"/>
        <w:jc w:val="left"/>
        <w:rPr>
          <w:rFonts w:hAnsi="宋体" w:cs="宋体"/>
          <w:sz w:val="24"/>
          <w:szCs w:val="24"/>
        </w:rPr>
      </w:pPr>
      <w:r>
        <w:rPr>
          <w:rFonts w:hint="eastAsia" w:hAnsi="宋体" w:cs="宋体"/>
          <w:sz w:val="24"/>
          <w:szCs w:val="24"/>
        </w:rPr>
        <w:t>7、愿意向贵方提供任何与招标有关的资料、情况和技术资料。</w:t>
      </w:r>
    </w:p>
    <w:p>
      <w:pPr>
        <w:pStyle w:val="8"/>
        <w:spacing w:line="400" w:lineRule="exact"/>
        <w:jc w:val="left"/>
        <w:rPr>
          <w:rFonts w:hAnsi="宋体" w:cs="宋体"/>
          <w:sz w:val="24"/>
          <w:szCs w:val="24"/>
        </w:rPr>
      </w:pPr>
      <w:r>
        <w:rPr>
          <w:rFonts w:hint="eastAsia" w:hAnsi="宋体" w:cs="宋体"/>
          <w:sz w:val="24"/>
          <w:szCs w:val="24"/>
        </w:rPr>
        <w:t xml:space="preserve">8、本报价响应文件自开标之日起 </w:t>
      </w:r>
      <w:r>
        <w:rPr>
          <w:rFonts w:hint="eastAsia" w:hAnsi="宋体" w:cs="宋体"/>
          <w:sz w:val="24"/>
          <w:szCs w:val="24"/>
          <w:u w:val="single"/>
        </w:rPr>
        <w:t xml:space="preserve">   </w:t>
      </w:r>
      <w:r>
        <w:rPr>
          <w:rFonts w:hint="eastAsia" w:hAnsi="宋体" w:cs="宋体"/>
          <w:sz w:val="24"/>
          <w:szCs w:val="24"/>
        </w:rPr>
        <w:t>日内有效。</w:t>
      </w:r>
    </w:p>
    <w:p>
      <w:pPr>
        <w:pStyle w:val="8"/>
        <w:spacing w:line="400" w:lineRule="exact"/>
        <w:jc w:val="left"/>
        <w:rPr>
          <w:rFonts w:hAnsi="宋体" w:cs="宋体"/>
          <w:sz w:val="24"/>
          <w:szCs w:val="24"/>
        </w:rPr>
      </w:pPr>
      <w:r>
        <w:rPr>
          <w:rFonts w:hint="eastAsia" w:hAnsi="宋体" w:cs="宋体"/>
          <w:sz w:val="24"/>
          <w:szCs w:val="24"/>
        </w:rPr>
        <w:t>9、与本招标有关的一切来往通讯请寄：</w:t>
      </w:r>
    </w:p>
    <w:p>
      <w:pPr>
        <w:pStyle w:val="8"/>
        <w:spacing w:line="400" w:lineRule="exact"/>
        <w:jc w:val="left"/>
        <w:rPr>
          <w:rFonts w:hAnsi="宋体" w:cs="宋体"/>
          <w:sz w:val="24"/>
          <w:szCs w:val="24"/>
        </w:rPr>
      </w:pPr>
      <w:r>
        <w:rPr>
          <w:rFonts w:hint="eastAsia" w:hAnsi="宋体" w:cs="宋体"/>
          <w:sz w:val="24"/>
          <w:szCs w:val="24"/>
        </w:rPr>
        <w:t>地址：_____邮编：______电话：_______传真：______</w:t>
      </w:r>
    </w:p>
    <w:p>
      <w:pPr>
        <w:pStyle w:val="8"/>
        <w:spacing w:line="400" w:lineRule="exact"/>
        <w:jc w:val="left"/>
        <w:rPr>
          <w:rFonts w:hAnsi="宋体" w:cs="宋体"/>
          <w:sz w:val="24"/>
          <w:szCs w:val="24"/>
        </w:rPr>
      </w:pPr>
      <w:r>
        <w:rPr>
          <w:rFonts w:hint="eastAsia" w:hAnsi="宋体" w:cs="宋体"/>
          <w:sz w:val="24"/>
          <w:szCs w:val="24"/>
        </w:rPr>
        <w:t xml:space="preserve">                                供应商全称（公章）：</w:t>
      </w:r>
    </w:p>
    <w:p>
      <w:pPr>
        <w:pStyle w:val="8"/>
        <w:spacing w:line="400" w:lineRule="exact"/>
        <w:jc w:val="left"/>
        <w:rPr>
          <w:rFonts w:hAnsi="宋体" w:cs="宋体"/>
          <w:sz w:val="24"/>
          <w:szCs w:val="24"/>
        </w:rPr>
      </w:pPr>
      <w:r>
        <w:rPr>
          <w:rFonts w:hint="eastAsia" w:hAnsi="宋体" w:cs="宋体"/>
          <w:sz w:val="24"/>
          <w:szCs w:val="24"/>
        </w:rPr>
        <w:t xml:space="preserve">                                授权代表（签字或盖章）：                    </w:t>
      </w:r>
    </w:p>
    <w:p>
      <w:pPr>
        <w:pStyle w:val="8"/>
        <w:spacing w:line="400" w:lineRule="exact"/>
        <w:jc w:val="center"/>
        <w:rPr>
          <w:rFonts w:hAnsi="宋体" w:cs="宋体"/>
          <w:sz w:val="24"/>
          <w:szCs w:val="24"/>
        </w:rPr>
      </w:pPr>
      <w:r>
        <w:rPr>
          <w:rFonts w:hint="eastAsia" w:hAnsi="宋体" w:cs="宋体"/>
          <w:sz w:val="24"/>
          <w:szCs w:val="24"/>
        </w:rPr>
        <w:t xml:space="preserve">                                日     期：</w:t>
      </w:r>
      <w:r>
        <w:rPr>
          <w:rFonts w:hint="eastAsia" w:hAnsi="宋体" w:cs="宋体"/>
          <w:sz w:val="24"/>
          <w:u w:val="single"/>
        </w:rPr>
        <w:t xml:space="preserve">  </w:t>
      </w:r>
      <w:r>
        <w:rPr>
          <w:rFonts w:hint="eastAsia" w:hAnsi="宋体" w:cs="宋体"/>
          <w:sz w:val="24"/>
        </w:rPr>
        <w:t>年</w:t>
      </w:r>
      <w:r>
        <w:rPr>
          <w:rFonts w:hint="eastAsia" w:hAnsi="宋体" w:cs="宋体"/>
          <w:sz w:val="24"/>
          <w:u w:val="single"/>
        </w:rPr>
        <w:t xml:space="preserve">  </w:t>
      </w:r>
      <w:r>
        <w:rPr>
          <w:rFonts w:hint="eastAsia" w:hAnsi="宋体" w:cs="宋体"/>
          <w:sz w:val="24"/>
        </w:rPr>
        <w:t>月</w:t>
      </w:r>
      <w:r>
        <w:rPr>
          <w:rFonts w:hint="eastAsia" w:hAnsi="宋体" w:cs="宋体"/>
          <w:sz w:val="24"/>
          <w:u w:val="single"/>
        </w:rPr>
        <w:t xml:space="preserve">  </w:t>
      </w:r>
      <w:r>
        <w:rPr>
          <w:rFonts w:hint="eastAsia" w:hAnsi="宋体" w:cs="宋体"/>
          <w:sz w:val="24"/>
        </w:rPr>
        <w:t>日</w:t>
      </w:r>
    </w:p>
    <w:p>
      <w:pPr>
        <w:rPr>
          <w:rFonts w:hAnsi="宋体" w:cs="宋体"/>
          <w:b/>
          <w:sz w:val="32"/>
          <w:szCs w:val="32"/>
        </w:rPr>
      </w:pPr>
      <w:r>
        <w:rPr>
          <w:rFonts w:hint="eastAsia" w:hAnsi="宋体" w:cs="宋体"/>
          <w:b/>
          <w:sz w:val="32"/>
          <w:szCs w:val="32"/>
        </w:rPr>
        <w:br w:type="page"/>
      </w:r>
    </w:p>
    <w:p>
      <w:pPr>
        <w:pStyle w:val="8"/>
        <w:spacing w:line="400" w:lineRule="exact"/>
        <w:jc w:val="center"/>
        <w:rPr>
          <w:rFonts w:hAnsi="宋体" w:cs="宋体"/>
          <w:sz w:val="24"/>
          <w:szCs w:val="24"/>
        </w:rPr>
      </w:pPr>
      <w:r>
        <w:rPr>
          <w:rFonts w:hint="eastAsia" w:hAnsi="宋体" w:cs="宋体"/>
          <w:b/>
          <w:sz w:val="32"/>
          <w:szCs w:val="32"/>
        </w:rPr>
        <w:t>二、法人授权委托书</w:t>
      </w:r>
    </w:p>
    <w:p>
      <w:pPr>
        <w:spacing w:line="360" w:lineRule="auto"/>
        <w:rPr>
          <w:rFonts w:ascii="宋体" w:hAnsi="宋体" w:cs="宋体"/>
          <w:sz w:val="24"/>
        </w:rPr>
      </w:pPr>
      <w:r>
        <w:rPr>
          <w:rFonts w:hint="eastAsia" w:ascii="宋体" w:hAnsi="宋体" w:cs="宋体"/>
          <w:sz w:val="24"/>
        </w:rPr>
        <w:t>致：</w:t>
      </w:r>
    </w:p>
    <w:p>
      <w:pPr>
        <w:spacing w:line="480" w:lineRule="auto"/>
        <w:ind w:firstLine="720" w:firstLineChars="300"/>
        <w:rPr>
          <w:rFonts w:ascii="宋体" w:hAnsi="宋体" w:cs="宋体"/>
          <w:sz w:val="24"/>
        </w:rPr>
      </w:pPr>
      <w:r>
        <w:rPr>
          <w:rFonts w:hint="eastAsia" w:ascii="宋体" w:hAnsi="宋体" w:cs="宋体"/>
          <w:sz w:val="24"/>
          <w:u w:val="single"/>
        </w:rPr>
        <w:t>注册于（工商行政管理局名称）之（投标人全称）（法人代表人姓名、职务）</w:t>
      </w:r>
      <w:r>
        <w:rPr>
          <w:rFonts w:hint="eastAsia" w:ascii="宋体" w:hAnsi="宋体" w:cs="宋体"/>
          <w:sz w:val="24"/>
        </w:rPr>
        <w:t>授权</w:t>
      </w:r>
      <w:r>
        <w:rPr>
          <w:rFonts w:hint="eastAsia" w:ascii="宋体" w:hAnsi="宋体" w:cs="宋体"/>
          <w:sz w:val="24"/>
          <w:u w:val="single"/>
        </w:rPr>
        <w:t>（被授权人姓名、职务）</w:t>
      </w:r>
      <w:r>
        <w:rPr>
          <w:rFonts w:hint="eastAsia" w:ascii="宋体" w:hAnsi="宋体" w:cs="宋体"/>
          <w:sz w:val="24"/>
        </w:rPr>
        <w:t>为全权代表，参加贵公司组织的招标活动，全权处理招标活动中的一切事宜。</w:t>
      </w:r>
    </w:p>
    <w:p>
      <w:pPr>
        <w:spacing w:line="480" w:lineRule="auto"/>
        <w:rPr>
          <w:rFonts w:ascii="宋体" w:hAnsi="宋体" w:cs="宋体"/>
          <w:sz w:val="24"/>
        </w:rPr>
      </w:pPr>
      <w:r>
        <w:rPr>
          <w:rFonts w:hint="eastAsia" w:ascii="宋体" w:hAnsi="宋体" w:cs="宋体"/>
          <w:sz w:val="24"/>
        </w:rPr>
        <w:t>我公司对被授权人的签名负全部责任。</w:t>
      </w:r>
    </w:p>
    <w:p>
      <w:pPr>
        <w:spacing w:line="360" w:lineRule="auto"/>
        <w:ind w:firstLine="360" w:firstLineChars="150"/>
        <w:rPr>
          <w:rFonts w:ascii="宋体" w:hAnsi="宋体" w:cs="宋体"/>
          <w:sz w:val="24"/>
        </w:rPr>
      </w:pPr>
      <w:r>
        <w:rPr>
          <w:rFonts w:hint="eastAsia" w:ascii="宋体" w:hAnsi="宋体" w:cs="宋体"/>
          <w:sz w:val="24"/>
        </w:rPr>
        <w:t>授权期限：本授权的有效期为自开标之日起90日历天。</w:t>
      </w:r>
    </w:p>
    <w:p>
      <w:pPr>
        <w:spacing w:line="360" w:lineRule="auto"/>
        <w:ind w:firstLine="360" w:firstLineChars="150"/>
        <w:outlineLvl w:val="0"/>
        <w:rPr>
          <w:rFonts w:ascii="宋体" w:hAnsi="宋体" w:cs="宋体"/>
          <w:sz w:val="24"/>
        </w:rPr>
      </w:pPr>
      <w:r>
        <w:rPr>
          <w:rFonts w:hint="eastAsia" w:ascii="宋体" w:hAnsi="宋体" w:cs="宋体"/>
          <w:sz w:val="24"/>
        </w:rPr>
        <w:t>法定代表人签名或盖章：                        被授权人签字或盖章：</w:t>
      </w:r>
    </w:p>
    <w:p>
      <w:pPr>
        <w:spacing w:line="360" w:lineRule="auto"/>
        <w:ind w:firstLine="360" w:firstLineChars="150"/>
        <w:outlineLvl w:val="0"/>
        <w:rPr>
          <w:rFonts w:ascii="宋体" w:hAnsi="宋体" w:cs="宋体"/>
          <w:sz w:val="24"/>
        </w:rPr>
      </w:pPr>
      <w:r>
        <w:rPr>
          <w:rFonts w:hint="eastAsia" w:ascii="宋体" w:hAnsi="宋体" w:cs="宋体"/>
          <w:sz w:val="24"/>
        </w:rPr>
        <w:t>职          务：                        职        务：</w:t>
      </w:r>
    </w:p>
    <w:p>
      <w:pPr>
        <w:spacing w:line="360" w:lineRule="auto"/>
        <w:ind w:firstLine="360" w:firstLineChars="150"/>
        <w:outlineLvl w:val="0"/>
        <w:rPr>
          <w:rFonts w:ascii="宋体" w:hAnsi="宋体" w:cs="宋体"/>
          <w:sz w:val="24"/>
        </w:rPr>
      </w:pPr>
      <w:r>
        <w:rPr>
          <w:rFonts w:hint="eastAsia" w:ascii="宋体" w:hAnsi="宋体" w:cs="宋体"/>
          <w:sz w:val="24"/>
        </w:rPr>
        <w:t>身  份  证  号：                        身 份 证  号 ：</w:t>
      </w:r>
    </w:p>
    <w:p>
      <w:pPr>
        <w:outlineLvl w:val="0"/>
        <w:rPr>
          <w:rFonts w:ascii="宋体" w:hAnsi="宋体" w:cs="宋体"/>
          <w:sz w:val="18"/>
          <w:szCs w:val="18"/>
        </w:rPr>
      </w:pPr>
    </w:p>
    <w:p>
      <w:pPr>
        <w:spacing w:line="360" w:lineRule="auto"/>
        <w:outlineLvl w:val="0"/>
        <w:rPr>
          <w:rFonts w:ascii="宋体" w:hAnsi="宋体" w:cs="宋体"/>
          <w:sz w:val="24"/>
        </w:rPr>
      </w:pPr>
      <w:r>
        <w:rPr>
          <w:rFonts w:hint="eastAsia" w:ascii="宋体" w:hAnsi="宋体" w:cs="宋体"/>
          <w:sz w:val="24"/>
        </w:rPr>
        <w:t>附：法定代表人、被授权人身份证复印件。（二代身份证正、反两面都需复印）</w:t>
      </w:r>
    </w:p>
    <w:tbl>
      <w:tblPr>
        <w:tblStyle w:val="19"/>
        <w:tblW w:w="96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8"/>
        <w:gridCol w:w="4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483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outlineLvl w:val="0"/>
              <w:rPr>
                <w:rFonts w:ascii="宋体" w:hAnsi="宋体" w:cs="宋体"/>
                <w:sz w:val="24"/>
              </w:rPr>
            </w:pPr>
          </w:p>
          <w:p>
            <w:pPr>
              <w:spacing w:line="288" w:lineRule="auto"/>
              <w:jc w:val="center"/>
              <w:outlineLvl w:val="0"/>
              <w:rPr>
                <w:rFonts w:ascii="宋体" w:hAnsi="宋体" w:cs="宋体"/>
                <w:sz w:val="24"/>
              </w:rPr>
            </w:pPr>
          </w:p>
          <w:p>
            <w:pPr>
              <w:spacing w:line="288" w:lineRule="auto"/>
              <w:jc w:val="center"/>
              <w:outlineLvl w:val="0"/>
              <w:rPr>
                <w:rFonts w:ascii="宋体" w:hAnsi="宋体" w:cs="宋体"/>
                <w:sz w:val="24"/>
              </w:rPr>
            </w:pPr>
            <w:r>
              <w:rPr>
                <w:rFonts w:hint="eastAsia" w:ascii="宋体" w:hAnsi="宋体" w:cs="宋体"/>
                <w:sz w:val="24"/>
              </w:rPr>
              <w:t>法定代表人身份证复印件</w:t>
            </w:r>
          </w:p>
          <w:p>
            <w:pPr>
              <w:spacing w:line="288" w:lineRule="auto"/>
              <w:jc w:val="center"/>
              <w:outlineLvl w:val="0"/>
              <w:rPr>
                <w:rFonts w:ascii="宋体" w:hAnsi="宋体" w:cs="宋体"/>
                <w:sz w:val="24"/>
              </w:rPr>
            </w:pPr>
          </w:p>
          <w:p>
            <w:pPr>
              <w:spacing w:line="288" w:lineRule="auto"/>
              <w:jc w:val="center"/>
              <w:outlineLvl w:val="0"/>
              <w:rPr>
                <w:rFonts w:ascii="宋体" w:hAnsi="宋体" w:cs="宋体"/>
                <w:sz w:val="24"/>
              </w:rPr>
            </w:pPr>
          </w:p>
        </w:tc>
        <w:tc>
          <w:tcPr>
            <w:tcW w:w="4839" w:type="dxa"/>
            <w:tcBorders>
              <w:left w:val="single" w:color="auto" w:sz="4" w:space="0"/>
            </w:tcBorders>
            <w:vAlign w:val="center"/>
          </w:tcPr>
          <w:p>
            <w:pPr>
              <w:spacing w:line="288" w:lineRule="auto"/>
              <w:jc w:val="center"/>
              <w:outlineLvl w:val="0"/>
              <w:rPr>
                <w:rFonts w:ascii="宋体" w:hAnsi="宋体" w:cs="宋体"/>
                <w:sz w:val="24"/>
              </w:rPr>
            </w:pPr>
            <w:r>
              <w:rPr>
                <w:rFonts w:hint="eastAsia" w:ascii="宋体" w:hAnsi="宋体" w:cs="宋体"/>
                <w:sz w:val="24"/>
              </w:rPr>
              <w:t>被授权人身份证复印件</w:t>
            </w:r>
          </w:p>
          <w:p>
            <w:pPr>
              <w:spacing w:line="288" w:lineRule="auto"/>
              <w:jc w:val="center"/>
              <w:outlineLvl w:val="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4838" w:type="dxa"/>
            <w:tcBorders>
              <w:top w:val="single" w:color="auto" w:sz="4" w:space="0"/>
              <w:left w:val="single" w:color="auto" w:sz="4" w:space="0"/>
              <w:bottom w:val="single" w:color="auto" w:sz="4" w:space="0"/>
              <w:right w:val="single" w:color="auto" w:sz="4" w:space="0"/>
            </w:tcBorders>
            <w:vAlign w:val="center"/>
          </w:tcPr>
          <w:p>
            <w:pPr>
              <w:spacing w:line="288" w:lineRule="auto"/>
              <w:jc w:val="center"/>
              <w:outlineLvl w:val="0"/>
              <w:rPr>
                <w:rFonts w:ascii="宋体" w:hAnsi="宋体" w:cs="宋体"/>
                <w:sz w:val="24"/>
              </w:rPr>
            </w:pPr>
            <w:r>
              <w:rPr>
                <w:rFonts w:hint="eastAsia" w:ascii="宋体" w:hAnsi="宋体" w:cs="宋体"/>
                <w:sz w:val="24"/>
              </w:rPr>
              <w:t>法定代表人身份证复印件</w:t>
            </w:r>
          </w:p>
          <w:p>
            <w:pPr>
              <w:spacing w:line="288" w:lineRule="auto"/>
              <w:jc w:val="center"/>
              <w:outlineLvl w:val="0"/>
              <w:rPr>
                <w:rFonts w:ascii="宋体" w:hAnsi="宋体" w:cs="宋体"/>
                <w:sz w:val="24"/>
              </w:rPr>
            </w:pPr>
          </w:p>
        </w:tc>
        <w:tc>
          <w:tcPr>
            <w:tcW w:w="4839" w:type="dxa"/>
            <w:tcBorders>
              <w:left w:val="single" w:color="auto" w:sz="4" w:space="0"/>
            </w:tcBorders>
            <w:vAlign w:val="center"/>
          </w:tcPr>
          <w:p>
            <w:pPr>
              <w:spacing w:line="288" w:lineRule="auto"/>
              <w:jc w:val="center"/>
              <w:outlineLvl w:val="0"/>
              <w:rPr>
                <w:rFonts w:ascii="宋体" w:hAnsi="宋体" w:cs="宋体"/>
                <w:sz w:val="24"/>
              </w:rPr>
            </w:pPr>
            <w:r>
              <w:rPr>
                <w:rFonts w:hint="eastAsia" w:ascii="宋体" w:hAnsi="宋体" w:cs="宋体"/>
                <w:sz w:val="24"/>
              </w:rPr>
              <w:t>被授权人身份证复印件</w:t>
            </w:r>
          </w:p>
          <w:p>
            <w:pPr>
              <w:spacing w:line="288" w:lineRule="auto"/>
              <w:jc w:val="center"/>
              <w:outlineLvl w:val="0"/>
              <w:rPr>
                <w:rFonts w:ascii="宋体" w:hAnsi="宋体" w:cs="宋体"/>
                <w:sz w:val="24"/>
              </w:rPr>
            </w:pPr>
          </w:p>
        </w:tc>
      </w:tr>
    </w:tbl>
    <w:p>
      <w:pPr>
        <w:spacing w:line="600" w:lineRule="auto"/>
        <w:ind w:firstLine="4320" w:firstLineChars="1800"/>
        <w:rPr>
          <w:rFonts w:ascii="宋体" w:hAnsi="宋体" w:cs="宋体"/>
          <w:sz w:val="24"/>
          <w:u w:val="single"/>
        </w:rPr>
      </w:pPr>
      <w:r>
        <w:rPr>
          <w:rFonts w:hint="eastAsia" w:ascii="宋体" w:hAnsi="宋体" w:cs="宋体"/>
          <w:sz w:val="24"/>
        </w:rPr>
        <w:t>投标人名称（公章）：</w:t>
      </w:r>
      <w:r>
        <w:rPr>
          <w:rFonts w:hint="eastAsia" w:ascii="宋体" w:hAnsi="宋体" w:cs="宋体"/>
          <w:sz w:val="24"/>
          <w:u w:val="single"/>
        </w:rPr>
        <w:t xml:space="preserve">        </w:t>
      </w:r>
      <w:r>
        <w:rPr>
          <w:rFonts w:hint="eastAsia" w:ascii="宋体" w:hAnsi="宋体" w:cs="宋体"/>
          <w:sz w:val="24"/>
        </w:rPr>
        <w:t xml:space="preserve"> </w:t>
      </w:r>
    </w:p>
    <w:p>
      <w:pPr>
        <w:spacing w:line="600" w:lineRule="auto"/>
        <w:ind w:firstLine="4320" w:firstLineChars="1800"/>
        <w:rPr>
          <w:rFonts w:ascii="宋体" w:hAnsi="宋体" w:cs="宋体"/>
          <w:sz w:val="24"/>
          <w:u w:val="single"/>
        </w:rPr>
      </w:pPr>
      <w:r>
        <w:rPr>
          <w:rFonts w:hint="eastAsia" w:ascii="宋体" w:hAnsi="宋体" w:cs="宋体"/>
          <w:sz w:val="24"/>
        </w:rPr>
        <w:t>授权代表（盖章或签字）：</w:t>
      </w:r>
    </w:p>
    <w:p>
      <w:pPr>
        <w:spacing w:line="600" w:lineRule="auto"/>
        <w:ind w:firstLine="4320" w:firstLineChars="1800"/>
        <w:rPr>
          <w:rFonts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rPr>
          <w:rFonts w:ascii="宋体" w:hAnsi="宋体" w:cs="宋体"/>
          <w:sz w:val="24"/>
          <w:u w:val="single"/>
        </w:rPr>
      </w:pPr>
    </w:p>
    <w:p>
      <w:pPr>
        <w:pStyle w:val="8"/>
        <w:spacing w:line="360" w:lineRule="auto"/>
        <w:rPr>
          <w:rFonts w:hAnsi="宋体" w:cs="宋体"/>
          <w:b/>
          <w:sz w:val="32"/>
          <w:szCs w:val="32"/>
        </w:rPr>
        <w:sectPr>
          <w:pgSz w:w="11906" w:h="16838"/>
          <w:pgMar w:top="1134" w:right="1304" w:bottom="1134" w:left="1304" w:header="851" w:footer="851" w:gutter="0"/>
          <w:cols w:space="720" w:num="1"/>
          <w:titlePg/>
          <w:docGrid w:type="linesAndChars" w:linePitch="312" w:charSpace="0"/>
        </w:sectPr>
      </w:pPr>
    </w:p>
    <w:p>
      <w:pPr>
        <w:pStyle w:val="5"/>
        <w:spacing w:line="360" w:lineRule="auto"/>
        <w:ind w:firstLine="602"/>
        <w:rPr>
          <w:rFonts w:hint="default" w:ascii="宋体" w:hAnsi="宋体" w:cs="宋体"/>
          <w:b/>
          <w:bCs/>
          <w:sz w:val="30"/>
          <w:szCs w:val="30"/>
        </w:rPr>
      </w:pPr>
      <w:r>
        <w:rPr>
          <w:rFonts w:ascii="宋体" w:hAnsi="宋体" w:cs="宋体"/>
          <w:b/>
          <w:bCs/>
          <w:sz w:val="30"/>
          <w:szCs w:val="30"/>
        </w:rPr>
        <w:t xml:space="preserve">附件           </w:t>
      </w:r>
    </w:p>
    <w:p>
      <w:pPr>
        <w:pStyle w:val="5"/>
        <w:spacing w:line="360" w:lineRule="auto"/>
        <w:ind w:firstLine="602"/>
        <w:rPr>
          <w:rFonts w:hint="default" w:ascii="宋体" w:hAnsi="宋体" w:cs="宋体"/>
          <w:b/>
          <w:bCs/>
          <w:sz w:val="30"/>
          <w:szCs w:val="30"/>
        </w:rPr>
      </w:pPr>
    </w:p>
    <w:p>
      <w:pPr>
        <w:pStyle w:val="5"/>
        <w:spacing w:line="360" w:lineRule="auto"/>
        <w:ind w:firstLine="0"/>
        <w:jc w:val="center"/>
        <w:rPr>
          <w:rFonts w:hint="default" w:ascii="宋体" w:hAnsi="宋体" w:cs="宋体"/>
          <w:b/>
          <w:bCs/>
          <w:sz w:val="30"/>
          <w:szCs w:val="30"/>
        </w:rPr>
      </w:pPr>
      <w:r>
        <w:rPr>
          <w:rFonts w:ascii="宋体" w:hAnsi="宋体" w:cs="宋体"/>
          <w:b/>
          <w:bCs/>
          <w:sz w:val="30"/>
          <w:szCs w:val="30"/>
        </w:rPr>
        <w:t>法定代表人资格证明书</w:t>
      </w:r>
    </w:p>
    <w:p>
      <w:pPr>
        <w:spacing w:line="360" w:lineRule="auto"/>
        <w:ind w:firstLine="420" w:firstLineChars="200"/>
        <w:rPr>
          <w:rFonts w:ascii="宋体" w:hAnsi="宋体" w:cs="宋体"/>
          <w:szCs w:val="21"/>
        </w:rPr>
      </w:pPr>
    </w:p>
    <w:p>
      <w:pPr>
        <w:spacing w:line="360" w:lineRule="auto"/>
        <w:ind w:firstLine="480" w:firstLineChars="200"/>
        <w:rPr>
          <w:rFonts w:ascii="宋体" w:hAnsi="宋体" w:cs="宋体"/>
          <w:sz w:val="24"/>
          <w:u w:val="single"/>
        </w:rPr>
      </w:pPr>
      <w:r>
        <w:rPr>
          <w:rFonts w:hint="eastAsia" w:ascii="宋体" w:hAnsi="宋体" w:cs="宋体"/>
          <w:sz w:val="24"/>
        </w:rPr>
        <w:t>投标人名称：</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 xml:space="preserve">单位性质：＿     </w:t>
      </w:r>
    </w:p>
    <w:p>
      <w:pPr>
        <w:spacing w:line="360" w:lineRule="auto"/>
        <w:ind w:firstLine="480" w:firstLineChars="200"/>
        <w:rPr>
          <w:rFonts w:ascii="宋体" w:hAnsi="宋体" w:cs="宋体"/>
          <w:sz w:val="24"/>
        </w:rPr>
      </w:pPr>
      <w:r>
        <w:rPr>
          <w:rFonts w:hint="eastAsia" w:ascii="宋体" w:hAnsi="宋体" w:cs="宋体"/>
          <w:sz w:val="24"/>
        </w:rPr>
        <w:t>地址：＿</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成立时间：＿年＿月＿日</w:t>
      </w:r>
    </w:p>
    <w:p>
      <w:pPr>
        <w:spacing w:line="360" w:lineRule="auto"/>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姓名：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 xml:space="preserve">职务：        </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 xml:space="preserve"> （投标人名称）的法定代表人。</w:t>
      </w:r>
    </w:p>
    <w:p>
      <w:pPr>
        <w:spacing w:line="360" w:lineRule="auto"/>
        <w:ind w:firstLine="960" w:firstLineChars="400"/>
        <w:rPr>
          <w:rFonts w:ascii="宋体" w:hAnsi="宋体" w:cs="宋体"/>
          <w:sz w:val="24"/>
        </w:rPr>
      </w:pPr>
      <w:r>
        <w:rPr>
          <w:rFonts w:hint="eastAsia" w:ascii="宋体" w:hAnsi="宋体" w:cs="宋体"/>
          <w:sz w:val="24"/>
        </w:rPr>
        <w:t>特此证明。</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3600" w:firstLineChars="150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 xml:space="preserve"> （盖单位章）</w:t>
      </w:r>
    </w:p>
    <w:p>
      <w:pPr>
        <w:spacing w:line="360" w:lineRule="auto"/>
        <w:ind w:firstLine="5160" w:firstLineChars="2150"/>
        <w:rPr>
          <w:rFonts w:ascii="宋体" w:hAnsi="宋体" w:cs="宋体"/>
          <w:sz w:val="24"/>
          <w:u w:val="single"/>
        </w:rPr>
      </w:pPr>
    </w:p>
    <w:p>
      <w:pPr>
        <w:pStyle w:val="8"/>
        <w:spacing w:line="360" w:lineRule="auto"/>
        <w:jc w:val="center"/>
        <w:rPr>
          <w:rFonts w:hAnsi="宋体" w:cs="宋体"/>
          <w:sz w:val="24"/>
        </w:rPr>
      </w:pPr>
      <w:r>
        <w:rPr>
          <w:rFonts w:hint="eastAsia" w:hAnsi="宋体" w:cs="宋体"/>
          <w:sz w:val="24"/>
        </w:rPr>
        <w:t>日期：</w:t>
      </w:r>
      <w:r>
        <w:rPr>
          <w:rFonts w:hint="eastAsia" w:hAnsi="宋体" w:cs="宋体"/>
          <w:sz w:val="24"/>
          <w:u w:val="single"/>
        </w:rPr>
        <w:t xml:space="preserve">  </w:t>
      </w:r>
      <w:r>
        <w:rPr>
          <w:rFonts w:hint="eastAsia" w:hAnsi="宋体" w:cs="宋体"/>
          <w:sz w:val="24"/>
        </w:rPr>
        <w:t>年</w:t>
      </w:r>
      <w:r>
        <w:rPr>
          <w:rFonts w:hint="eastAsia" w:hAnsi="宋体" w:cs="宋体"/>
          <w:sz w:val="24"/>
          <w:u w:val="single"/>
        </w:rPr>
        <w:t xml:space="preserve">  </w:t>
      </w:r>
      <w:r>
        <w:rPr>
          <w:rFonts w:hint="eastAsia" w:hAnsi="宋体" w:cs="宋体"/>
          <w:sz w:val="24"/>
        </w:rPr>
        <w:t>月</w:t>
      </w:r>
      <w:r>
        <w:rPr>
          <w:rFonts w:hint="eastAsia" w:hAnsi="宋体" w:cs="宋体"/>
          <w:sz w:val="24"/>
          <w:u w:val="single"/>
        </w:rPr>
        <w:t xml:space="preserve">  </w:t>
      </w:r>
      <w:r>
        <w:rPr>
          <w:rFonts w:hint="eastAsia" w:hAnsi="宋体" w:cs="宋体"/>
          <w:sz w:val="24"/>
        </w:rPr>
        <w:t>日</w:t>
      </w:r>
    </w:p>
    <w:p>
      <w:pPr>
        <w:rPr>
          <w:rFonts w:hAnsi="宋体" w:cs="宋体"/>
          <w:b/>
          <w:sz w:val="32"/>
          <w:szCs w:val="32"/>
        </w:rPr>
      </w:pPr>
      <w:r>
        <w:rPr>
          <w:rFonts w:hint="eastAsia" w:hAnsi="宋体" w:cs="宋体"/>
          <w:b/>
          <w:sz w:val="32"/>
          <w:szCs w:val="32"/>
        </w:rPr>
        <w:br w:type="page"/>
      </w:r>
    </w:p>
    <w:p>
      <w:pPr>
        <w:pStyle w:val="8"/>
        <w:spacing w:line="360" w:lineRule="auto"/>
        <w:jc w:val="center"/>
        <w:rPr>
          <w:rFonts w:hAnsi="宋体" w:cs="宋体"/>
          <w:b/>
          <w:sz w:val="32"/>
          <w:szCs w:val="32"/>
        </w:rPr>
      </w:pPr>
      <w:r>
        <w:rPr>
          <w:rFonts w:hint="eastAsia" w:hAnsi="宋体" w:cs="宋体"/>
          <w:b/>
          <w:sz w:val="32"/>
          <w:szCs w:val="32"/>
        </w:rPr>
        <w:t>三、开标一览表</w:t>
      </w:r>
    </w:p>
    <w:p>
      <w:pPr>
        <w:pStyle w:val="8"/>
        <w:jc w:val="center"/>
        <w:rPr>
          <w:rFonts w:hAnsi="宋体" w:cs="宋体"/>
          <w:b/>
          <w:sz w:val="18"/>
          <w:szCs w:val="18"/>
        </w:rPr>
      </w:pPr>
    </w:p>
    <w:tbl>
      <w:tblPr>
        <w:tblStyle w:val="19"/>
        <w:tblW w:w="8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369"/>
        <w:gridCol w:w="1678"/>
        <w:gridCol w:w="2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项目名称</w:t>
            </w:r>
          </w:p>
        </w:tc>
        <w:tc>
          <w:tcPr>
            <w:tcW w:w="2369" w:type="dxa"/>
            <w:vAlign w:val="center"/>
          </w:tcPr>
          <w:p>
            <w:pPr>
              <w:spacing w:line="400" w:lineRule="atLeast"/>
              <w:jc w:val="center"/>
              <w:rPr>
                <w:rFonts w:ascii="宋体" w:hAnsi="宋体" w:cs="宋体"/>
                <w:sz w:val="24"/>
              </w:rPr>
            </w:pPr>
          </w:p>
        </w:tc>
        <w:tc>
          <w:tcPr>
            <w:tcW w:w="1678" w:type="dxa"/>
            <w:vAlign w:val="center"/>
          </w:tcPr>
          <w:p>
            <w:pPr>
              <w:spacing w:line="400" w:lineRule="atLeast"/>
              <w:jc w:val="center"/>
              <w:rPr>
                <w:rFonts w:ascii="宋体" w:hAnsi="宋体" w:cs="宋体"/>
                <w:sz w:val="24"/>
              </w:rPr>
            </w:pPr>
            <w:r>
              <w:rPr>
                <w:rFonts w:hint="eastAsia" w:ascii="宋体" w:hAnsi="宋体" w:cs="宋体"/>
                <w:sz w:val="24"/>
              </w:rPr>
              <w:t>项目编号</w:t>
            </w:r>
          </w:p>
        </w:tc>
        <w:tc>
          <w:tcPr>
            <w:tcW w:w="2284" w:type="dxa"/>
            <w:vAlign w:val="center"/>
          </w:tcPr>
          <w:p>
            <w:pPr>
              <w:spacing w:line="4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投标人名称</w:t>
            </w:r>
          </w:p>
        </w:tc>
        <w:tc>
          <w:tcPr>
            <w:tcW w:w="6331" w:type="dxa"/>
            <w:gridSpan w:val="3"/>
            <w:vAlign w:val="center"/>
          </w:tcPr>
          <w:p>
            <w:pPr>
              <w:spacing w:line="4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总报价</w:t>
            </w:r>
          </w:p>
        </w:tc>
        <w:tc>
          <w:tcPr>
            <w:tcW w:w="6331" w:type="dxa"/>
            <w:gridSpan w:val="3"/>
            <w:vAlign w:val="center"/>
          </w:tcPr>
          <w:p>
            <w:pPr>
              <w:spacing w:line="4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交货期</w:t>
            </w:r>
          </w:p>
        </w:tc>
        <w:tc>
          <w:tcPr>
            <w:tcW w:w="6331" w:type="dxa"/>
            <w:gridSpan w:val="3"/>
            <w:vAlign w:val="center"/>
          </w:tcPr>
          <w:p>
            <w:pPr>
              <w:spacing w:line="4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质保期</w:t>
            </w:r>
          </w:p>
        </w:tc>
        <w:tc>
          <w:tcPr>
            <w:tcW w:w="6331" w:type="dxa"/>
            <w:gridSpan w:val="3"/>
            <w:vAlign w:val="center"/>
          </w:tcPr>
          <w:p>
            <w:pPr>
              <w:spacing w:line="4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货物质量</w:t>
            </w:r>
          </w:p>
        </w:tc>
        <w:tc>
          <w:tcPr>
            <w:tcW w:w="6331" w:type="dxa"/>
            <w:gridSpan w:val="3"/>
            <w:vAlign w:val="center"/>
          </w:tcPr>
          <w:p>
            <w:pPr>
              <w:spacing w:line="400" w:lineRule="atLeas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434" w:type="dxa"/>
            <w:vAlign w:val="center"/>
          </w:tcPr>
          <w:p>
            <w:pPr>
              <w:spacing w:line="400" w:lineRule="atLeast"/>
              <w:jc w:val="center"/>
              <w:rPr>
                <w:rFonts w:ascii="宋体" w:hAnsi="宋体" w:cs="宋体"/>
                <w:sz w:val="24"/>
              </w:rPr>
            </w:pPr>
            <w:r>
              <w:rPr>
                <w:rFonts w:hint="eastAsia" w:ascii="宋体" w:hAnsi="宋体" w:cs="宋体"/>
                <w:sz w:val="24"/>
              </w:rPr>
              <w:t>备注</w:t>
            </w:r>
          </w:p>
        </w:tc>
        <w:tc>
          <w:tcPr>
            <w:tcW w:w="6331" w:type="dxa"/>
            <w:gridSpan w:val="3"/>
            <w:vAlign w:val="center"/>
          </w:tcPr>
          <w:p>
            <w:pPr>
              <w:spacing w:line="400" w:lineRule="atLeast"/>
              <w:jc w:val="center"/>
              <w:rPr>
                <w:rFonts w:ascii="宋体" w:hAnsi="宋体" w:cs="宋体"/>
                <w:sz w:val="24"/>
              </w:rPr>
            </w:pPr>
          </w:p>
        </w:tc>
      </w:tr>
    </w:tbl>
    <w:p>
      <w:pPr>
        <w:pStyle w:val="8"/>
        <w:jc w:val="center"/>
        <w:rPr>
          <w:rFonts w:hAnsi="宋体" w:cs="宋体"/>
          <w:b/>
          <w:sz w:val="18"/>
          <w:szCs w:val="18"/>
        </w:rPr>
      </w:pPr>
    </w:p>
    <w:p>
      <w:pPr>
        <w:spacing w:line="600" w:lineRule="auto"/>
        <w:ind w:firstLine="3600" w:firstLineChars="1500"/>
        <w:rPr>
          <w:rFonts w:ascii="宋体" w:hAnsi="宋体" w:cs="宋体"/>
          <w:sz w:val="24"/>
          <w:u w:val="single"/>
        </w:rPr>
      </w:pPr>
      <w:r>
        <w:rPr>
          <w:rFonts w:hint="eastAsia" w:ascii="宋体" w:hAnsi="宋体" w:cs="宋体"/>
          <w:sz w:val="24"/>
        </w:rPr>
        <w:t>投标人名称（公章）：</w:t>
      </w:r>
    </w:p>
    <w:p>
      <w:pPr>
        <w:spacing w:line="600" w:lineRule="auto"/>
        <w:ind w:firstLine="3600" w:firstLineChars="1500"/>
        <w:rPr>
          <w:rFonts w:ascii="宋体" w:hAnsi="宋体" w:cs="宋体"/>
          <w:sz w:val="24"/>
          <w:u w:val="single"/>
        </w:rPr>
      </w:pPr>
      <w:r>
        <w:rPr>
          <w:rFonts w:hint="eastAsia" w:ascii="宋体" w:hAnsi="宋体" w:cs="宋体"/>
          <w:sz w:val="24"/>
        </w:rPr>
        <w:t>被授权代表（盖章或签字）：</w:t>
      </w:r>
    </w:p>
    <w:p>
      <w:pPr>
        <w:spacing w:line="600" w:lineRule="auto"/>
        <w:ind w:firstLine="3600" w:firstLineChars="1500"/>
        <w:jc w:val="center"/>
        <w:rPr>
          <w:rFonts w:ascii="宋体" w:hAnsi="宋体" w:cs="宋体"/>
          <w:b/>
          <w:bCs/>
          <w:sz w:val="32"/>
          <w:szCs w:val="32"/>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b/>
          <w:bCs/>
          <w:sz w:val="32"/>
          <w:szCs w:val="32"/>
        </w:rPr>
        <w:br w:type="page"/>
      </w:r>
      <w:r>
        <w:rPr>
          <w:rFonts w:hint="eastAsia" w:ascii="宋体" w:hAnsi="宋体" w:cs="宋体"/>
          <w:b/>
          <w:bCs/>
          <w:sz w:val="32"/>
          <w:szCs w:val="32"/>
        </w:rPr>
        <w:t>分项报价表</w:t>
      </w: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ind w:firstLine="4800" w:firstLineChars="1500"/>
        <w:jc w:val="center"/>
        <w:rPr>
          <w:rFonts w:ascii="宋体" w:hAnsi="宋体" w:cs="宋体"/>
          <w:b/>
          <w:bCs/>
          <w:sz w:val="32"/>
          <w:szCs w:val="32"/>
        </w:rPr>
      </w:pPr>
    </w:p>
    <w:p>
      <w:pPr>
        <w:spacing w:line="600" w:lineRule="auto"/>
        <w:jc w:val="center"/>
        <w:rPr>
          <w:rFonts w:ascii="宋体" w:hAnsi="宋体" w:cs="宋体"/>
          <w:b/>
          <w:bCs/>
          <w:sz w:val="32"/>
          <w:szCs w:val="32"/>
        </w:rPr>
      </w:pPr>
      <w:r>
        <w:rPr>
          <w:rFonts w:hint="eastAsia" w:ascii="宋体" w:hAnsi="宋体" w:cs="宋体"/>
          <w:b/>
          <w:bCs/>
          <w:sz w:val="32"/>
          <w:szCs w:val="32"/>
        </w:rPr>
        <w:t>四、企业基本状况简介</w:t>
      </w:r>
    </w:p>
    <w:p>
      <w:pPr>
        <w:spacing w:before="156" w:beforeLines="50" w:after="156" w:afterLines="50" w:line="560" w:lineRule="exact"/>
        <w:rPr>
          <w:rFonts w:ascii="宋体" w:hAnsi="宋体" w:cs="宋体"/>
          <w:sz w:val="28"/>
          <w:szCs w:val="32"/>
        </w:rPr>
      </w:pPr>
      <w:r>
        <w:rPr>
          <w:rFonts w:hint="eastAsia" w:ascii="宋体" w:hAnsi="宋体" w:cs="宋体"/>
          <w:sz w:val="28"/>
          <w:szCs w:val="32"/>
        </w:rPr>
        <w:t>附表：基本情况表</w:t>
      </w:r>
    </w:p>
    <w:tbl>
      <w:tblPr>
        <w:tblStyle w:val="19"/>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1"/>
        <w:gridCol w:w="3116"/>
        <w:gridCol w:w="1934"/>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单位全称</w:t>
            </w:r>
          </w:p>
        </w:tc>
        <w:tc>
          <w:tcPr>
            <w:tcW w:w="711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营业执照</w:t>
            </w:r>
          </w:p>
        </w:tc>
        <w:tc>
          <w:tcPr>
            <w:tcW w:w="711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法定代表人</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职   务</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单位地址</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邮政编码</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电话</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传    真</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2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成立日期</w:t>
            </w:r>
          </w:p>
        </w:tc>
        <w:tc>
          <w:tcPr>
            <w:tcW w:w="31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c>
          <w:tcPr>
            <w:tcW w:w="19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2"/>
              </w:rPr>
            </w:pPr>
            <w:r>
              <w:rPr>
                <w:rFonts w:hint="eastAsia" w:ascii="宋体" w:hAnsi="宋体" w:cs="宋体"/>
                <w:sz w:val="24"/>
                <w:szCs w:val="22"/>
              </w:rPr>
              <w:t>职员人数</w:t>
            </w:r>
          </w:p>
        </w:tc>
        <w:tc>
          <w:tcPr>
            <w:tcW w:w="20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78" w:type="dxa"/>
            <w:gridSpan w:val="4"/>
            <w:tcBorders>
              <w:top w:val="single" w:color="auto" w:sz="4" w:space="0"/>
              <w:left w:val="single" w:color="auto" w:sz="4" w:space="0"/>
              <w:bottom w:val="single" w:color="auto" w:sz="4" w:space="0"/>
              <w:right w:val="single" w:color="auto" w:sz="4" w:space="0"/>
            </w:tcBorders>
          </w:tcPr>
          <w:p>
            <w:pPr>
              <w:spacing w:before="156" w:beforeLines="50"/>
              <w:ind w:firstLine="240" w:firstLineChars="100"/>
              <w:rPr>
                <w:rFonts w:ascii="宋体" w:hAnsi="宋体" w:cs="宋体"/>
                <w:sz w:val="24"/>
              </w:rPr>
            </w:pPr>
            <w:r>
              <w:rPr>
                <w:rFonts w:hint="eastAsia" w:ascii="宋体" w:hAnsi="宋体" w:cs="宋体"/>
                <w:sz w:val="24"/>
              </w:rPr>
              <w:t>单位简介：</w:t>
            </w:r>
          </w:p>
          <w:p>
            <w:pPr>
              <w:spacing w:before="156" w:beforeLines="50"/>
              <w:rPr>
                <w:rFonts w:ascii="宋体" w:hAnsi="宋体" w:cs="宋体"/>
                <w:sz w:val="24"/>
                <w:szCs w:val="22"/>
              </w:rPr>
            </w:pPr>
          </w:p>
          <w:p>
            <w:pPr>
              <w:spacing w:before="156" w:beforeLines="50"/>
              <w:rPr>
                <w:rFonts w:ascii="宋体" w:hAnsi="宋体" w:cs="宋体"/>
                <w:sz w:val="24"/>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p>
            <w:pPr>
              <w:rPr>
                <w:rFonts w:ascii="宋体" w:hAnsi="宋体" w:cs="宋体"/>
                <w:sz w:val="22"/>
                <w:szCs w:val="22"/>
              </w:rPr>
            </w:pPr>
          </w:p>
        </w:tc>
      </w:tr>
    </w:tbl>
    <w:p>
      <w:pPr>
        <w:spacing w:line="360" w:lineRule="auto"/>
        <w:rPr>
          <w:rFonts w:ascii="宋体" w:hAnsi="宋体" w:cs="宋体"/>
          <w:sz w:val="24"/>
        </w:rPr>
      </w:pPr>
    </w:p>
    <w:p>
      <w:pPr>
        <w:rPr>
          <w:rFonts w:ascii="宋体" w:hAnsi="宋体" w:cs="宋体"/>
        </w:rPr>
      </w:pPr>
    </w:p>
    <w:p>
      <w:pPr>
        <w:rPr>
          <w:rFonts w:ascii="宋体" w:hAnsi="宋体" w:cs="宋体"/>
        </w:rPr>
      </w:pPr>
    </w:p>
    <w:p>
      <w:pPr>
        <w:rPr>
          <w:rFonts w:ascii="宋体" w:hAnsi="宋体" w:cs="宋体"/>
        </w:rPr>
      </w:pPr>
    </w:p>
    <w:p>
      <w:pPr>
        <w:spacing w:line="600" w:lineRule="auto"/>
        <w:ind w:firstLine="4200" w:firstLineChars="1750"/>
        <w:rPr>
          <w:rFonts w:ascii="宋体" w:hAnsi="宋体" w:cs="宋体"/>
          <w:sz w:val="24"/>
          <w:u w:val="single"/>
        </w:rPr>
      </w:pPr>
      <w:r>
        <w:rPr>
          <w:rFonts w:hint="eastAsia" w:ascii="宋体" w:hAnsi="宋体" w:cs="宋体"/>
          <w:sz w:val="24"/>
        </w:rPr>
        <w:t>投标人名称（公章）：</w:t>
      </w:r>
    </w:p>
    <w:p>
      <w:pPr>
        <w:spacing w:line="600" w:lineRule="auto"/>
        <w:ind w:firstLine="4200" w:firstLineChars="1750"/>
        <w:rPr>
          <w:rFonts w:ascii="宋体" w:hAnsi="宋体" w:cs="宋体"/>
          <w:sz w:val="24"/>
          <w:u w:val="single"/>
        </w:rPr>
      </w:pPr>
      <w:r>
        <w:rPr>
          <w:rFonts w:hint="eastAsia" w:ascii="宋体" w:hAnsi="宋体" w:cs="宋体"/>
          <w:sz w:val="24"/>
        </w:rPr>
        <w:t>被授权代表（盖章或签字）：</w:t>
      </w:r>
    </w:p>
    <w:p>
      <w:pPr>
        <w:spacing w:line="360" w:lineRule="auto"/>
        <w:ind w:firstLine="4200" w:firstLineChars="1750"/>
        <w:rPr>
          <w:rFonts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8"/>
        <w:spacing w:line="360" w:lineRule="auto"/>
        <w:jc w:val="center"/>
        <w:rPr>
          <w:rFonts w:hAnsi="宋体" w:cs="宋体"/>
          <w:b/>
          <w:sz w:val="32"/>
          <w:szCs w:val="32"/>
        </w:rPr>
        <w:sectPr>
          <w:headerReference r:id="rId11" w:type="default"/>
          <w:pgSz w:w="11906" w:h="16838"/>
          <w:pgMar w:top="1134" w:right="1304" w:bottom="1134" w:left="1304" w:header="851" w:footer="992" w:gutter="0"/>
          <w:cols w:space="720" w:num="1"/>
          <w:titlePg/>
          <w:docGrid w:type="linesAndChars" w:linePitch="312" w:charSpace="0"/>
        </w:sectPr>
      </w:pPr>
    </w:p>
    <w:p>
      <w:pPr>
        <w:ind w:right="420"/>
        <w:rPr>
          <w:rFonts w:ascii="宋体" w:hAnsi="宋体" w:cs="宋体"/>
          <w:b/>
        </w:rPr>
      </w:pPr>
    </w:p>
    <w:p>
      <w:pPr>
        <w:spacing w:line="360" w:lineRule="auto"/>
        <w:ind w:firstLine="3504" w:firstLineChars="1095"/>
        <w:rPr>
          <w:rFonts w:ascii="宋体" w:hAnsi="宋体" w:cs="宋体"/>
          <w:b/>
          <w:bCs/>
          <w:sz w:val="32"/>
          <w:szCs w:val="32"/>
        </w:rPr>
      </w:pPr>
      <w:r>
        <w:rPr>
          <w:rFonts w:hint="eastAsia" w:ascii="宋体" w:hAnsi="宋体" w:cs="宋体"/>
          <w:b/>
          <w:bCs/>
          <w:sz w:val="32"/>
          <w:szCs w:val="32"/>
        </w:rPr>
        <w:t>五、技术方案</w:t>
      </w:r>
    </w:p>
    <w:p>
      <w:pPr>
        <w:jc w:val="center"/>
        <w:rPr>
          <w:rFonts w:ascii="宋体" w:hAnsi="宋体" w:cs="宋体"/>
          <w:color w:val="000000"/>
          <w:kern w:val="0"/>
          <w:sz w:val="28"/>
          <w:szCs w:val="28"/>
        </w:rPr>
      </w:pPr>
      <w:r>
        <w:rPr>
          <w:rFonts w:hint="eastAsia" w:ascii="宋体" w:hAnsi="宋体" w:cs="宋体"/>
          <w:color w:val="000000"/>
          <w:kern w:val="0"/>
          <w:sz w:val="28"/>
          <w:szCs w:val="28"/>
        </w:rPr>
        <w:t>根据招标文件要求自行编制</w:t>
      </w:r>
    </w:p>
    <w:p>
      <w:pPr>
        <w:jc w:val="center"/>
        <w:rPr>
          <w:rFonts w:ascii="宋体" w:hAnsi="宋体" w:cs="宋体"/>
        </w:rPr>
      </w:pPr>
      <w:r>
        <w:rPr>
          <w:rFonts w:hint="eastAsia" w:ascii="宋体" w:hAnsi="宋体" w:cs="宋体"/>
        </w:rPr>
        <w:br w:type="page"/>
      </w:r>
      <w:r>
        <w:rPr>
          <w:rFonts w:hint="eastAsia" w:ascii="宋体" w:hAnsi="宋体" w:cs="宋体"/>
          <w:b/>
          <w:bCs/>
          <w:sz w:val="32"/>
          <w:szCs w:val="32"/>
        </w:rPr>
        <w:t>六、企业证明资料</w:t>
      </w:r>
    </w:p>
    <w:p>
      <w:pPr>
        <w:rPr>
          <w:rFonts w:ascii="宋体" w:hAnsi="宋体" w:cs="宋体"/>
          <w:b/>
          <w:bCs/>
          <w:sz w:val="32"/>
          <w:szCs w:val="32"/>
        </w:rPr>
      </w:pPr>
    </w:p>
    <w:p>
      <w:pPr>
        <w:rPr>
          <w:rFonts w:ascii="宋体" w:hAnsi="宋体" w:cs="宋体"/>
          <w:b/>
          <w:bCs/>
          <w:sz w:val="24"/>
        </w:rPr>
      </w:pPr>
      <w:r>
        <w:rPr>
          <w:rFonts w:hint="eastAsia" w:ascii="宋体" w:hAnsi="宋体" w:cs="宋体"/>
          <w:b/>
          <w:bCs/>
          <w:sz w:val="24"/>
        </w:rPr>
        <w:t>附以下文件加盖公章的复印件 ：</w:t>
      </w:r>
    </w:p>
    <w:p>
      <w:pPr>
        <w:spacing w:line="360" w:lineRule="auto"/>
        <w:ind w:firstLine="480" w:firstLineChars="200"/>
        <w:rPr>
          <w:rFonts w:ascii="宋体" w:hAnsi="宋体"/>
          <w:sz w:val="24"/>
        </w:rPr>
      </w:pPr>
      <w:r>
        <w:rPr>
          <w:rFonts w:hint="eastAsia" w:ascii="宋体" w:hAnsi="宋体"/>
          <w:sz w:val="24"/>
        </w:rPr>
        <w:t xml:space="preserve">1、具有独立承担民事责任能力的法人或其他组织，并出具有效的营业执照/事业单位法人证书/非企业专业服务机构执业许可证/民办非企业单位登记证书； </w:t>
      </w:r>
    </w:p>
    <w:p>
      <w:pPr>
        <w:spacing w:line="360" w:lineRule="auto"/>
        <w:ind w:firstLine="480" w:firstLineChars="200"/>
        <w:rPr>
          <w:rFonts w:ascii="宋体" w:hAnsi="宋体"/>
          <w:sz w:val="24"/>
        </w:rPr>
      </w:pPr>
      <w:r>
        <w:rPr>
          <w:rFonts w:hint="eastAsia" w:ascii="宋体" w:hAnsi="宋体"/>
          <w:sz w:val="24"/>
        </w:rPr>
        <w:t>2、法定代表人直接参加投标的，须出具法人身份证；法定代表人授权代表参加投标的，须出具法定代表人授权书及授权代表身份证、授权代表本单位证明（投标截止前三个月的养老保险缴纳证明或劳动合同）。招标文件中凡是需要法定代表人签字或盖章之处，非法人单位的负责人均参照执行；</w:t>
      </w:r>
    </w:p>
    <w:p>
      <w:pPr>
        <w:spacing w:line="360" w:lineRule="auto"/>
        <w:ind w:firstLine="480" w:firstLineChars="200"/>
        <w:rPr>
          <w:rFonts w:ascii="宋体" w:hAnsi="宋体"/>
          <w:sz w:val="24"/>
        </w:rPr>
      </w:pPr>
      <w:r>
        <w:rPr>
          <w:rFonts w:hint="eastAsia" w:ascii="宋体" w:hAnsi="宋体"/>
          <w:sz w:val="24"/>
        </w:rPr>
        <w:t xml:space="preserve">3、财务状况报告：提供具有财务审计资质单位出具的2019年度财务报告或开标前六个月内其基本账户银行出具的资信证明或政府采购信用担保机构出具的投标担保函； </w:t>
      </w:r>
    </w:p>
    <w:p>
      <w:pPr>
        <w:spacing w:line="360" w:lineRule="auto"/>
        <w:ind w:firstLine="480" w:firstLineChars="200"/>
        <w:rPr>
          <w:rFonts w:ascii="宋体" w:hAnsi="宋体"/>
          <w:sz w:val="24"/>
        </w:rPr>
      </w:pPr>
      <w:r>
        <w:rPr>
          <w:rFonts w:hint="eastAsia" w:ascii="宋体" w:hAnsi="宋体"/>
          <w:sz w:val="24"/>
        </w:rPr>
        <w:t>4、提供具有履行本合同所必需的设备和专业技术能力的说明及承诺；</w:t>
      </w:r>
    </w:p>
    <w:p>
      <w:pPr>
        <w:spacing w:line="360" w:lineRule="auto"/>
        <w:ind w:firstLine="480" w:firstLineChars="200"/>
        <w:rPr>
          <w:rFonts w:ascii="宋体" w:hAnsi="宋体"/>
          <w:sz w:val="24"/>
        </w:rPr>
      </w:pPr>
      <w:r>
        <w:rPr>
          <w:rFonts w:hint="eastAsia" w:ascii="宋体" w:hAnsi="宋体"/>
          <w:sz w:val="24"/>
        </w:rPr>
        <w:t>5、社会保障资金缴纳证明：提供2020年1月份以来已缴纳的至少一个月的缴纳单据或社保机构开具的社会保险参保缴费情况证明，单据或证明上应有社保机构或代收机构的公章；</w:t>
      </w:r>
    </w:p>
    <w:p>
      <w:pPr>
        <w:spacing w:line="360" w:lineRule="auto"/>
        <w:ind w:firstLine="480" w:firstLineChars="200"/>
        <w:rPr>
          <w:rFonts w:ascii="宋体" w:hAnsi="宋体"/>
          <w:sz w:val="24"/>
        </w:rPr>
      </w:pPr>
      <w:r>
        <w:rPr>
          <w:rFonts w:hint="eastAsia" w:ascii="宋体" w:hAnsi="宋体"/>
          <w:sz w:val="24"/>
        </w:rPr>
        <w:t xml:space="preserve">6、税收缴纳证明：提供2020年1月份以来已缴纳的至少一个月的缴税凭证； </w:t>
      </w:r>
    </w:p>
    <w:p>
      <w:pPr>
        <w:spacing w:line="360" w:lineRule="auto"/>
        <w:ind w:firstLine="480" w:firstLineChars="200"/>
        <w:rPr>
          <w:rFonts w:ascii="宋体" w:hAnsi="宋体"/>
          <w:sz w:val="24"/>
        </w:rPr>
      </w:pPr>
      <w:r>
        <w:rPr>
          <w:rFonts w:hint="eastAsia" w:ascii="宋体" w:hAnsi="宋体"/>
          <w:sz w:val="24"/>
        </w:rPr>
        <w:t>7、出具参加本次政府采购活动前三年内在经营活动中没有重大违法记录的书面声明；</w:t>
      </w:r>
    </w:p>
    <w:p>
      <w:pPr>
        <w:spacing w:line="360" w:lineRule="auto"/>
        <w:ind w:firstLine="480" w:firstLineChars="200"/>
        <w:rPr>
          <w:rFonts w:ascii="宋体" w:hAnsi="宋体"/>
          <w:sz w:val="24"/>
        </w:rPr>
      </w:pPr>
      <w:r>
        <w:rPr>
          <w:rFonts w:hint="eastAsia" w:ascii="宋体" w:hAnsi="宋体"/>
          <w:sz w:val="24"/>
        </w:rPr>
        <w:t>8、提供所投产品的合法来源渠道；</w:t>
      </w:r>
    </w:p>
    <w:p>
      <w:pPr>
        <w:ind w:right="420" w:firstLine="480" w:firstLineChars="200"/>
        <w:rPr>
          <w:rFonts w:ascii="宋体" w:hAnsi="宋体" w:cs="宋体"/>
          <w:b/>
          <w:bCs/>
          <w:sz w:val="32"/>
          <w:szCs w:val="32"/>
        </w:rPr>
      </w:pPr>
      <w:r>
        <w:rPr>
          <w:rFonts w:hint="eastAsia" w:ascii="宋体" w:hAnsi="宋体"/>
          <w:sz w:val="24"/>
        </w:rPr>
        <w:t>9、本项目不接受联合体。</w:t>
      </w:r>
    </w:p>
    <w:p>
      <w:pPr>
        <w:ind w:right="420"/>
        <w:rPr>
          <w:rFonts w:ascii="宋体" w:hAnsi="宋体" w:cs="宋体"/>
          <w:b/>
          <w:bCs/>
          <w:sz w:val="32"/>
          <w:szCs w:val="32"/>
        </w:rPr>
      </w:pPr>
    </w:p>
    <w:p>
      <w:pPr>
        <w:ind w:right="420"/>
        <w:rPr>
          <w:rFonts w:ascii="宋体" w:hAnsi="宋体" w:cs="宋体"/>
          <w:b/>
          <w:bCs/>
          <w:sz w:val="32"/>
          <w:szCs w:val="32"/>
        </w:rPr>
      </w:pPr>
    </w:p>
    <w:p>
      <w:pPr>
        <w:ind w:right="420"/>
        <w:rPr>
          <w:rFonts w:ascii="宋体" w:hAnsi="宋体" w:cs="宋体"/>
          <w:b/>
          <w:bCs/>
          <w:sz w:val="32"/>
          <w:szCs w:val="32"/>
        </w:rPr>
      </w:pPr>
    </w:p>
    <w:p>
      <w:pPr>
        <w:ind w:right="420"/>
        <w:rPr>
          <w:rFonts w:ascii="宋体" w:hAnsi="宋体" w:cs="宋体"/>
          <w:b/>
          <w:bCs/>
          <w:sz w:val="32"/>
          <w:szCs w:val="32"/>
        </w:rPr>
      </w:pPr>
    </w:p>
    <w:p>
      <w:pPr>
        <w:ind w:right="420"/>
        <w:rPr>
          <w:rFonts w:ascii="宋体" w:hAnsi="宋体" w:cs="宋体"/>
          <w:b/>
          <w:bCs/>
          <w:sz w:val="32"/>
          <w:szCs w:val="32"/>
        </w:rPr>
      </w:pPr>
    </w:p>
    <w:p>
      <w:pPr>
        <w:ind w:right="420"/>
        <w:rPr>
          <w:rFonts w:ascii="宋体" w:hAnsi="宋体" w:cs="宋体"/>
          <w:b/>
          <w:bCs/>
          <w:sz w:val="32"/>
          <w:szCs w:val="32"/>
        </w:rPr>
      </w:pPr>
    </w:p>
    <w:p>
      <w:pPr>
        <w:rPr>
          <w:rFonts w:ascii="宋体" w:hAnsi="宋体" w:cs="宋体"/>
          <w:b/>
          <w:bCs/>
          <w:sz w:val="32"/>
          <w:szCs w:val="32"/>
        </w:rPr>
      </w:pPr>
      <w:r>
        <w:rPr>
          <w:rFonts w:hint="eastAsia" w:ascii="宋体" w:hAnsi="宋体" w:cs="宋体"/>
          <w:b/>
          <w:bCs/>
          <w:sz w:val="32"/>
          <w:szCs w:val="32"/>
        </w:rPr>
        <w:br w:type="page"/>
      </w:r>
    </w:p>
    <w:p>
      <w:pPr>
        <w:jc w:val="center"/>
        <w:rPr>
          <w:rFonts w:ascii="宋体" w:hAnsi="宋体" w:cs="宋体"/>
          <w:b/>
          <w:bCs/>
          <w:sz w:val="32"/>
          <w:szCs w:val="32"/>
        </w:rPr>
      </w:pPr>
      <w:r>
        <w:rPr>
          <w:rFonts w:hint="eastAsia" w:ascii="宋体" w:hAnsi="宋体" w:cs="宋体"/>
          <w:b/>
          <w:bCs/>
          <w:sz w:val="32"/>
          <w:szCs w:val="32"/>
        </w:rPr>
        <w:t>七、技术及商务响应</w:t>
      </w:r>
    </w:p>
    <w:p>
      <w:pPr>
        <w:spacing w:line="600" w:lineRule="auto"/>
        <w:jc w:val="center"/>
        <w:rPr>
          <w:rFonts w:ascii="宋体" w:hAnsi="宋体" w:cs="宋体"/>
          <w:sz w:val="24"/>
        </w:rPr>
      </w:pPr>
      <w:r>
        <w:rPr>
          <w:rFonts w:hint="eastAsia" w:ascii="宋体" w:hAnsi="宋体" w:cs="宋体"/>
          <w:sz w:val="24"/>
        </w:rPr>
        <w:t>投标人自行编制</w:t>
      </w:r>
    </w:p>
    <w:p>
      <w:pPr>
        <w:rPr>
          <w:rFonts w:ascii="宋体" w:hAnsi="宋体" w:cs="宋体"/>
          <w:b/>
          <w:bCs/>
          <w:sz w:val="32"/>
          <w:szCs w:val="32"/>
        </w:rPr>
      </w:pPr>
      <w:r>
        <w:rPr>
          <w:rFonts w:hint="eastAsia" w:ascii="宋体" w:hAnsi="宋体" w:cs="宋体"/>
          <w:b/>
          <w:bCs/>
          <w:sz w:val="32"/>
          <w:szCs w:val="32"/>
        </w:rPr>
        <w:br w:type="page"/>
      </w:r>
    </w:p>
    <w:p>
      <w:pPr>
        <w:spacing w:before="156" w:beforeLines="50" w:line="720" w:lineRule="auto"/>
        <w:jc w:val="center"/>
        <w:rPr>
          <w:rFonts w:ascii="宋体" w:hAnsi="宋体" w:cs="宋体"/>
          <w:b/>
          <w:sz w:val="30"/>
          <w:szCs w:val="30"/>
          <w:lang w:val="zh-CN"/>
        </w:rPr>
      </w:pPr>
      <w:r>
        <w:rPr>
          <w:rFonts w:hint="eastAsia" w:ascii="宋体" w:hAnsi="宋体" w:cs="宋体"/>
          <w:b/>
          <w:bCs/>
          <w:sz w:val="32"/>
          <w:szCs w:val="32"/>
        </w:rPr>
        <w:t>八、其它</w:t>
      </w:r>
    </w:p>
    <w:p>
      <w:pPr>
        <w:spacing w:line="600" w:lineRule="auto"/>
        <w:jc w:val="center"/>
        <w:rPr>
          <w:rFonts w:ascii="宋体" w:hAnsi="宋体" w:cs="宋体"/>
          <w:sz w:val="24"/>
        </w:rPr>
      </w:pPr>
      <w:r>
        <w:rPr>
          <w:rFonts w:hint="eastAsia" w:ascii="宋体" w:hAnsi="宋体" w:cs="宋体"/>
          <w:sz w:val="24"/>
        </w:rPr>
        <w:t>其它投标人认为应该补充提供的资料</w:t>
      </w:r>
    </w:p>
    <w:p>
      <w:pPr>
        <w:tabs>
          <w:tab w:val="left" w:pos="1680"/>
        </w:tabs>
        <w:ind w:firstLine="4020" w:firstLineChars="1675"/>
        <w:rPr>
          <w:rFonts w:ascii="宋体" w:hAnsi="宋体" w:cs="宋体"/>
          <w:sz w:val="24"/>
        </w:rPr>
      </w:pPr>
    </w:p>
    <w:p>
      <w:pPr>
        <w:tabs>
          <w:tab w:val="left" w:pos="1680"/>
        </w:tabs>
        <w:ind w:firstLine="3517" w:firstLineChars="1675"/>
        <w:rPr>
          <w:rFonts w:ascii="宋体" w:hAnsi="宋体" w:cs="宋体"/>
        </w:rPr>
      </w:pPr>
    </w:p>
    <w:p>
      <w:pPr>
        <w:pStyle w:val="8"/>
        <w:spacing w:line="400" w:lineRule="exact"/>
        <w:jc w:val="center"/>
        <w:rPr>
          <w:rFonts w:hAnsi="宋体" w:cs="宋体"/>
          <w:b/>
          <w:bCs/>
          <w:sz w:val="32"/>
          <w:szCs w:val="32"/>
        </w:rPr>
        <w:sectPr>
          <w:headerReference r:id="rId13" w:type="first"/>
          <w:headerReference r:id="rId12" w:type="default"/>
          <w:pgSz w:w="11906" w:h="16838"/>
          <w:pgMar w:top="1134" w:right="1304" w:bottom="1134" w:left="1304" w:header="851" w:footer="992" w:gutter="0"/>
          <w:cols w:space="720" w:num="1"/>
          <w:titlePg/>
          <w:docGrid w:type="linesAndChars" w:linePitch="312" w:charSpace="0"/>
        </w:sectPr>
      </w:pPr>
    </w:p>
    <w:p>
      <w:pPr>
        <w:jc w:val="center"/>
        <w:rPr>
          <w:rFonts w:ascii="宋体" w:hAnsi="宋体" w:cs="宋体"/>
          <w:b/>
          <w:sz w:val="30"/>
          <w:szCs w:val="30"/>
        </w:rPr>
      </w:pPr>
      <w:r>
        <w:rPr>
          <w:rFonts w:hint="eastAsia" w:ascii="宋体" w:hAnsi="宋体" w:cs="宋体"/>
          <w:b/>
          <w:sz w:val="30"/>
          <w:szCs w:val="30"/>
        </w:rPr>
        <w:t>政府采购供应商拒绝政府采购领域商业贿赂承诺书</w:t>
      </w:r>
    </w:p>
    <w:p>
      <w:pPr>
        <w:spacing w:line="480" w:lineRule="auto"/>
        <w:ind w:firstLine="480" w:firstLineChars="200"/>
        <w:rPr>
          <w:rFonts w:ascii="宋体" w:hAnsi="宋体" w:cs="宋体"/>
          <w:sz w:val="24"/>
        </w:rPr>
      </w:pPr>
    </w:p>
    <w:p>
      <w:pPr>
        <w:spacing w:line="480" w:lineRule="auto"/>
        <w:ind w:firstLine="480" w:firstLineChars="200"/>
        <w:rPr>
          <w:rFonts w:ascii="宋体" w:hAnsi="宋体" w:cs="宋体"/>
          <w:sz w:val="24"/>
        </w:rPr>
      </w:pPr>
      <w:r>
        <w:rPr>
          <w:rFonts w:hint="eastAsia" w:ascii="宋体" w:hAnsi="宋体" w:cs="宋体"/>
          <w:sz w:val="24"/>
        </w:rPr>
        <w:t>为响应党中央、国务院关于治理政府采购领域商业贿赂行为的号召，我公司在此承诺：</w:t>
      </w:r>
    </w:p>
    <w:p>
      <w:pPr>
        <w:spacing w:line="480" w:lineRule="auto"/>
        <w:ind w:firstLine="480" w:firstLineChars="200"/>
        <w:rPr>
          <w:rFonts w:ascii="宋体" w:hAnsi="宋体" w:cs="宋体"/>
          <w:sz w:val="24"/>
        </w:rPr>
      </w:pPr>
      <w:r>
        <w:rPr>
          <w:rFonts w:hint="eastAsia" w:ascii="宋体" w:hAnsi="宋体" w:cs="宋体"/>
          <w:sz w:val="24"/>
        </w:rPr>
        <w:t>1、在参与政府采购活动中遵纪守法、诚信经营、公平竞标。</w:t>
      </w:r>
    </w:p>
    <w:p>
      <w:pPr>
        <w:spacing w:line="480" w:lineRule="auto"/>
        <w:ind w:firstLine="480" w:firstLineChars="200"/>
        <w:rPr>
          <w:rFonts w:ascii="宋体" w:hAnsi="宋体" w:cs="宋体"/>
          <w:sz w:val="24"/>
        </w:rPr>
      </w:pPr>
      <w:r>
        <w:rPr>
          <w:rFonts w:hint="eastAsia" w:ascii="宋体" w:hAnsi="宋体" w:cs="宋体"/>
          <w:sz w:val="24"/>
        </w:rPr>
        <w:t>2、不向政府采购人、采购代理机构和政府采购评审专家进行任何形式的商业贿赂以谋取交易机会。</w:t>
      </w:r>
    </w:p>
    <w:p>
      <w:pPr>
        <w:spacing w:line="480" w:lineRule="auto"/>
        <w:ind w:firstLine="480" w:firstLineChars="200"/>
        <w:rPr>
          <w:rFonts w:ascii="宋体" w:hAnsi="宋体" w:cs="宋体"/>
          <w:sz w:val="24"/>
        </w:rPr>
      </w:pPr>
      <w:r>
        <w:rPr>
          <w:rFonts w:hint="eastAsia" w:ascii="宋体" w:hAnsi="宋体" w:cs="宋体"/>
          <w:sz w:val="24"/>
        </w:rPr>
        <w:t>3、不向政府采购代理机构和采购人提供虚假资质文件或采用虚假应标方式参与政府采购市场竞争并谋取中标、成交、</w:t>
      </w:r>
    </w:p>
    <w:p>
      <w:pPr>
        <w:spacing w:line="480" w:lineRule="auto"/>
        <w:ind w:firstLine="480" w:firstLineChars="200"/>
        <w:rPr>
          <w:rFonts w:ascii="宋体" w:hAnsi="宋体" w:cs="宋体"/>
          <w:sz w:val="24"/>
        </w:rPr>
      </w:pPr>
      <w:r>
        <w:rPr>
          <w:rFonts w:hint="eastAsia" w:ascii="宋体" w:hAnsi="宋体" w:cs="宋体"/>
          <w:sz w:val="24"/>
        </w:rPr>
        <w:t>4、不采取“围标、陪标”等商业欺诈手段获得政府采购定单。</w:t>
      </w:r>
    </w:p>
    <w:p>
      <w:pPr>
        <w:spacing w:line="480" w:lineRule="auto"/>
        <w:ind w:firstLine="480" w:firstLineChars="200"/>
        <w:rPr>
          <w:rFonts w:ascii="宋体" w:hAnsi="宋体" w:cs="宋体"/>
          <w:sz w:val="24"/>
        </w:rPr>
      </w:pPr>
      <w:r>
        <w:rPr>
          <w:rFonts w:hint="eastAsia" w:ascii="宋体" w:hAnsi="宋体" w:cs="宋体"/>
          <w:sz w:val="24"/>
        </w:rPr>
        <w:t>5、不采取不正当手段诋毁、排挤其他供应商。</w:t>
      </w:r>
    </w:p>
    <w:p>
      <w:pPr>
        <w:spacing w:line="480" w:lineRule="auto"/>
        <w:ind w:firstLine="480" w:firstLineChars="200"/>
        <w:rPr>
          <w:rFonts w:ascii="宋体" w:hAnsi="宋体" w:cs="宋体"/>
          <w:sz w:val="24"/>
        </w:rPr>
      </w:pPr>
      <w:r>
        <w:rPr>
          <w:rFonts w:hint="eastAsia" w:ascii="宋体" w:hAnsi="宋体" w:cs="宋体"/>
          <w:sz w:val="24"/>
        </w:rPr>
        <w:t>6、不在提供商品和服务时“偷梁换柱、以次充好”损害采购人的合法权益。</w:t>
      </w:r>
    </w:p>
    <w:p>
      <w:pPr>
        <w:spacing w:line="480" w:lineRule="auto"/>
        <w:ind w:firstLine="480" w:firstLineChars="200"/>
        <w:rPr>
          <w:rFonts w:ascii="宋体" w:hAnsi="宋体" w:cs="宋体"/>
          <w:sz w:val="24"/>
        </w:rPr>
      </w:pPr>
      <w:r>
        <w:rPr>
          <w:rFonts w:hint="eastAsia" w:ascii="宋体" w:hAnsi="宋体" w:cs="宋体"/>
          <w:sz w:val="24"/>
        </w:rPr>
        <w:t>7、不与采购人、采购代理机构政府采购评审专家或其他供应商恶意串通，进行质疑和投诉，维护政府采购市场秩序。</w:t>
      </w:r>
    </w:p>
    <w:p>
      <w:pPr>
        <w:spacing w:line="480" w:lineRule="auto"/>
        <w:ind w:firstLine="480" w:firstLineChars="200"/>
        <w:rPr>
          <w:rFonts w:ascii="宋体" w:hAnsi="宋体" w:cs="宋体"/>
          <w:sz w:val="24"/>
        </w:rPr>
      </w:pPr>
      <w:r>
        <w:rPr>
          <w:rFonts w:hint="eastAsia" w:ascii="宋体" w:hAnsi="宋体" w:cs="宋体"/>
          <w:sz w:val="24"/>
        </w:rPr>
        <w:t>8、尊重和接受政府采购监督管理部门的监督和政府采购代理机构招标采购要求，承担因违约行为给采购人造成的损失。</w:t>
      </w:r>
    </w:p>
    <w:p>
      <w:pPr>
        <w:spacing w:line="480" w:lineRule="auto"/>
        <w:ind w:firstLine="480" w:firstLineChars="200"/>
        <w:rPr>
          <w:rFonts w:ascii="宋体" w:hAnsi="宋体" w:cs="宋体"/>
          <w:sz w:val="24"/>
        </w:rPr>
      </w:pPr>
      <w:r>
        <w:rPr>
          <w:rFonts w:hint="eastAsia" w:ascii="宋体" w:hAnsi="宋体" w:cs="宋体"/>
          <w:sz w:val="24"/>
        </w:rPr>
        <w:t>9、不发生其他有悖于政府采购公开、公平、公正和诚实信用原则的行为。</w:t>
      </w:r>
    </w:p>
    <w:p>
      <w:pPr>
        <w:spacing w:line="480" w:lineRule="auto"/>
        <w:ind w:firstLine="480" w:firstLineChars="200"/>
        <w:rPr>
          <w:rFonts w:ascii="宋体" w:hAnsi="宋体" w:cs="宋体"/>
          <w:sz w:val="24"/>
        </w:rPr>
      </w:pPr>
      <w:r>
        <w:rPr>
          <w:rFonts w:hint="eastAsia" w:ascii="宋体" w:hAnsi="宋体" w:cs="宋体"/>
          <w:sz w:val="24"/>
        </w:rPr>
        <w:t>承诺单位：（盖章）                  全权代表：（签字）</w:t>
      </w:r>
    </w:p>
    <w:p>
      <w:pPr>
        <w:spacing w:line="480" w:lineRule="auto"/>
        <w:ind w:firstLine="480" w:firstLineChars="200"/>
        <w:rPr>
          <w:rFonts w:ascii="宋体" w:hAnsi="宋体" w:cs="宋体"/>
          <w:sz w:val="24"/>
        </w:rPr>
      </w:pPr>
      <w:r>
        <w:rPr>
          <w:rFonts w:hint="eastAsia" w:ascii="宋体" w:hAnsi="宋体" w:cs="宋体"/>
          <w:sz w:val="24"/>
        </w:rPr>
        <w:t>地址：                             邮编：</w:t>
      </w:r>
    </w:p>
    <w:p>
      <w:pPr>
        <w:spacing w:line="480" w:lineRule="auto"/>
        <w:ind w:firstLine="480" w:firstLineChars="200"/>
        <w:rPr>
          <w:rFonts w:ascii="宋体" w:hAnsi="宋体" w:cs="宋体"/>
          <w:sz w:val="24"/>
        </w:rPr>
      </w:pPr>
      <w:r>
        <w:rPr>
          <w:rFonts w:hint="eastAsia" w:ascii="宋体" w:hAnsi="宋体" w:cs="宋体"/>
          <w:sz w:val="24"/>
        </w:rPr>
        <w:t>电话：</w:t>
      </w:r>
    </w:p>
    <w:p>
      <w:pPr>
        <w:spacing w:line="360" w:lineRule="auto"/>
        <w:ind w:firstLine="3675" w:firstLineChars="1750"/>
        <w:jc w:val="right"/>
        <w:rPr>
          <w:rFonts w:ascii="宋体" w:hAnsi="宋体" w:cs="宋体"/>
          <w:sz w:val="24"/>
          <w:u w:val="single"/>
        </w:rPr>
      </w:pPr>
      <w:r>
        <w:rPr>
          <w:rFonts w:hint="eastAsia" w:ascii="宋体" w:hAnsi="宋体" w:cs="宋体"/>
        </w:rPr>
        <w:t xml:space="preserve">                                                </w:t>
      </w: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16"/>
        <w:spacing w:line="720" w:lineRule="auto"/>
        <w:jc w:val="center"/>
        <w:rPr>
          <w:rFonts w:ascii="宋体" w:hAnsi="宋体" w:cs="宋体"/>
        </w:rPr>
      </w:pPr>
    </w:p>
    <w:sectPr>
      <w:pgSz w:w="11906" w:h="16838"/>
      <w:pgMar w:top="1701" w:right="1418" w:bottom="1701" w:left="1701" w:header="737" w:footer="73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single" w:color="auto" w:sz="4" w:space="1"/>
      </w:pBdr>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23"/>
      </w:rPr>
    </w:pPr>
    <w:r>
      <w:fldChar w:fldCharType="begin"/>
    </w:r>
    <w:r>
      <w:rPr>
        <w:rStyle w:val="23"/>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top w:val="single" w:color="auto" w:sz="4" w:space="1"/>
      </w:pBdr>
      <w:jc w:val="center"/>
      <w:rPr>
        <w:rFonts w:ascii="宋体" w:hAnsi="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1"/>
                          </w:pPr>
                          <w:r>
                            <w:fldChar w:fldCharType="begin"/>
                          </w:r>
                          <w:r>
                            <w:instrText xml:space="preserve"> PAGE  \* MERGEFORMAT </w:instrText>
                          </w:r>
                          <w:r>
                            <w:fldChar w:fldCharType="separate"/>
                          </w:r>
                          <w:r>
                            <w:t>59</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i91E0AAAAAIBAAAPAAAAAAAAAAEAIAAAACIAAABkcnMvZG93bnJldi54bWxQSwECFAAU&#10;AAAACACHTuJAtVnf0fkBAAAABAAADgAAAAAAAAABACAAAAAfAQAAZHJzL2Uyb0RvYy54bWxQSwUG&#10;AAAAAAYABgBZAQAAigU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7285"/>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1"/>
                          </w:pPr>
                          <w:r>
                            <w:fldChar w:fldCharType="begin"/>
                          </w:r>
                          <w:r>
                            <w:instrText xml:space="preserve"> PAGE  \* MERGEFORMAT </w:instrText>
                          </w:r>
                          <w:r>
                            <w:fldChar w:fldCharType="separate"/>
                          </w:r>
                          <w:r>
                            <w:t>19</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i91E0AAAAAIBAAAPAAAAAAAAAAEAIAAAACIAAABkcnMvZG93bnJldi54bWxQSwECFAAU&#10;AAAACACHTuJAlVUtEvkBAAAABAAADgAAAAAAAAABACAAAAAfAQAAZHJzL2Uyb0RvYy54bWxQSwUG&#10;AAAAAAYABgBZAQAAigU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19</w:t>
                    </w:r>
                    <w: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right"/>
      <w:rPr>
        <w:rFonts w:ascii="宋体" w:hAnsi="宋体"/>
      </w:rPr>
    </w:pPr>
  </w:p>
  <w:p>
    <w:pPr>
      <w:pStyle w:val="12"/>
      <w:pBdr>
        <w:bottom w:val="none" w:color="auto" w:sz="0" w:space="0"/>
      </w:pBdr>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right"/>
      <w:rPr>
        <w:rFonts w:ascii="宋体" w:hAnsi="宋体"/>
      </w:rPr>
    </w:pPr>
  </w:p>
  <w:p>
    <w:pPr>
      <w:pStyle w:val="12"/>
      <w:pBdr>
        <w:bottom w:val="none" w:color="auto" w:sz="0" w:space="0"/>
      </w:pBdr>
      <w:jc w:val="right"/>
      <w:rPr>
        <w:rFonts w:ascii="宋体" w:hAnsi="宋体"/>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right"/>
      <w:rPr>
        <w:rFonts w:ascii="宋体" w:hAnsi="宋体"/>
      </w:rPr>
    </w:pPr>
  </w:p>
  <w:p>
    <w:pPr>
      <w:pStyle w:val="12"/>
      <w:jc w:val="right"/>
      <w:rPr>
        <w:rFonts w:ascii="宋体"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934C0"/>
    <w:multiLevelType w:val="singleLevel"/>
    <w:tmpl w:val="897934C0"/>
    <w:lvl w:ilvl="0" w:tentative="0">
      <w:start w:val="1"/>
      <w:numFmt w:val="decimal"/>
      <w:suff w:val="nothing"/>
      <w:lvlText w:val="%1、"/>
      <w:lvlJc w:val="left"/>
    </w:lvl>
  </w:abstractNum>
  <w:abstractNum w:abstractNumId="1">
    <w:nsid w:val="AA407CF9"/>
    <w:multiLevelType w:val="singleLevel"/>
    <w:tmpl w:val="AA407CF9"/>
    <w:lvl w:ilvl="0" w:tentative="0">
      <w:start w:val="4"/>
      <w:numFmt w:val="chineseCounting"/>
      <w:suff w:val="space"/>
      <w:lvlText w:val="第%1章、"/>
      <w:lvlJc w:val="left"/>
      <w:rPr>
        <w:rFonts w:hint="eastAsia"/>
      </w:rPr>
    </w:lvl>
  </w:abstractNum>
  <w:abstractNum w:abstractNumId="2">
    <w:nsid w:val="BE21F301"/>
    <w:multiLevelType w:val="singleLevel"/>
    <w:tmpl w:val="BE21F301"/>
    <w:lvl w:ilvl="0" w:tentative="0">
      <w:start w:val="1"/>
      <w:numFmt w:val="decimal"/>
      <w:suff w:val="nothing"/>
      <w:lvlText w:val="%1、"/>
      <w:lvlJc w:val="left"/>
    </w:lvl>
  </w:abstractNum>
  <w:abstractNum w:abstractNumId="3">
    <w:nsid w:val="5ACCB659"/>
    <w:multiLevelType w:val="singleLevel"/>
    <w:tmpl w:val="5ACCB659"/>
    <w:lvl w:ilvl="0" w:tentative="0">
      <w:start w:val="3"/>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2"/>
  <w:drawingGridVerticalSpacing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3NmI3ZTE1ZTYyNTljN2NjOTVmNGFiZmYyMDkyMWEifQ=="/>
  </w:docVars>
  <w:rsids>
    <w:rsidRoot w:val="00390E21"/>
    <w:rsid w:val="000004E0"/>
    <w:rsid w:val="00000C31"/>
    <w:rsid w:val="000033DC"/>
    <w:rsid w:val="000037FA"/>
    <w:rsid w:val="0000626E"/>
    <w:rsid w:val="00006700"/>
    <w:rsid w:val="00006F97"/>
    <w:rsid w:val="00012A79"/>
    <w:rsid w:val="00012B96"/>
    <w:rsid w:val="000133F6"/>
    <w:rsid w:val="00014771"/>
    <w:rsid w:val="00014D49"/>
    <w:rsid w:val="00015576"/>
    <w:rsid w:val="000165D6"/>
    <w:rsid w:val="00022421"/>
    <w:rsid w:val="0002439F"/>
    <w:rsid w:val="00026CF3"/>
    <w:rsid w:val="000276A0"/>
    <w:rsid w:val="00030761"/>
    <w:rsid w:val="00032025"/>
    <w:rsid w:val="0003257D"/>
    <w:rsid w:val="000332FB"/>
    <w:rsid w:val="00033393"/>
    <w:rsid w:val="0003358E"/>
    <w:rsid w:val="00033FBF"/>
    <w:rsid w:val="000342B2"/>
    <w:rsid w:val="0003493E"/>
    <w:rsid w:val="00034B54"/>
    <w:rsid w:val="00036D40"/>
    <w:rsid w:val="00043254"/>
    <w:rsid w:val="000452F0"/>
    <w:rsid w:val="00045D0D"/>
    <w:rsid w:val="00046534"/>
    <w:rsid w:val="0004691C"/>
    <w:rsid w:val="00046E9E"/>
    <w:rsid w:val="00052557"/>
    <w:rsid w:val="00054789"/>
    <w:rsid w:val="000600CB"/>
    <w:rsid w:val="000602E9"/>
    <w:rsid w:val="00061956"/>
    <w:rsid w:val="00061EB1"/>
    <w:rsid w:val="00063909"/>
    <w:rsid w:val="00064CF0"/>
    <w:rsid w:val="000663B3"/>
    <w:rsid w:val="00066E53"/>
    <w:rsid w:val="00067526"/>
    <w:rsid w:val="00071F0B"/>
    <w:rsid w:val="0007274C"/>
    <w:rsid w:val="00081362"/>
    <w:rsid w:val="000825A4"/>
    <w:rsid w:val="000830E0"/>
    <w:rsid w:val="00084404"/>
    <w:rsid w:val="000868BF"/>
    <w:rsid w:val="00093C56"/>
    <w:rsid w:val="000A1FFC"/>
    <w:rsid w:val="000A2F3C"/>
    <w:rsid w:val="000A307B"/>
    <w:rsid w:val="000A428A"/>
    <w:rsid w:val="000A52FE"/>
    <w:rsid w:val="000A7E02"/>
    <w:rsid w:val="000B63A4"/>
    <w:rsid w:val="000B68C4"/>
    <w:rsid w:val="000B68CE"/>
    <w:rsid w:val="000B6CC9"/>
    <w:rsid w:val="000C21B3"/>
    <w:rsid w:val="000C4529"/>
    <w:rsid w:val="000C550D"/>
    <w:rsid w:val="000D01DB"/>
    <w:rsid w:val="000D3371"/>
    <w:rsid w:val="000D35C7"/>
    <w:rsid w:val="000D3B77"/>
    <w:rsid w:val="000D517F"/>
    <w:rsid w:val="000E233E"/>
    <w:rsid w:val="000E32CB"/>
    <w:rsid w:val="000E3970"/>
    <w:rsid w:val="000E3DD0"/>
    <w:rsid w:val="000E43B0"/>
    <w:rsid w:val="000E4796"/>
    <w:rsid w:val="000E59FB"/>
    <w:rsid w:val="000E6FA2"/>
    <w:rsid w:val="000F1ED8"/>
    <w:rsid w:val="000F238B"/>
    <w:rsid w:val="000F3B51"/>
    <w:rsid w:val="000F641F"/>
    <w:rsid w:val="000F6BB6"/>
    <w:rsid w:val="000F6C2B"/>
    <w:rsid w:val="000F7313"/>
    <w:rsid w:val="001005ED"/>
    <w:rsid w:val="00100C5C"/>
    <w:rsid w:val="00103928"/>
    <w:rsid w:val="00104A17"/>
    <w:rsid w:val="0010516E"/>
    <w:rsid w:val="001063A9"/>
    <w:rsid w:val="00106970"/>
    <w:rsid w:val="0010742C"/>
    <w:rsid w:val="00110339"/>
    <w:rsid w:val="0011040A"/>
    <w:rsid w:val="0011202E"/>
    <w:rsid w:val="00112FAD"/>
    <w:rsid w:val="00115B1A"/>
    <w:rsid w:val="00116BA0"/>
    <w:rsid w:val="001175E6"/>
    <w:rsid w:val="001210F1"/>
    <w:rsid w:val="00122550"/>
    <w:rsid w:val="0012287E"/>
    <w:rsid w:val="00123406"/>
    <w:rsid w:val="00123CE2"/>
    <w:rsid w:val="00124E72"/>
    <w:rsid w:val="001270A6"/>
    <w:rsid w:val="00130B8B"/>
    <w:rsid w:val="001319B5"/>
    <w:rsid w:val="001320CA"/>
    <w:rsid w:val="001338A3"/>
    <w:rsid w:val="00137783"/>
    <w:rsid w:val="001412EE"/>
    <w:rsid w:val="00142E53"/>
    <w:rsid w:val="0014443B"/>
    <w:rsid w:val="00144B76"/>
    <w:rsid w:val="00144EC1"/>
    <w:rsid w:val="001474A4"/>
    <w:rsid w:val="001475EE"/>
    <w:rsid w:val="00147D77"/>
    <w:rsid w:val="00151656"/>
    <w:rsid w:val="00152018"/>
    <w:rsid w:val="00152DB9"/>
    <w:rsid w:val="00154E0C"/>
    <w:rsid w:val="00155A64"/>
    <w:rsid w:val="00160EAB"/>
    <w:rsid w:val="00162BF5"/>
    <w:rsid w:val="00164340"/>
    <w:rsid w:val="0016462D"/>
    <w:rsid w:val="00167B59"/>
    <w:rsid w:val="00170020"/>
    <w:rsid w:val="00171B3B"/>
    <w:rsid w:val="0017298A"/>
    <w:rsid w:val="0017308C"/>
    <w:rsid w:val="00173F66"/>
    <w:rsid w:val="00173FD4"/>
    <w:rsid w:val="00174EC9"/>
    <w:rsid w:val="00176117"/>
    <w:rsid w:val="00176B80"/>
    <w:rsid w:val="0018492B"/>
    <w:rsid w:val="0018496C"/>
    <w:rsid w:val="00187E2B"/>
    <w:rsid w:val="00193317"/>
    <w:rsid w:val="001940B4"/>
    <w:rsid w:val="00194D86"/>
    <w:rsid w:val="00197928"/>
    <w:rsid w:val="001A19E5"/>
    <w:rsid w:val="001A4801"/>
    <w:rsid w:val="001A48A2"/>
    <w:rsid w:val="001A5601"/>
    <w:rsid w:val="001A5D44"/>
    <w:rsid w:val="001A7558"/>
    <w:rsid w:val="001B2BC6"/>
    <w:rsid w:val="001B5B59"/>
    <w:rsid w:val="001B7C56"/>
    <w:rsid w:val="001C09BB"/>
    <w:rsid w:val="001C09C0"/>
    <w:rsid w:val="001C0FF4"/>
    <w:rsid w:val="001C4286"/>
    <w:rsid w:val="001C5E21"/>
    <w:rsid w:val="001D0B09"/>
    <w:rsid w:val="001D5284"/>
    <w:rsid w:val="001D5A53"/>
    <w:rsid w:val="001D6DBB"/>
    <w:rsid w:val="001E0439"/>
    <w:rsid w:val="001E3E9D"/>
    <w:rsid w:val="001E3EAD"/>
    <w:rsid w:val="001E4992"/>
    <w:rsid w:val="001E5195"/>
    <w:rsid w:val="001E5564"/>
    <w:rsid w:val="001E587B"/>
    <w:rsid w:val="001E75F4"/>
    <w:rsid w:val="001E7891"/>
    <w:rsid w:val="001F068C"/>
    <w:rsid w:val="001F0E88"/>
    <w:rsid w:val="001F5A9D"/>
    <w:rsid w:val="001F6116"/>
    <w:rsid w:val="00201BFA"/>
    <w:rsid w:val="002034A3"/>
    <w:rsid w:val="00204C32"/>
    <w:rsid w:val="00206839"/>
    <w:rsid w:val="00207723"/>
    <w:rsid w:val="00210652"/>
    <w:rsid w:val="00212C8C"/>
    <w:rsid w:val="0021416B"/>
    <w:rsid w:val="0021799B"/>
    <w:rsid w:val="00220191"/>
    <w:rsid w:val="00220B7C"/>
    <w:rsid w:val="00227F6A"/>
    <w:rsid w:val="002318D4"/>
    <w:rsid w:val="0023239D"/>
    <w:rsid w:val="002354BB"/>
    <w:rsid w:val="00236346"/>
    <w:rsid w:val="00236573"/>
    <w:rsid w:val="00236C16"/>
    <w:rsid w:val="00241903"/>
    <w:rsid w:val="00241CEA"/>
    <w:rsid w:val="00242169"/>
    <w:rsid w:val="0024256E"/>
    <w:rsid w:val="002436EA"/>
    <w:rsid w:val="002450EE"/>
    <w:rsid w:val="002469BE"/>
    <w:rsid w:val="00250CBB"/>
    <w:rsid w:val="00253300"/>
    <w:rsid w:val="002533C1"/>
    <w:rsid w:val="002533DD"/>
    <w:rsid w:val="002546AA"/>
    <w:rsid w:val="00254906"/>
    <w:rsid w:val="00254D79"/>
    <w:rsid w:val="00255997"/>
    <w:rsid w:val="00256B32"/>
    <w:rsid w:val="00256F79"/>
    <w:rsid w:val="00262425"/>
    <w:rsid w:val="002625B3"/>
    <w:rsid w:val="00262DB7"/>
    <w:rsid w:val="00264E0E"/>
    <w:rsid w:val="00270864"/>
    <w:rsid w:val="00272DE8"/>
    <w:rsid w:val="0027394E"/>
    <w:rsid w:val="0027480C"/>
    <w:rsid w:val="00276327"/>
    <w:rsid w:val="002800C1"/>
    <w:rsid w:val="002814E8"/>
    <w:rsid w:val="002828B8"/>
    <w:rsid w:val="00282C1D"/>
    <w:rsid w:val="002839A7"/>
    <w:rsid w:val="00286076"/>
    <w:rsid w:val="002860A2"/>
    <w:rsid w:val="00291DA7"/>
    <w:rsid w:val="00291EAB"/>
    <w:rsid w:val="00291EEF"/>
    <w:rsid w:val="00292E46"/>
    <w:rsid w:val="00294133"/>
    <w:rsid w:val="00295248"/>
    <w:rsid w:val="00295573"/>
    <w:rsid w:val="00296E0A"/>
    <w:rsid w:val="002977DE"/>
    <w:rsid w:val="002A2239"/>
    <w:rsid w:val="002A3BDF"/>
    <w:rsid w:val="002A4AFF"/>
    <w:rsid w:val="002A6758"/>
    <w:rsid w:val="002A6D25"/>
    <w:rsid w:val="002A7495"/>
    <w:rsid w:val="002B0287"/>
    <w:rsid w:val="002B2643"/>
    <w:rsid w:val="002B2967"/>
    <w:rsid w:val="002B2C15"/>
    <w:rsid w:val="002B39CE"/>
    <w:rsid w:val="002B39E7"/>
    <w:rsid w:val="002B60D0"/>
    <w:rsid w:val="002C0407"/>
    <w:rsid w:val="002C1518"/>
    <w:rsid w:val="002C2592"/>
    <w:rsid w:val="002C26E4"/>
    <w:rsid w:val="002C281C"/>
    <w:rsid w:val="002C5079"/>
    <w:rsid w:val="002C6879"/>
    <w:rsid w:val="002D05AA"/>
    <w:rsid w:val="002D0B38"/>
    <w:rsid w:val="002D3A45"/>
    <w:rsid w:val="002D4847"/>
    <w:rsid w:val="002D4ED4"/>
    <w:rsid w:val="002D73C9"/>
    <w:rsid w:val="002E0842"/>
    <w:rsid w:val="002E1599"/>
    <w:rsid w:val="002E2397"/>
    <w:rsid w:val="002E4C1A"/>
    <w:rsid w:val="002F0612"/>
    <w:rsid w:val="002F1273"/>
    <w:rsid w:val="002F181B"/>
    <w:rsid w:val="002F1C81"/>
    <w:rsid w:val="002F58DD"/>
    <w:rsid w:val="002F5F77"/>
    <w:rsid w:val="0030137E"/>
    <w:rsid w:val="003015D5"/>
    <w:rsid w:val="0030412D"/>
    <w:rsid w:val="00305103"/>
    <w:rsid w:val="003072B3"/>
    <w:rsid w:val="00311F07"/>
    <w:rsid w:val="00312B35"/>
    <w:rsid w:val="00313B60"/>
    <w:rsid w:val="0031591A"/>
    <w:rsid w:val="003169C7"/>
    <w:rsid w:val="003207FE"/>
    <w:rsid w:val="00326696"/>
    <w:rsid w:val="00326C67"/>
    <w:rsid w:val="00331608"/>
    <w:rsid w:val="003344F3"/>
    <w:rsid w:val="003368A9"/>
    <w:rsid w:val="00337F17"/>
    <w:rsid w:val="00340AAF"/>
    <w:rsid w:val="003448EF"/>
    <w:rsid w:val="00347169"/>
    <w:rsid w:val="00350CC4"/>
    <w:rsid w:val="00353F11"/>
    <w:rsid w:val="0035480E"/>
    <w:rsid w:val="00362877"/>
    <w:rsid w:val="003639A0"/>
    <w:rsid w:val="00364144"/>
    <w:rsid w:val="003662BF"/>
    <w:rsid w:val="00367208"/>
    <w:rsid w:val="003677B3"/>
    <w:rsid w:val="00371A74"/>
    <w:rsid w:val="00371F95"/>
    <w:rsid w:val="00372667"/>
    <w:rsid w:val="0037272B"/>
    <w:rsid w:val="00373934"/>
    <w:rsid w:val="00373EC3"/>
    <w:rsid w:val="00374040"/>
    <w:rsid w:val="0037444E"/>
    <w:rsid w:val="00376786"/>
    <w:rsid w:val="00385FEC"/>
    <w:rsid w:val="003909CA"/>
    <w:rsid w:val="00390E21"/>
    <w:rsid w:val="0039237C"/>
    <w:rsid w:val="0039355F"/>
    <w:rsid w:val="0039424C"/>
    <w:rsid w:val="00396217"/>
    <w:rsid w:val="00397AB6"/>
    <w:rsid w:val="003A094E"/>
    <w:rsid w:val="003A19C0"/>
    <w:rsid w:val="003A22C2"/>
    <w:rsid w:val="003A2AAD"/>
    <w:rsid w:val="003A34CE"/>
    <w:rsid w:val="003A357C"/>
    <w:rsid w:val="003A3594"/>
    <w:rsid w:val="003A6324"/>
    <w:rsid w:val="003A73E5"/>
    <w:rsid w:val="003B10F2"/>
    <w:rsid w:val="003B4D04"/>
    <w:rsid w:val="003B5138"/>
    <w:rsid w:val="003B5186"/>
    <w:rsid w:val="003B5637"/>
    <w:rsid w:val="003B5F41"/>
    <w:rsid w:val="003B7324"/>
    <w:rsid w:val="003C12FA"/>
    <w:rsid w:val="003C24E6"/>
    <w:rsid w:val="003C2D01"/>
    <w:rsid w:val="003C3498"/>
    <w:rsid w:val="003C6A4A"/>
    <w:rsid w:val="003D219C"/>
    <w:rsid w:val="003D3393"/>
    <w:rsid w:val="003D3B0D"/>
    <w:rsid w:val="003D48D8"/>
    <w:rsid w:val="003D5145"/>
    <w:rsid w:val="003E3A37"/>
    <w:rsid w:val="003E4B59"/>
    <w:rsid w:val="003F3854"/>
    <w:rsid w:val="003F4198"/>
    <w:rsid w:val="003F478B"/>
    <w:rsid w:val="003F57F0"/>
    <w:rsid w:val="003F61D0"/>
    <w:rsid w:val="003F624A"/>
    <w:rsid w:val="003F68EC"/>
    <w:rsid w:val="00403737"/>
    <w:rsid w:val="00404C38"/>
    <w:rsid w:val="004068D9"/>
    <w:rsid w:val="00416189"/>
    <w:rsid w:val="00417B4C"/>
    <w:rsid w:val="0042022E"/>
    <w:rsid w:val="00420424"/>
    <w:rsid w:val="00420C41"/>
    <w:rsid w:val="00420D99"/>
    <w:rsid w:val="00422AE5"/>
    <w:rsid w:val="00423A63"/>
    <w:rsid w:val="00423B9D"/>
    <w:rsid w:val="00423CA4"/>
    <w:rsid w:val="004245A7"/>
    <w:rsid w:val="00425395"/>
    <w:rsid w:val="00426E0A"/>
    <w:rsid w:val="00426F96"/>
    <w:rsid w:val="00430B5B"/>
    <w:rsid w:val="00432C24"/>
    <w:rsid w:val="0043498A"/>
    <w:rsid w:val="00434C19"/>
    <w:rsid w:val="004414B7"/>
    <w:rsid w:val="00444011"/>
    <w:rsid w:val="0044456D"/>
    <w:rsid w:val="00446637"/>
    <w:rsid w:val="004501AB"/>
    <w:rsid w:val="00450DC5"/>
    <w:rsid w:val="00450EB7"/>
    <w:rsid w:val="00451D22"/>
    <w:rsid w:val="00452C5A"/>
    <w:rsid w:val="004553B6"/>
    <w:rsid w:val="004600C4"/>
    <w:rsid w:val="00461490"/>
    <w:rsid w:val="00462E6E"/>
    <w:rsid w:val="00462FFE"/>
    <w:rsid w:val="00463919"/>
    <w:rsid w:val="00464D5B"/>
    <w:rsid w:val="00465755"/>
    <w:rsid w:val="00466D58"/>
    <w:rsid w:val="004702CC"/>
    <w:rsid w:val="00470A73"/>
    <w:rsid w:val="004715FD"/>
    <w:rsid w:val="00472DF8"/>
    <w:rsid w:val="0047350B"/>
    <w:rsid w:val="00474AC4"/>
    <w:rsid w:val="00475052"/>
    <w:rsid w:val="0047564D"/>
    <w:rsid w:val="00475D3B"/>
    <w:rsid w:val="004760F7"/>
    <w:rsid w:val="004808C9"/>
    <w:rsid w:val="004809C1"/>
    <w:rsid w:val="004826CC"/>
    <w:rsid w:val="004827D8"/>
    <w:rsid w:val="00483747"/>
    <w:rsid w:val="00484293"/>
    <w:rsid w:val="00484A67"/>
    <w:rsid w:val="00484B34"/>
    <w:rsid w:val="00485941"/>
    <w:rsid w:val="004919FB"/>
    <w:rsid w:val="00493344"/>
    <w:rsid w:val="00493B98"/>
    <w:rsid w:val="004A03FE"/>
    <w:rsid w:val="004A15D2"/>
    <w:rsid w:val="004A1A30"/>
    <w:rsid w:val="004A2F82"/>
    <w:rsid w:val="004A48BE"/>
    <w:rsid w:val="004A6278"/>
    <w:rsid w:val="004A759B"/>
    <w:rsid w:val="004B10DA"/>
    <w:rsid w:val="004B3DF3"/>
    <w:rsid w:val="004B4F44"/>
    <w:rsid w:val="004B683C"/>
    <w:rsid w:val="004B7330"/>
    <w:rsid w:val="004C2566"/>
    <w:rsid w:val="004C4107"/>
    <w:rsid w:val="004D06DC"/>
    <w:rsid w:val="004D09A1"/>
    <w:rsid w:val="004D188F"/>
    <w:rsid w:val="004D18B4"/>
    <w:rsid w:val="004D2188"/>
    <w:rsid w:val="004D3071"/>
    <w:rsid w:val="004D3840"/>
    <w:rsid w:val="004D39F2"/>
    <w:rsid w:val="004D3C76"/>
    <w:rsid w:val="004D40B3"/>
    <w:rsid w:val="004D65F5"/>
    <w:rsid w:val="004D6AC2"/>
    <w:rsid w:val="004D7F5A"/>
    <w:rsid w:val="004E01F0"/>
    <w:rsid w:val="004E1F77"/>
    <w:rsid w:val="004E6AF2"/>
    <w:rsid w:val="004E7CE7"/>
    <w:rsid w:val="004F1128"/>
    <w:rsid w:val="004F32B5"/>
    <w:rsid w:val="004F4E06"/>
    <w:rsid w:val="004F5649"/>
    <w:rsid w:val="0050151B"/>
    <w:rsid w:val="0050201D"/>
    <w:rsid w:val="00503DF5"/>
    <w:rsid w:val="005109B3"/>
    <w:rsid w:val="005118B1"/>
    <w:rsid w:val="00514FC0"/>
    <w:rsid w:val="00515311"/>
    <w:rsid w:val="0051752E"/>
    <w:rsid w:val="005213A9"/>
    <w:rsid w:val="00521624"/>
    <w:rsid w:val="005244E0"/>
    <w:rsid w:val="005245BD"/>
    <w:rsid w:val="005265BD"/>
    <w:rsid w:val="00530687"/>
    <w:rsid w:val="00530EFF"/>
    <w:rsid w:val="0053160E"/>
    <w:rsid w:val="00531F4D"/>
    <w:rsid w:val="00532321"/>
    <w:rsid w:val="00532CEB"/>
    <w:rsid w:val="005334EA"/>
    <w:rsid w:val="00534B00"/>
    <w:rsid w:val="005357E7"/>
    <w:rsid w:val="00535A27"/>
    <w:rsid w:val="00535AAE"/>
    <w:rsid w:val="005370BB"/>
    <w:rsid w:val="005379B3"/>
    <w:rsid w:val="005456AA"/>
    <w:rsid w:val="005511D8"/>
    <w:rsid w:val="00551AF0"/>
    <w:rsid w:val="005547D2"/>
    <w:rsid w:val="005571B6"/>
    <w:rsid w:val="00560638"/>
    <w:rsid w:val="00560AB7"/>
    <w:rsid w:val="005618C7"/>
    <w:rsid w:val="0056282D"/>
    <w:rsid w:val="00563ACC"/>
    <w:rsid w:val="0056475D"/>
    <w:rsid w:val="005667E9"/>
    <w:rsid w:val="00566CEE"/>
    <w:rsid w:val="00566EC6"/>
    <w:rsid w:val="00567332"/>
    <w:rsid w:val="005677C0"/>
    <w:rsid w:val="0056784A"/>
    <w:rsid w:val="005700D9"/>
    <w:rsid w:val="00571F6C"/>
    <w:rsid w:val="0057398C"/>
    <w:rsid w:val="00573DC1"/>
    <w:rsid w:val="00574F4F"/>
    <w:rsid w:val="005753B8"/>
    <w:rsid w:val="005808E4"/>
    <w:rsid w:val="00580DAF"/>
    <w:rsid w:val="00582850"/>
    <w:rsid w:val="0058397E"/>
    <w:rsid w:val="00585666"/>
    <w:rsid w:val="00585CE3"/>
    <w:rsid w:val="00587CDE"/>
    <w:rsid w:val="00591107"/>
    <w:rsid w:val="005927CA"/>
    <w:rsid w:val="00593928"/>
    <w:rsid w:val="00593E03"/>
    <w:rsid w:val="00593E54"/>
    <w:rsid w:val="00596899"/>
    <w:rsid w:val="005A0744"/>
    <w:rsid w:val="005A07CC"/>
    <w:rsid w:val="005A0F23"/>
    <w:rsid w:val="005A134C"/>
    <w:rsid w:val="005A1377"/>
    <w:rsid w:val="005A563C"/>
    <w:rsid w:val="005A6495"/>
    <w:rsid w:val="005B27AB"/>
    <w:rsid w:val="005B2EF5"/>
    <w:rsid w:val="005B5654"/>
    <w:rsid w:val="005B578C"/>
    <w:rsid w:val="005B6151"/>
    <w:rsid w:val="005B76A6"/>
    <w:rsid w:val="005C0049"/>
    <w:rsid w:val="005C02F9"/>
    <w:rsid w:val="005C08A7"/>
    <w:rsid w:val="005C08F7"/>
    <w:rsid w:val="005C0B94"/>
    <w:rsid w:val="005C0F9B"/>
    <w:rsid w:val="005C1445"/>
    <w:rsid w:val="005C1C41"/>
    <w:rsid w:val="005C209E"/>
    <w:rsid w:val="005C5E68"/>
    <w:rsid w:val="005D1428"/>
    <w:rsid w:val="005D23E3"/>
    <w:rsid w:val="005D615B"/>
    <w:rsid w:val="005D6584"/>
    <w:rsid w:val="005D7B1B"/>
    <w:rsid w:val="005E08D8"/>
    <w:rsid w:val="005E4544"/>
    <w:rsid w:val="005E59B9"/>
    <w:rsid w:val="005E6432"/>
    <w:rsid w:val="005E68B0"/>
    <w:rsid w:val="005E7441"/>
    <w:rsid w:val="005E7A3C"/>
    <w:rsid w:val="005F099A"/>
    <w:rsid w:val="005F1543"/>
    <w:rsid w:val="005F25EC"/>
    <w:rsid w:val="005F2734"/>
    <w:rsid w:val="005F3DF5"/>
    <w:rsid w:val="005F47DF"/>
    <w:rsid w:val="005F4FC3"/>
    <w:rsid w:val="005F536B"/>
    <w:rsid w:val="005F7A02"/>
    <w:rsid w:val="0060442B"/>
    <w:rsid w:val="006070B6"/>
    <w:rsid w:val="006127C2"/>
    <w:rsid w:val="00613472"/>
    <w:rsid w:val="00614286"/>
    <w:rsid w:val="00615CD5"/>
    <w:rsid w:val="006177F7"/>
    <w:rsid w:val="006222C0"/>
    <w:rsid w:val="00626C0B"/>
    <w:rsid w:val="006308D4"/>
    <w:rsid w:val="00631BB0"/>
    <w:rsid w:val="00631E44"/>
    <w:rsid w:val="00632413"/>
    <w:rsid w:val="00633FF5"/>
    <w:rsid w:val="00634AE2"/>
    <w:rsid w:val="006350CE"/>
    <w:rsid w:val="00635973"/>
    <w:rsid w:val="00635CB3"/>
    <w:rsid w:val="006365BA"/>
    <w:rsid w:val="00640586"/>
    <w:rsid w:val="00645CF3"/>
    <w:rsid w:val="006475E6"/>
    <w:rsid w:val="00647AEB"/>
    <w:rsid w:val="006513B8"/>
    <w:rsid w:val="00652F4F"/>
    <w:rsid w:val="00654959"/>
    <w:rsid w:val="00656519"/>
    <w:rsid w:val="006569EF"/>
    <w:rsid w:val="00657540"/>
    <w:rsid w:val="00662B2F"/>
    <w:rsid w:val="00667EE5"/>
    <w:rsid w:val="00670575"/>
    <w:rsid w:val="0067226B"/>
    <w:rsid w:val="00672620"/>
    <w:rsid w:val="0067276A"/>
    <w:rsid w:val="00673FAF"/>
    <w:rsid w:val="00675013"/>
    <w:rsid w:val="006752C8"/>
    <w:rsid w:val="00675CAB"/>
    <w:rsid w:val="006812CC"/>
    <w:rsid w:val="00690A35"/>
    <w:rsid w:val="0069291F"/>
    <w:rsid w:val="006933B8"/>
    <w:rsid w:val="006953F4"/>
    <w:rsid w:val="0069583E"/>
    <w:rsid w:val="00695D55"/>
    <w:rsid w:val="00696812"/>
    <w:rsid w:val="00696E7E"/>
    <w:rsid w:val="00697B41"/>
    <w:rsid w:val="00697F22"/>
    <w:rsid w:val="006A0E74"/>
    <w:rsid w:val="006A3D6C"/>
    <w:rsid w:val="006A461F"/>
    <w:rsid w:val="006A4C61"/>
    <w:rsid w:val="006A6ABC"/>
    <w:rsid w:val="006B2434"/>
    <w:rsid w:val="006B696C"/>
    <w:rsid w:val="006C04A4"/>
    <w:rsid w:val="006C1B49"/>
    <w:rsid w:val="006C373B"/>
    <w:rsid w:val="006C56FD"/>
    <w:rsid w:val="006C6162"/>
    <w:rsid w:val="006D070B"/>
    <w:rsid w:val="006D1E3E"/>
    <w:rsid w:val="006D2921"/>
    <w:rsid w:val="006D5119"/>
    <w:rsid w:val="006E0008"/>
    <w:rsid w:val="006E05A6"/>
    <w:rsid w:val="006E3CC5"/>
    <w:rsid w:val="006E6638"/>
    <w:rsid w:val="006F2250"/>
    <w:rsid w:val="006F3190"/>
    <w:rsid w:val="006F5C31"/>
    <w:rsid w:val="006F6AE5"/>
    <w:rsid w:val="006F71A3"/>
    <w:rsid w:val="006F795B"/>
    <w:rsid w:val="0070302F"/>
    <w:rsid w:val="0070589E"/>
    <w:rsid w:val="00706274"/>
    <w:rsid w:val="0070652A"/>
    <w:rsid w:val="00706768"/>
    <w:rsid w:val="00711571"/>
    <w:rsid w:val="00715E64"/>
    <w:rsid w:val="00717276"/>
    <w:rsid w:val="00717A0D"/>
    <w:rsid w:val="00720458"/>
    <w:rsid w:val="00722101"/>
    <w:rsid w:val="00723771"/>
    <w:rsid w:val="00723E1B"/>
    <w:rsid w:val="00725622"/>
    <w:rsid w:val="007257F7"/>
    <w:rsid w:val="00726E74"/>
    <w:rsid w:val="00731A75"/>
    <w:rsid w:val="007327AB"/>
    <w:rsid w:val="00733877"/>
    <w:rsid w:val="00733BAF"/>
    <w:rsid w:val="00734C6B"/>
    <w:rsid w:val="007352D8"/>
    <w:rsid w:val="00735C44"/>
    <w:rsid w:val="00740186"/>
    <w:rsid w:val="0074392E"/>
    <w:rsid w:val="0074518D"/>
    <w:rsid w:val="00746DA0"/>
    <w:rsid w:val="00747C3A"/>
    <w:rsid w:val="00751C8B"/>
    <w:rsid w:val="00752DBE"/>
    <w:rsid w:val="0075397F"/>
    <w:rsid w:val="0075472F"/>
    <w:rsid w:val="00755630"/>
    <w:rsid w:val="00757F71"/>
    <w:rsid w:val="00762EE2"/>
    <w:rsid w:val="0076363F"/>
    <w:rsid w:val="00766094"/>
    <w:rsid w:val="007671C2"/>
    <w:rsid w:val="0076749E"/>
    <w:rsid w:val="00770CE5"/>
    <w:rsid w:val="00770E55"/>
    <w:rsid w:val="007730E2"/>
    <w:rsid w:val="00775ED5"/>
    <w:rsid w:val="0077731A"/>
    <w:rsid w:val="007848C4"/>
    <w:rsid w:val="007850B5"/>
    <w:rsid w:val="0078535B"/>
    <w:rsid w:val="00790A00"/>
    <w:rsid w:val="00790E5E"/>
    <w:rsid w:val="0079211A"/>
    <w:rsid w:val="00793739"/>
    <w:rsid w:val="007948A2"/>
    <w:rsid w:val="0079490F"/>
    <w:rsid w:val="0079599A"/>
    <w:rsid w:val="00795ABC"/>
    <w:rsid w:val="0079657B"/>
    <w:rsid w:val="00796BDB"/>
    <w:rsid w:val="007A2458"/>
    <w:rsid w:val="007A3C3F"/>
    <w:rsid w:val="007A4D29"/>
    <w:rsid w:val="007B0B9D"/>
    <w:rsid w:val="007B2025"/>
    <w:rsid w:val="007B4D98"/>
    <w:rsid w:val="007B6F81"/>
    <w:rsid w:val="007C1DA4"/>
    <w:rsid w:val="007C41EF"/>
    <w:rsid w:val="007C5091"/>
    <w:rsid w:val="007C61B1"/>
    <w:rsid w:val="007D128C"/>
    <w:rsid w:val="007D166D"/>
    <w:rsid w:val="007D1778"/>
    <w:rsid w:val="007D1C55"/>
    <w:rsid w:val="007D5829"/>
    <w:rsid w:val="007E1BFF"/>
    <w:rsid w:val="007E3D38"/>
    <w:rsid w:val="007E40FF"/>
    <w:rsid w:val="007E4CD2"/>
    <w:rsid w:val="007E598B"/>
    <w:rsid w:val="007E63ED"/>
    <w:rsid w:val="007E6730"/>
    <w:rsid w:val="007E716E"/>
    <w:rsid w:val="007F36C1"/>
    <w:rsid w:val="007F4DDF"/>
    <w:rsid w:val="007F59A0"/>
    <w:rsid w:val="007F59CC"/>
    <w:rsid w:val="007F5A0B"/>
    <w:rsid w:val="007F6ABC"/>
    <w:rsid w:val="008007DD"/>
    <w:rsid w:val="00800FA7"/>
    <w:rsid w:val="008011BF"/>
    <w:rsid w:val="00801353"/>
    <w:rsid w:val="008020D6"/>
    <w:rsid w:val="0080400E"/>
    <w:rsid w:val="00805020"/>
    <w:rsid w:val="0080596C"/>
    <w:rsid w:val="0080645F"/>
    <w:rsid w:val="00806908"/>
    <w:rsid w:val="00806E6F"/>
    <w:rsid w:val="00807069"/>
    <w:rsid w:val="00810B52"/>
    <w:rsid w:val="00811339"/>
    <w:rsid w:val="0081366D"/>
    <w:rsid w:val="008136D2"/>
    <w:rsid w:val="008152C3"/>
    <w:rsid w:val="008215B6"/>
    <w:rsid w:val="008216BE"/>
    <w:rsid w:val="00822D47"/>
    <w:rsid w:val="0082358D"/>
    <w:rsid w:val="008240F8"/>
    <w:rsid w:val="0082558C"/>
    <w:rsid w:val="0082568D"/>
    <w:rsid w:val="00825D61"/>
    <w:rsid w:val="00826816"/>
    <w:rsid w:val="00830052"/>
    <w:rsid w:val="00830EDD"/>
    <w:rsid w:val="00830F0E"/>
    <w:rsid w:val="00832C0E"/>
    <w:rsid w:val="0083634A"/>
    <w:rsid w:val="008376B2"/>
    <w:rsid w:val="00842D0B"/>
    <w:rsid w:val="00842EE9"/>
    <w:rsid w:val="00844227"/>
    <w:rsid w:val="00844629"/>
    <w:rsid w:val="0084567C"/>
    <w:rsid w:val="008475D0"/>
    <w:rsid w:val="008507DD"/>
    <w:rsid w:val="00850F41"/>
    <w:rsid w:val="00851810"/>
    <w:rsid w:val="00851C10"/>
    <w:rsid w:val="00851D77"/>
    <w:rsid w:val="0085329E"/>
    <w:rsid w:val="00856916"/>
    <w:rsid w:val="0085742C"/>
    <w:rsid w:val="00863708"/>
    <w:rsid w:val="008649D5"/>
    <w:rsid w:val="00875870"/>
    <w:rsid w:val="008769F2"/>
    <w:rsid w:val="00876C56"/>
    <w:rsid w:val="00877074"/>
    <w:rsid w:val="008834C9"/>
    <w:rsid w:val="00890914"/>
    <w:rsid w:val="008910E4"/>
    <w:rsid w:val="00892A0C"/>
    <w:rsid w:val="0089394E"/>
    <w:rsid w:val="008968DE"/>
    <w:rsid w:val="00897781"/>
    <w:rsid w:val="008A12E1"/>
    <w:rsid w:val="008A1DD2"/>
    <w:rsid w:val="008A2E91"/>
    <w:rsid w:val="008A73C1"/>
    <w:rsid w:val="008A76E5"/>
    <w:rsid w:val="008B15E2"/>
    <w:rsid w:val="008B1887"/>
    <w:rsid w:val="008B4897"/>
    <w:rsid w:val="008B5C3E"/>
    <w:rsid w:val="008C10D2"/>
    <w:rsid w:val="008C29FF"/>
    <w:rsid w:val="008C4E00"/>
    <w:rsid w:val="008C50B1"/>
    <w:rsid w:val="008C6CAB"/>
    <w:rsid w:val="008D0275"/>
    <w:rsid w:val="008D0277"/>
    <w:rsid w:val="008D0A78"/>
    <w:rsid w:val="008D14C8"/>
    <w:rsid w:val="008D327A"/>
    <w:rsid w:val="008D4316"/>
    <w:rsid w:val="008D4B2C"/>
    <w:rsid w:val="008D52E9"/>
    <w:rsid w:val="008D701A"/>
    <w:rsid w:val="008D72D8"/>
    <w:rsid w:val="008D7E63"/>
    <w:rsid w:val="008E1761"/>
    <w:rsid w:val="008E3D6D"/>
    <w:rsid w:val="008E446E"/>
    <w:rsid w:val="008E49E3"/>
    <w:rsid w:val="008E54AC"/>
    <w:rsid w:val="008E77C8"/>
    <w:rsid w:val="008F026B"/>
    <w:rsid w:val="008F0603"/>
    <w:rsid w:val="008F07A5"/>
    <w:rsid w:val="008F2674"/>
    <w:rsid w:val="008F317E"/>
    <w:rsid w:val="008F3E3E"/>
    <w:rsid w:val="008F4108"/>
    <w:rsid w:val="008F54D9"/>
    <w:rsid w:val="0090154F"/>
    <w:rsid w:val="00911489"/>
    <w:rsid w:val="00912902"/>
    <w:rsid w:val="00914064"/>
    <w:rsid w:val="00914AE3"/>
    <w:rsid w:val="009158DF"/>
    <w:rsid w:val="0091665F"/>
    <w:rsid w:val="0091726C"/>
    <w:rsid w:val="00921D6A"/>
    <w:rsid w:val="009226E8"/>
    <w:rsid w:val="009273BE"/>
    <w:rsid w:val="00930BD5"/>
    <w:rsid w:val="00931828"/>
    <w:rsid w:val="00936045"/>
    <w:rsid w:val="00940B2F"/>
    <w:rsid w:val="0094355D"/>
    <w:rsid w:val="00945B1F"/>
    <w:rsid w:val="00947688"/>
    <w:rsid w:val="009520A2"/>
    <w:rsid w:val="00952C63"/>
    <w:rsid w:val="00953B06"/>
    <w:rsid w:val="0095449F"/>
    <w:rsid w:val="009544B5"/>
    <w:rsid w:val="009559C9"/>
    <w:rsid w:val="00961400"/>
    <w:rsid w:val="00963FFC"/>
    <w:rsid w:val="00964B7E"/>
    <w:rsid w:val="00965CBE"/>
    <w:rsid w:val="00966C38"/>
    <w:rsid w:val="00970E16"/>
    <w:rsid w:val="00971430"/>
    <w:rsid w:val="00972E7A"/>
    <w:rsid w:val="009735DF"/>
    <w:rsid w:val="00974447"/>
    <w:rsid w:val="0097463D"/>
    <w:rsid w:val="00975701"/>
    <w:rsid w:val="00980843"/>
    <w:rsid w:val="009858C9"/>
    <w:rsid w:val="00990D81"/>
    <w:rsid w:val="00991EAA"/>
    <w:rsid w:val="0099268D"/>
    <w:rsid w:val="009926CF"/>
    <w:rsid w:val="009932CF"/>
    <w:rsid w:val="009953CF"/>
    <w:rsid w:val="00995D9F"/>
    <w:rsid w:val="00996ADA"/>
    <w:rsid w:val="009A04E2"/>
    <w:rsid w:val="009A20C3"/>
    <w:rsid w:val="009A45B5"/>
    <w:rsid w:val="009A45D8"/>
    <w:rsid w:val="009A6E6F"/>
    <w:rsid w:val="009A76BF"/>
    <w:rsid w:val="009A7E8D"/>
    <w:rsid w:val="009B0784"/>
    <w:rsid w:val="009B1A7B"/>
    <w:rsid w:val="009B3C68"/>
    <w:rsid w:val="009B4432"/>
    <w:rsid w:val="009B6CFD"/>
    <w:rsid w:val="009B735A"/>
    <w:rsid w:val="009B7546"/>
    <w:rsid w:val="009C3312"/>
    <w:rsid w:val="009C4C97"/>
    <w:rsid w:val="009C7F20"/>
    <w:rsid w:val="009D11E9"/>
    <w:rsid w:val="009D46C4"/>
    <w:rsid w:val="009D532C"/>
    <w:rsid w:val="009E02FF"/>
    <w:rsid w:val="009E2701"/>
    <w:rsid w:val="009E609E"/>
    <w:rsid w:val="009E6A6E"/>
    <w:rsid w:val="009E7809"/>
    <w:rsid w:val="009F4626"/>
    <w:rsid w:val="00A0004C"/>
    <w:rsid w:val="00A0197E"/>
    <w:rsid w:val="00A01A1D"/>
    <w:rsid w:val="00A03B46"/>
    <w:rsid w:val="00A03C0F"/>
    <w:rsid w:val="00A04B3C"/>
    <w:rsid w:val="00A0693E"/>
    <w:rsid w:val="00A07972"/>
    <w:rsid w:val="00A07CEE"/>
    <w:rsid w:val="00A10F89"/>
    <w:rsid w:val="00A13A52"/>
    <w:rsid w:val="00A22D0C"/>
    <w:rsid w:val="00A266A7"/>
    <w:rsid w:val="00A307EA"/>
    <w:rsid w:val="00A317CD"/>
    <w:rsid w:val="00A3256F"/>
    <w:rsid w:val="00A32690"/>
    <w:rsid w:val="00A33149"/>
    <w:rsid w:val="00A3405F"/>
    <w:rsid w:val="00A35DCA"/>
    <w:rsid w:val="00A42EF7"/>
    <w:rsid w:val="00A45007"/>
    <w:rsid w:val="00A45AF4"/>
    <w:rsid w:val="00A47024"/>
    <w:rsid w:val="00A50E02"/>
    <w:rsid w:val="00A51309"/>
    <w:rsid w:val="00A647F8"/>
    <w:rsid w:val="00A6666B"/>
    <w:rsid w:val="00A67094"/>
    <w:rsid w:val="00A70ED6"/>
    <w:rsid w:val="00A72E93"/>
    <w:rsid w:val="00A73F10"/>
    <w:rsid w:val="00A7596D"/>
    <w:rsid w:val="00A77840"/>
    <w:rsid w:val="00A828A9"/>
    <w:rsid w:val="00A8334E"/>
    <w:rsid w:val="00A83A52"/>
    <w:rsid w:val="00A84D6B"/>
    <w:rsid w:val="00A865EC"/>
    <w:rsid w:val="00A87D0C"/>
    <w:rsid w:val="00A87D23"/>
    <w:rsid w:val="00A90F8A"/>
    <w:rsid w:val="00A95585"/>
    <w:rsid w:val="00A97CC3"/>
    <w:rsid w:val="00AA19D1"/>
    <w:rsid w:val="00AA200D"/>
    <w:rsid w:val="00AA4E50"/>
    <w:rsid w:val="00AA5099"/>
    <w:rsid w:val="00AA5236"/>
    <w:rsid w:val="00AA5280"/>
    <w:rsid w:val="00AA792E"/>
    <w:rsid w:val="00AB02C5"/>
    <w:rsid w:val="00AB3231"/>
    <w:rsid w:val="00AB35DA"/>
    <w:rsid w:val="00AB3E93"/>
    <w:rsid w:val="00AB3F6F"/>
    <w:rsid w:val="00AB66AF"/>
    <w:rsid w:val="00AC010A"/>
    <w:rsid w:val="00AC45E6"/>
    <w:rsid w:val="00AC4D96"/>
    <w:rsid w:val="00AC7E4A"/>
    <w:rsid w:val="00AD311C"/>
    <w:rsid w:val="00AD6096"/>
    <w:rsid w:val="00AD79BF"/>
    <w:rsid w:val="00AD7EE8"/>
    <w:rsid w:val="00AE0542"/>
    <w:rsid w:val="00AE1FE5"/>
    <w:rsid w:val="00AE272A"/>
    <w:rsid w:val="00AE443B"/>
    <w:rsid w:val="00AE548E"/>
    <w:rsid w:val="00AF1927"/>
    <w:rsid w:val="00AF465D"/>
    <w:rsid w:val="00AF6145"/>
    <w:rsid w:val="00B03CA8"/>
    <w:rsid w:val="00B0780B"/>
    <w:rsid w:val="00B107AA"/>
    <w:rsid w:val="00B137E9"/>
    <w:rsid w:val="00B13C65"/>
    <w:rsid w:val="00B14771"/>
    <w:rsid w:val="00B170D8"/>
    <w:rsid w:val="00B2058D"/>
    <w:rsid w:val="00B20A82"/>
    <w:rsid w:val="00B227AD"/>
    <w:rsid w:val="00B27BC8"/>
    <w:rsid w:val="00B32009"/>
    <w:rsid w:val="00B33D4E"/>
    <w:rsid w:val="00B3772D"/>
    <w:rsid w:val="00B37B21"/>
    <w:rsid w:val="00B4214A"/>
    <w:rsid w:val="00B4479B"/>
    <w:rsid w:val="00B44B79"/>
    <w:rsid w:val="00B45E80"/>
    <w:rsid w:val="00B46CA3"/>
    <w:rsid w:val="00B50D8A"/>
    <w:rsid w:val="00B52B94"/>
    <w:rsid w:val="00B53787"/>
    <w:rsid w:val="00B55816"/>
    <w:rsid w:val="00B57D6E"/>
    <w:rsid w:val="00B604BB"/>
    <w:rsid w:val="00B6129F"/>
    <w:rsid w:val="00B62689"/>
    <w:rsid w:val="00B63B7F"/>
    <w:rsid w:val="00B646ED"/>
    <w:rsid w:val="00B67208"/>
    <w:rsid w:val="00B67BD5"/>
    <w:rsid w:val="00B710AF"/>
    <w:rsid w:val="00B719E7"/>
    <w:rsid w:val="00B72E9D"/>
    <w:rsid w:val="00B73035"/>
    <w:rsid w:val="00B732D6"/>
    <w:rsid w:val="00B7441D"/>
    <w:rsid w:val="00B76BD0"/>
    <w:rsid w:val="00B77180"/>
    <w:rsid w:val="00B7761C"/>
    <w:rsid w:val="00B80CF1"/>
    <w:rsid w:val="00B84645"/>
    <w:rsid w:val="00B84C5F"/>
    <w:rsid w:val="00B865DC"/>
    <w:rsid w:val="00B86D85"/>
    <w:rsid w:val="00B87391"/>
    <w:rsid w:val="00B92985"/>
    <w:rsid w:val="00B952DE"/>
    <w:rsid w:val="00B9552E"/>
    <w:rsid w:val="00B9590C"/>
    <w:rsid w:val="00B95F27"/>
    <w:rsid w:val="00B97846"/>
    <w:rsid w:val="00BA0035"/>
    <w:rsid w:val="00BA1F70"/>
    <w:rsid w:val="00BA3946"/>
    <w:rsid w:val="00BA3AA7"/>
    <w:rsid w:val="00BA3E1A"/>
    <w:rsid w:val="00BA65A2"/>
    <w:rsid w:val="00BB10E8"/>
    <w:rsid w:val="00BB2E4D"/>
    <w:rsid w:val="00BB4C1B"/>
    <w:rsid w:val="00BB5D95"/>
    <w:rsid w:val="00BC0021"/>
    <w:rsid w:val="00BC1606"/>
    <w:rsid w:val="00BC35D1"/>
    <w:rsid w:val="00BC5753"/>
    <w:rsid w:val="00BD188B"/>
    <w:rsid w:val="00BD3446"/>
    <w:rsid w:val="00BD3B0D"/>
    <w:rsid w:val="00BD4273"/>
    <w:rsid w:val="00BD4358"/>
    <w:rsid w:val="00BE11DF"/>
    <w:rsid w:val="00BE2675"/>
    <w:rsid w:val="00BE339E"/>
    <w:rsid w:val="00BE4EB7"/>
    <w:rsid w:val="00C0201E"/>
    <w:rsid w:val="00C02B02"/>
    <w:rsid w:val="00C043A0"/>
    <w:rsid w:val="00C054F0"/>
    <w:rsid w:val="00C05593"/>
    <w:rsid w:val="00C0607A"/>
    <w:rsid w:val="00C06AFD"/>
    <w:rsid w:val="00C07D3E"/>
    <w:rsid w:val="00C11272"/>
    <w:rsid w:val="00C120AB"/>
    <w:rsid w:val="00C14A74"/>
    <w:rsid w:val="00C15B40"/>
    <w:rsid w:val="00C216FE"/>
    <w:rsid w:val="00C232ED"/>
    <w:rsid w:val="00C25970"/>
    <w:rsid w:val="00C26008"/>
    <w:rsid w:val="00C27138"/>
    <w:rsid w:val="00C32E20"/>
    <w:rsid w:val="00C34A69"/>
    <w:rsid w:val="00C34B71"/>
    <w:rsid w:val="00C34B97"/>
    <w:rsid w:val="00C36442"/>
    <w:rsid w:val="00C366A5"/>
    <w:rsid w:val="00C40992"/>
    <w:rsid w:val="00C41444"/>
    <w:rsid w:val="00C45B20"/>
    <w:rsid w:val="00C466C4"/>
    <w:rsid w:val="00C4768B"/>
    <w:rsid w:val="00C504AD"/>
    <w:rsid w:val="00C5115E"/>
    <w:rsid w:val="00C6028A"/>
    <w:rsid w:val="00C61965"/>
    <w:rsid w:val="00C64F2F"/>
    <w:rsid w:val="00C6745A"/>
    <w:rsid w:val="00C70486"/>
    <w:rsid w:val="00C7407C"/>
    <w:rsid w:val="00C74256"/>
    <w:rsid w:val="00C83909"/>
    <w:rsid w:val="00C83F6B"/>
    <w:rsid w:val="00C848E8"/>
    <w:rsid w:val="00C85C50"/>
    <w:rsid w:val="00C917F8"/>
    <w:rsid w:val="00C92D50"/>
    <w:rsid w:val="00C95EEC"/>
    <w:rsid w:val="00C96B8A"/>
    <w:rsid w:val="00CA0D20"/>
    <w:rsid w:val="00CA1075"/>
    <w:rsid w:val="00CA1C8D"/>
    <w:rsid w:val="00CA3406"/>
    <w:rsid w:val="00CA4A44"/>
    <w:rsid w:val="00CA5613"/>
    <w:rsid w:val="00CA6DC6"/>
    <w:rsid w:val="00CA6FFE"/>
    <w:rsid w:val="00CB1A07"/>
    <w:rsid w:val="00CB2094"/>
    <w:rsid w:val="00CB47F8"/>
    <w:rsid w:val="00CB5143"/>
    <w:rsid w:val="00CB5F07"/>
    <w:rsid w:val="00CB5F27"/>
    <w:rsid w:val="00CB6652"/>
    <w:rsid w:val="00CB692D"/>
    <w:rsid w:val="00CB7816"/>
    <w:rsid w:val="00CC14EF"/>
    <w:rsid w:val="00CC272E"/>
    <w:rsid w:val="00CC283C"/>
    <w:rsid w:val="00CC2CC7"/>
    <w:rsid w:val="00CD0F9A"/>
    <w:rsid w:val="00CD335C"/>
    <w:rsid w:val="00CD6995"/>
    <w:rsid w:val="00CD765C"/>
    <w:rsid w:val="00CE0270"/>
    <w:rsid w:val="00CE06A3"/>
    <w:rsid w:val="00CE5278"/>
    <w:rsid w:val="00CF14AE"/>
    <w:rsid w:val="00CF257B"/>
    <w:rsid w:val="00CF4C55"/>
    <w:rsid w:val="00CF5FED"/>
    <w:rsid w:val="00CF6F1D"/>
    <w:rsid w:val="00CF6FA0"/>
    <w:rsid w:val="00D00A41"/>
    <w:rsid w:val="00D00AA1"/>
    <w:rsid w:val="00D01025"/>
    <w:rsid w:val="00D11E54"/>
    <w:rsid w:val="00D13160"/>
    <w:rsid w:val="00D14438"/>
    <w:rsid w:val="00D16BF3"/>
    <w:rsid w:val="00D202EB"/>
    <w:rsid w:val="00D20C9C"/>
    <w:rsid w:val="00D20FCD"/>
    <w:rsid w:val="00D2180C"/>
    <w:rsid w:val="00D231E7"/>
    <w:rsid w:val="00D24840"/>
    <w:rsid w:val="00D25030"/>
    <w:rsid w:val="00D310F2"/>
    <w:rsid w:val="00D31534"/>
    <w:rsid w:val="00D31A7E"/>
    <w:rsid w:val="00D34AD6"/>
    <w:rsid w:val="00D351A3"/>
    <w:rsid w:val="00D355BE"/>
    <w:rsid w:val="00D35B12"/>
    <w:rsid w:val="00D3798A"/>
    <w:rsid w:val="00D42123"/>
    <w:rsid w:val="00D477D1"/>
    <w:rsid w:val="00D504FA"/>
    <w:rsid w:val="00D50CCF"/>
    <w:rsid w:val="00D51DA2"/>
    <w:rsid w:val="00D5275B"/>
    <w:rsid w:val="00D5662F"/>
    <w:rsid w:val="00D6095D"/>
    <w:rsid w:val="00D61273"/>
    <w:rsid w:val="00D618AF"/>
    <w:rsid w:val="00D63103"/>
    <w:rsid w:val="00D63F65"/>
    <w:rsid w:val="00D642A0"/>
    <w:rsid w:val="00D65116"/>
    <w:rsid w:val="00D67336"/>
    <w:rsid w:val="00D67D29"/>
    <w:rsid w:val="00D70389"/>
    <w:rsid w:val="00D71417"/>
    <w:rsid w:val="00D71CC8"/>
    <w:rsid w:val="00D72D83"/>
    <w:rsid w:val="00D75BDC"/>
    <w:rsid w:val="00D77F7E"/>
    <w:rsid w:val="00D8013F"/>
    <w:rsid w:val="00D8533F"/>
    <w:rsid w:val="00D87766"/>
    <w:rsid w:val="00D901E8"/>
    <w:rsid w:val="00D90AE4"/>
    <w:rsid w:val="00D914C5"/>
    <w:rsid w:val="00D9430D"/>
    <w:rsid w:val="00D95D34"/>
    <w:rsid w:val="00DA3724"/>
    <w:rsid w:val="00DA4514"/>
    <w:rsid w:val="00DA4AA8"/>
    <w:rsid w:val="00DA6F19"/>
    <w:rsid w:val="00DB404B"/>
    <w:rsid w:val="00DB5E83"/>
    <w:rsid w:val="00DB6740"/>
    <w:rsid w:val="00DC4AA3"/>
    <w:rsid w:val="00DC692C"/>
    <w:rsid w:val="00DD0608"/>
    <w:rsid w:val="00DD108B"/>
    <w:rsid w:val="00DD134F"/>
    <w:rsid w:val="00DD1DA5"/>
    <w:rsid w:val="00DD256D"/>
    <w:rsid w:val="00DD25F4"/>
    <w:rsid w:val="00DD3463"/>
    <w:rsid w:val="00DD51C7"/>
    <w:rsid w:val="00DD594C"/>
    <w:rsid w:val="00DE348A"/>
    <w:rsid w:val="00DE4D67"/>
    <w:rsid w:val="00DE5D9B"/>
    <w:rsid w:val="00DE6771"/>
    <w:rsid w:val="00DF0F4C"/>
    <w:rsid w:val="00DF3574"/>
    <w:rsid w:val="00DF3BCD"/>
    <w:rsid w:val="00DF4381"/>
    <w:rsid w:val="00DF6619"/>
    <w:rsid w:val="00DF66B4"/>
    <w:rsid w:val="00DF6DE6"/>
    <w:rsid w:val="00E051C7"/>
    <w:rsid w:val="00E1334A"/>
    <w:rsid w:val="00E148E3"/>
    <w:rsid w:val="00E169E1"/>
    <w:rsid w:val="00E20815"/>
    <w:rsid w:val="00E213A3"/>
    <w:rsid w:val="00E21FC5"/>
    <w:rsid w:val="00E235B8"/>
    <w:rsid w:val="00E236C6"/>
    <w:rsid w:val="00E26057"/>
    <w:rsid w:val="00E31063"/>
    <w:rsid w:val="00E315FC"/>
    <w:rsid w:val="00E33BFE"/>
    <w:rsid w:val="00E3610B"/>
    <w:rsid w:val="00E36195"/>
    <w:rsid w:val="00E36AA9"/>
    <w:rsid w:val="00E37AC5"/>
    <w:rsid w:val="00E41A2A"/>
    <w:rsid w:val="00E4206D"/>
    <w:rsid w:val="00E42431"/>
    <w:rsid w:val="00E43EB1"/>
    <w:rsid w:val="00E516A6"/>
    <w:rsid w:val="00E55BE8"/>
    <w:rsid w:val="00E56BFC"/>
    <w:rsid w:val="00E60CFD"/>
    <w:rsid w:val="00E60FAA"/>
    <w:rsid w:val="00E6294C"/>
    <w:rsid w:val="00E637AD"/>
    <w:rsid w:val="00E7283B"/>
    <w:rsid w:val="00E73FF1"/>
    <w:rsid w:val="00E7680D"/>
    <w:rsid w:val="00E7774D"/>
    <w:rsid w:val="00E77CD3"/>
    <w:rsid w:val="00E80873"/>
    <w:rsid w:val="00E817F6"/>
    <w:rsid w:val="00E82F15"/>
    <w:rsid w:val="00E83701"/>
    <w:rsid w:val="00E84868"/>
    <w:rsid w:val="00E85644"/>
    <w:rsid w:val="00E90021"/>
    <w:rsid w:val="00E9045A"/>
    <w:rsid w:val="00E915F2"/>
    <w:rsid w:val="00E91C3D"/>
    <w:rsid w:val="00E941FD"/>
    <w:rsid w:val="00E964A5"/>
    <w:rsid w:val="00E96722"/>
    <w:rsid w:val="00EA3B7A"/>
    <w:rsid w:val="00EA615C"/>
    <w:rsid w:val="00EA6928"/>
    <w:rsid w:val="00EB3635"/>
    <w:rsid w:val="00EB374C"/>
    <w:rsid w:val="00EB39CD"/>
    <w:rsid w:val="00EB3CDD"/>
    <w:rsid w:val="00EC0A7D"/>
    <w:rsid w:val="00EC1498"/>
    <w:rsid w:val="00EC1BF6"/>
    <w:rsid w:val="00EC2112"/>
    <w:rsid w:val="00EC4156"/>
    <w:rsid w:val="00EC72A1"/>
    <w:rsid w:val="00ED10A5"/>
    <w:rsid w:val="00ED1D7F"/>
    <w:rsid w:val="00ED333A"/>
    <w:rsid w:val="00ED3C9E"/>
    <w:rsid w:val="00ED44D5"/>
    <w:rsid w:val="00ED76BF"/>
    <w:rsid w:val="00EE0C67"/>
    <w:rsid w:val="00EE5CCD"/>
    <w:rsid w:val="00EE7A08"/>
    <w:rsid w:val="00EF3E73"/>
    <w:rsid w:val="00EF685F"/>
    <w:rsid w:val="00EF7433"/>
    <w:rsid w:val="00EF7D8F"/>
    <w:rsid w:val="00F00BD4"/>
    <w:rsid w:val="00F0103D"/>
    <w:rsid w:val="00F021FD"/>
    <w:rsid w:val="00F06165"/>
    <w:rsid w:val="00F0789D"/>
    <w:rsid w:val="00F11524"/>
    <w:rsid w:val="00F116DC"/>
    <w:rsid w:val="00F147B6"/>
    <w:rsid w:val="00F14EF2"/>
    <w:rsid w:val="00F15BC6"/>
    <w:rsid w:val="00F16894"/>
    <w:rsid w:val="00F1738A"/>
    <w:rsid w:val="00F204CD"/>
    <w:rsid w:val="00F23E3C"/>
    <w:rsid w:val="00F3054C"/>
    <w:rsid w:val="00F30869"/>
    <w:rsid w:val="00F32EBF"/>
    <w:rsid w:val="00F357CD"/>
    <w:rsid w:val="00F359F3"/>
    <w:rsid w:val="00F36B0B"/>
    <w:rsid w:val="00F37699"/>
    <w:rsid w:val="00F4033F"/>
    <w:rsid w:val="00F41505"/>
    <w:rsid w:val="00F44470"/>
    <w:rsid w:val="00F44B95"/>
    <w:rsid w:val="00F44FAD"/>
    <w:rsid w:val="00F46255"/>
    <w:rsid w:val="00F47642"/>
    <w:rsid w:val="00F52C65"/>
    <w:rsid w:val="00F5385C"/>
    <w:rsid w:val="00F57900"/>
    <w:rsid w:val="00F63D84"/>
    <w:rsid w:val="00F65FC0"/>
    <w:rsid w:val="00F660C5"/>
    <w:rsid w:val="00F66B58"/>
    <w:rsid w:val="00F66CC3"/>
    <w:rsid w:val="00F677B5"/>
    <w:rsid w:val="00F705A2"/>
    <w:rsid w:val="00F72AA9"/>
    <w:rsid w:val="00F75029"/>
    <w:rsid w:val="00F76C6F"/>
    <w:rsid w:val="00F77D45"/>
    <w:rsid w:val="00F82385"/>
    <w:rsid w:val="00F82B55"/>
    <w:rsid w:val="00F8395B"/>
    <w:rsid w:val="00F840DE"/>
    <w:rsid w:val="00F86AA7"/>
    <w:rsid w:val="00F873A9"/>
    <w:rsid w:val="00F87D4F"/>
    <w:rsid w:val="00F9555A"/>
    <w:rsid w:val="00F95BA9"/>
    <w:rsid w:val="00FA00E4"/>
    <w:rsid w:val="00FA1189"/>
    <w:rsid w:val="00FA18A3"/>
    <w:rsid w:val="00FA3EAD"/>
    <w:rsid w:val="00FA5FA3"/>
    <w:rsid w:val="00FA63B0"/>
    <w:rsid w:val="00FA690E"/>
    <w:rsid w:val="00FA7CFF"/>
    <w:rsid w:val="00FB0836"/>
    <w:rsid w:val="00FB3991"/>
    <w:rsid w:val="00FB4003"/>
    <w:rsid w:val="00FB4D3F"/>
    <w:rsid w:val="00FC11AD"/>
    <w:rsid w:val="00FC127F"/>
    <w:rsid w:val="00FC22C4"/>
    <w:rsid w:val="00FC366E"/>
    <w:rsid w:val="00FC401B"/>
    <w:rsid w:val="00FC6FC9"/>
    <w:rsid w:val="00FD1B60"/>
    <w:rsid w:val="00FD3EDF"/>
    <w:rsid w:val="00FD608C"/>
    <w:rsid w:val="00FD6F4B"/>
    <w:rsid w:val="00FD74AD"/>
    <w:rsid w:val="00FE1AB3"/>
    <w:rsid w:val="00FE4988"/>
    <w:rsid w:val="00FE4D0D"/>
    <w:rsid w:val="00FE532A"/>
    <w:rsid w:val="00FE5C99"/>
    <w:rsid w:val="00FE5D8A"/>
    <w:rsid w:val="00FE705B"/>
    <w:rsid w:val="00FF54E3"/>
    <w:rsid w:val="0100349D"/>
    <w:rsid w:val="01026AA9"/>
    <w:rsid w:val="01281547"/>
    <w:rsid w:val="01442788"/>
    <w:rsid w:val="015030E2"/>
    <w:rsid w:val="01A06369"/>
    <w:rsid w:val="01B10B44"/>
    <w:rsid w:val="02076551"/>
    <w:rsid w:val="021218AE"/>
    <w:rsid w:val="021F3440"/>
    <w:rsid w:val="02374CEF"/>
    <w:rsid w:val="02421DA9"/>
    <w:rsid w:val="02541D06"/>
    <w:rsid w:val="025E6C02"/>
    <w:rsid w:val="02A6537F"/>
    <w:rsid w:val="02CF460A"/>
    <w:rsid w:val="032D20EE"/>
    <w:rsid w:val="032E5BA4"/>
    <w:rsid w:val="03387034"/>
    <w:rsid w:val="03571136"/>
    <w:rsid w:val="035946C9"/>
    <w:rsid w:val="036319AF"/>
    <w:rsid w:val="03DD6077"/>
    <w:rsid w:val="03EF580B"/>
    <w:rsid w:val="040C3D1A"/>
    <w:rsid w:val="04111850"/>
    <w:rsid w:val="04131236"/>
    <w:rsid w:val="042D037C"/>
    <w:rsid w:val="045B2871"/>
    <w:rsid w:val="04836870"/>
    <w:rsid w:val="04A377E7"/>
    <w:rsid w:val="04B0024C"/>
    <w:rsid w:val="04B83D62"/>
    <w:rsid w:val="04D95766"/>
    <w:rsid w:val="04F01936"/>
    <w:rsid w:val="05346F23"/>
    <w:rsid w:val="055A2B7F"/>
    <w:rsid w:val="058132E0"/>
    <w:rsid w:val="05C26C81"/>
    <w:rsid w:val="05EC4568"/>
    <w:rsid w:val="05FD356C"/>
    <w:rsid w:val="06170392"/>
    <w:rsid w:val="066B7C4E"/>
    <w:rsid w:val="06933000"/>
    <w:rsid w:val="069F47B7"/>
    <w:rsid w:val="06AD5F8F"/>
    <w:rsid w:val="06C36114"/>
    <w:rsid w:val="06D70262"/>
    <w:rsid w:val="076F1EFB"/>
    <w:rsid w:val="078908EB"/>
    <w:rsid w:val="07946A74"/>
    <w:rsid w:val="079E0173"/>
    <w:rsid w:val="079E14B4"/>
    <w:rsid w:val="07E96361"/>
    <w:rsid w:val="07F5525C"/>
    <w:rsid w:val="0847031B"/>
    <w:rsid w:val="084D1C32"/>
    <w:rsid w:val="085D6457"/>
    <w:rsid w:val="08684C52"/>
    <w:rsid w:val="086948DA"/>
    <w:rsid w:val="08B255E6"/>
    <w:rsid w:val="08E77D27"/>
    <w:rsid w:val="08F716AB"/>
    <w:rsid w:val="094E7344"/>
    <w:rsid w:val="097C4EE0"/>
    <w:rsid w:val="0985737B"/>
    <w:rsid w:val="09DA2551"/>
    <w:rsid w:val="09DF7C5D"/>
    <w:rsid w:val="09E461A4"/>
    <w:rsid w:val="0AAC0C56"/>
    <w:rsid w:val="0ABB6A38"/>
    <w:rsid w:val="0AC819DC"/>
    <w:rsid w:val="0AD04A57"/>
    <w:rsid w:val="0ADB6C88"/>
    <w:rsid w:val="0B3370D8"/>
    <w:rsid w:val="0B520E93"/>
    <w:rsid w:val="0B6E5B69"/>
    <w:rsid w:val="0B904E22"/>
    <w:rsid w:val="0B9233A5"/>
    <w:rsid w:val="0B9457BF"/>
    <w:rsid w:val="0BA97CEF"/>
    <w:rsid w:val="0BD506F7"/>
    <w:rsid w:val="0C0B3EAB"/>
    <w:rsid w:val="0C351AE7"/>
    <w:rsid w:val="0C3960F9"/>
    <w:rsid w:val="0C490A7F"/>
    <w:rsid w:val="0C5A704A"/>
    <w:rsid w:val="0C6A748E"/>
    <w:rsid w:val="0C6D2BAA"/>
    <w:rsid w:val="0C7B3FA2"/>
    <w:rsid w:val="0C7B61CD"/>
    <w:rsid w:val="0C952D54"/>
    <w:rsid w:val="0CE43330"/>
    <w:rsid w:val="0D1F663C"/>
    <w:rsid w:val="0D622603"/>
    <w:rsid w:val="0D6D3A3D"/>
    <w:rsid w:val="0DA51190"/>
    <w:rsid w:val="0DDD0792"/>
    <w:rsid w:val="0E2B33C6"/>
    <w:rsid w:val="0E652B37"/>
    <w:rsid w:val="0E7458C0"/>
    <w:rsid w:val="0E8E7789"/>
    <w:rsid w:val="0E9668C6"/>
    <w:rsid w:val="0EEB3AC5"/>
    <w:rsid w:val="0F353B46"/>
    <w:rsid w:val="0F3C202A"/>
    <w:rsid w:val="0F531ED5"/>
    <w:rsid w:val="0F847867"/>
    <w:rsid w:val="0F861624"/>
    <w:rsid w:val="0F8A1F08"/>
    <w:rsid w:val="0FA77C54"/>
    <w:rsid w:val="0FC26971"/>
    <w:rsid w:val="0FCA4B83"/>
    <w:rsid w:val="0FD81010"/>
    <w:rsid w:val="10832A6E"/>
    <w:rsid w:val="11095C57"/>
    <w:rsid w:val="11183D85"/>
    <w:rsid w:val="111C4D6A"/>
    <w:rsid w:val="112C7130"/>
    <w:rsid w:val="11951DC9"/>
    <w:rsid w:val="11A53851"/>
    <w:rsid w:val="11DC2EFB"/>
    <w:rsid w:val="11ED6DF9"/>
    <w:rsid w:val="12076D92"/>
    <w:rsid w:val="121153EA"/>
    <w:rsid w:val="1236311B"/>
    <w:rsid w:val="1249325B"/>
    <w:rsid w:val="125B7C9A"/>
    <w:rsid w:val="12C35962"/>
    <w:rsid w:val="12DE398A"/>
    <w:rsid w:val="13044885"/>
    <w:rsid w:val="13454B5D"/>
    <w:rsid w:val="13AA0ED5"/>
    <w:rsid w:val="13C1756D"/>
    <w:rsid w:val="13C768D7"/>
    <w:rsid w:val="13E5146B"/>
    <w:rsid w:val="140A6170"/>
    <w:rsid w:val="141035AF"/>
    <w:rsid w:val="14477EA4"/>
    <w:rsid w:val="145E0165"/>
    <w:rsid w:val="147C7CEE"/>
    <w:rsid w:val="14821748"/>
    <w:rsid w:val="148821A9"/>
    <w:rsid w:val="14AE1A6B"/>
    <w:rsid w:val="14E05240"/>
    <w:rsid w:val="14E1099F"/>
    <w:rsid w:val="14E7654A"/>
    <w:rsid w:val="14E81732"/>
    <w:rsid w:val="150B3BD5"/>
    <w:rsid w:val="150C5937"/>
    <w:rsid w:val="153E0BBF"/>
    <w:rsid w:val="155000A9"/>
    <w:rsid w:val="155351E2"/>
    <w:rsid w:val="156161A5"/>
    <w:rsid w:val="15763C8F"/>
    <w:rsid w:val="15AB2E58"/>
    <w:rsid w:val="15E94904"/>
    <w:rsid w:val="160104CC"/>
    <w:rsid w:val="16042642"/>
    <w:rsid w:val="162D0831"/>
    <w:rsid w:val="16AB487A"/>
    <w:rsid w:val="17071D62"/>
    <w:rsid w:val="171E7D1E"/>
    <w:rsid w:val="173A1EA1"/>
    <w:rsid w:val="17434479"/>
    <w:rsid w:val="175B42C4"/>
    <w:rsid w:val="178926C4"/>
    <w:rsid w:val="179537D3"/>
    <w:rsid w:val="17A24B47"/>
    <w:rsid w:val="17AC5787"/>
    <w:rsid w:val="180A1FEE"/>
    <w:rsid w:val="180F1C26"/>
    <w:rsid w:val="18227E44"/>
    <w:rsid w:val="183E02A8"/>
    <w:rsid w:val="185B694C"/>
    <w:rsid w:val="186678DA"/>
    <w:rsid w:val="188C7C13"/>
    <w:rsid w:val="18A7531B"/>
    <w:rsid w:val="18D16DD9"/>
    <w:rsid w:val="18DC11D3"/>
    <w:rsid w:val="18F02E77"/>
    <w:rsid w:val="190A35F2"/>
    <w:rsid w:val="19103157"/>
    <w:rsid w:val="1922238B"/>
    <w:rsid w:val="193455C2"/>
    <w:rsid w:val="19395ABD"/>
    <w:rsid w:val="193B667B"/>
    <w:rsid w:val="194352CF"/>
    <w:rsid w:val="19530EF1"/>
    <w:rsid w:val="19AE7D94"/>
    <w:rsid w:val="19ED36BF"/>
    <w:rsid w:val="19F76195"/>
    <w:rsid w:val="1A0809EE"/>
    <w:rsid w:val="1AA8122D"/>
    <w:rsid w:val="1ACA4DA9"/>
    <w:rsid w:val="1B251414"/>
    <w:rsid w:val="1B355CB7"/>
    <w:rsid w:val="1B381909"/>
    <w:rsid w:val="1B385102"/>
    <w:rsid w:val="1B431A76"/>
    <w:rsid w:val="1BA24968"/>
    <w:rsid w:val="1BDA56CA"/>
    <w:rsid w:val="1C063CFF"/>
    <w:rsid w:val="1C2330FF"/>
    <w:rsid w:val="1C321092"/>
    <w:rsid w:val="1CBF012D"/>
    <w:rsid w:val="1CD71761"/>
    <w:rsid w:val="1CFB0393"/>
    <w:rsid w:val="1D23602F"/>
    <w:rsid w:val="1D460CA9"/>
    <w:rsid w:val="1D4F1CB1"/>
    <w:rsid w:val="1D7D48CC"/>
    <w:rsid w:val="1D7E31A4"/>
    <w:rsid w:val="1D8069B8"/>
    <w:rsid w:val="1D92285A"/>
    <w:rsid w:val="1D99276E"/>
    <w:rsid w:val="1DC7483B"/>
    <w:rsid w:val="1DD9754B"/>
    <w:rsid w:val="1DEF6CBD"/>
    <w:rsid w:val="1DF864E1"/>
    <w:rsid w:val="1E083353"/>
    <w:rsid w:val="1E1627B8"/>
    <w:rsid w:val="1E24679C"/>
    <w:rsid w:val="1E316939"/>
    <w:rsid w:val="1E792F3B"/>
    <w:rsid w:val="1EC718EC"/>
    <w:rsid w:val="1ED002F1"/>
    <w:rsid w:val="1EE97702"/>
    <w:rsid w:val="1F131A50"/>
    <w:rsid w:val="1F187EB7"/>
    <w:rsid w:val="1F4D4223"/>
    <w:rsid w:val="1F5E1B40"/>
    <w:rsid w:val="1F646163"/>
    <w:rsid w:val="1F6972AC"/>
    <w:rsid w:val="1F6C7036"/>
    <w:rsid w:val="1F827507"/>
    <w:rsid w:val="201D52DA"/>
    <w:rsid w:val="205112D5"/>
    <w:rsid w:val="20543863"/>
    <w:rsid w:val="20797258"/>
    <w:rsid w:val="20833A03"/>
    <w:rsid w:val="209C4C87"/>
    <w:rsid w:val="20C17158"/>
    <w:rsid w:val="20F06DCD"/>
    <w:rsid w:val="21231D5E"/>
    <w:rsid w:val="213632D9"/>
    <w:rsid w:val="217F2A68"/>
    <w:rsid w:val="21A43B90"/>
    <w:rsid w:val="21AE66DD"/>
    <w:rsid w:val="21B42C62"/>
    <w:rsid w:val="21B67DDC"/>
    <w:rsid w:val="21BA6829"/>
    <w:rsid w:val="21C56D93"/>
    <w:rsid w:val="21C91838"/>
    <w:rsid w:val="21CA28FA"/>
    <w:rsid w:val="21EE708D"/>
    <w:rsid w:val="2204540F"/>
    <w:rsid w:val="221B363F"/>
    <w:rsid w:val="22225577"/>
    <w:rsid w:val="226F22E2"/>
    <w:rsid w:val="229445C4"/>
    <w:rsid w:val="229507BA"/>
    <w:rsid w:val="22A8447A"/>
    <w:rsid w:val="22D01E33"/>
    <w:rsid w:val="22D8001C"/>
    <w:rsid w:val="22ED2EA1"/>
    <w:rsid w:val="234A6DB1"/>
    <w:rsid w:val="236D267B"/>
    <w:rsid w:val="239069BC"/>
    <w:rsid w:val="239674E5"/>
    <w:rsid w:val="2398154B"/>
    <w:rsid w:val="23B44358"/>
    <w:rsid w:val="23DE388E"/>
    <w:rsid w:val="23E71FBE"/>
    <w:rsid w:val="23F27105"/>
    <w:rsid w:val="24132712"/>
    <w:rsid w:val="24175303"/>
    <w:rsid w:val="24256C07"/>
    <w:rsid w:val="242B5FF5"/>
    <w:rsid w:val="24600432"/>
    <w:rsid w:val="24AD3F58"/>
    <w:rsid w:val="24C31A65"/>
    <w:rsid w:val="24F3001F"/>
    <w:rsid w:val="24F55130"/>
    <w:rsid w:val="25533F8C"/>
    <w:rsid w:val="25B9535C"/>
    <w:rsid w:val="25BD2ED1"/>
    <w:rsid w:val="261E5AB3"/>
    <w:rsid w:val="26533E88"/>
    <w:rsid w:val="2671241E"/>
    <w:rsid w:val="269B1B20"/>
    <w:rsid w:val="26AA3024"/>
    <w:rsid w:val="26BB73B3"/>
    <w:rsid w:val="26C17546"/>
    <w:rsid w:val="26D355D1"/>
    <w:rsid w:val="26D8363F"/>
    <w:rsid w:val="26E878E8"/>
    <w:rsid w:val="278C16F7"/>
    <w:rsid w:val="279E0794"/>
    <w:rsid w:val="27CE2018"/>
    <w:rsid w:val="27DD22D8"/>
    <w:rsid w:val="2809453E"/>
    <w:rsid w:val="28845FA0"/>
    <w:rsid w:val="28BD0305"/>
    <w:rsid w:val="28EE104E"/>
    <w:rsid w:val="28EE192C"/>
    <w:rsid w:val="28F51CD1"/>
    <w:rsid w:val="28FC4F6F"/>
    <w:rsid w:val="29C83F64"/>
    <w:rsid w:val="29DC284C"/>
    <w:rsid w:val="2A3363B4"/>
    <w:rsid w:val="2A4A5002"/>
    <w:rsid w:val="2A7677F8"/>
    <w:rsid w:val="2A85537E"/>
    <w:rsid w:val="2AD87F69"/>
    <w:rsid w:val="2AF76886"/>
    <w:rsid w:val="2B1D31FF"/>
    <w:rsid w:val="2B26773D"/>
    <w:rsid w:val="2B2A216B"/>
    <w:rsid w:val="2B463E16"/>
    <w:rsid w:val="2B4C37C2"/>
    <w:rsid w:val="2B5A5871"/>
    <w:rsid w:val="2B6371A5"/>
    <w:rsid w:val="2B696601"/>
    <w:rsid w:val="2B6D4459"/>
    <w:rsid w:val="2B8D36A9"/>
    <w:rsid w:val="2B9A1B67"/>
    <w:rsid w:val="2BC84841"/>
    <w:rsid w:val="2BF40199"/>
    <w:rsid w:val="2C064050"/>
    <w:rsid w:val="2C662C90"/>
    <w:rsid w:val="2CA164DB"/>
    <w:rsid w:val="2CA6058B"/>
    <w:rsid w:val="2CEF6B20"/>
    <w:rsid w:val="2D16459B"/>
    <w:rsid w:val="2D313546"/>
    <w:rsid w:val="2D3A0E49"/>
    <w:rsid w:val="2D8C4E53"/>
    <w:rsid w:val="2DB23006"/>
    <w:rsid w:val="2DEC6D74"/>
    <w:rsid w:val="2DF72724"/>
    <w:rsid w:val="2E2C6DBD"/>
    <w:rsid w:val="2E93344D"/>
    <w:rsid w:val="2EC66AE2"/>
    <w:rsid w:val="2ED720A5"/>
    <w:rsid w:val="2EFB34E6"/>
    <w:rsid w:val="2EFB44D0"/>
    <w:rsid w:val="2F2F4FB2"/>
    <w:rsid w:val="2F603DF3"/>
    <w:rsid w:val="2F936FF4"/>
    <w:rsid w:val="302335C2"/>
    <w:rsid w:val="30394807"/>
    <w:rsid w:val="30461E2A"/>
    <w:rsid w:val="3046306C"/>
    <w:rsid w:val="309F44E1"/>
    <w:rsid w:val="30BA677F"/>
    <w:rsid w:val="30BD246E"/>
    <w:rsid w:val="30C51893"/>
    <w:rsid w:val="30F81A76"/>
    <w:rsid w:val="30FC1225"/>
    <w:rsid w:val="30FD6725"/>
    <w:rsid w:val="310602AC"/>
    <w:rsid w:val="31152C4E"/>
    <w:rsid w:val="311D59F3"/>
    <w:rsid w:val="3125102D"/>
    <w:rsid w:val="313204A9"/>
    <w:rsid w:val="316E5FD0"/>
    <w:rsid w:val="317771EE"/>
    <w:rsid w:val="319B5560"/>
    <w:rsid w:val="319E171F"/>
    <w:rsid w:val="31A75CBC"/>
    <w:rsid w:val="31D900F1"/>
    <w:rsid w:val="323E6768"/>
    <w:rsid w:val="32511B97"/>
    <w:rsid w:val="3253777D"/>
    <w:rsid w:val="326A1DEE"/>
    <w:rsid w:val="32814502"/>
    <w:rsid w:val="32FE1500"/>
    <w:rsid w:val="335233B8"/>
    <w:rsid w:val="337548F6"/>
    <w:rsid w:val="339128E7"/>
    <w:rsid w:val="33BC1C5A"/>
    <w:rsid w:val="33BC6DC4"/>
    <w:rsid w:val="33C52049"/>
    <w:rsid w:val="33C96BB3"/>
    <w:rsid w:val="33E24BDE"/>
    <w:rsid w:val="3469407F"/>
    <w:rsid w:val="347C251E"/>
    <w:rsid w:val="34C44DEF"/>
    <w:rsid w:val="34C750D7"/>
    <w:rsid w:val="34E24E7E"/>
    <w:rsid w:val="34EF14A5"/>
    <w:rsid w:val="34F71F87"/>
    <w:rsid w:val="34FF4979"/>
    <w:rsid w:val="350B6269"/>
    <w:rsid w:val="351F7596"/>
    <w:rsid w:val="353F0BE3"/>
    <w:rsid w:val="35413AFA"/>
    <w:rsid w:val="354B45B4"/>
    <w:rsid w:val="35526054"/>
    <w:rsid w:val="35A302B0"/>
    <w:rsid w:val="35A7457B"/>
    <w:rsid w:val="35BF2E00"/>
    <w:rsid w:val="36252AA2"/>
    <w:rsid w:val="362D4189"/>
    <w:rsid w:val="36300887"/>
    <w:rsid w:val="369A67E0"/>
    <w:rsid w:val="36BE29E2"/>
    <w:rsid w:val="36F9112D"/>
    <w:rsid w:val="37104521"/>
    <w:rsid w:val="374105F4"/>
    <w:rsid w:val="378B3859"/>
    <w:rsid w:val="378C62DE"/>
    <w:rsid w:val="37950D65"/>
    <w:rsid w:val="379D4F26"/>
    <w:rsid w:val="37B054EF"/>
    <w:rsid w:val="37C2438B"/>
    <w:rsid w:val="37F548ED"/>
    <w:rsid w:val="38705D8D"/>
    <w:rsid w:val="388D633C"/>
    <w:rsid w:val="38993497"/>
    <w:rsid w:val="39063DEC"/>
    <w:rsid w:val="392D5D6A"/>
    <w:rsid w:val="39702F08"/>
    <w:rsid w:val="39926656"/>
    <w:rsid w:val="39A62F1B"/>
    <w:rsid w:val="39AB7FE0"/>
    <w:rsid w:val="39BA6103"/>
    <w:rsid w:val="39C46AFF"/>
    <w:rsid w:val="39D616C8"/>
    <w:rsid w:val="3A2A10F2"/>
    <w:rsid w:val="3A6037CB"/>
    <w:rsid w:val="3A722D74"/>
    <w:rsid w:val="3AA966C4"/>
    <w:rsid w:val="3AD47587"/>
    <w:rsid w:val="3B3F7422"/>
    <w:rsid w:val="3B480737"/>
    <w:rsid w:val="3B4E306B"/>
    <w:rsid w:val="3BAF75B1"/>
    <w:rsid w:val="3BB17ED6"/>
    <w:rsid w:val="3BB436F3"/>
    <w:rsid w:val="3BC5473F"/>
    <w:rsid w:val="3BCA7744"/>
    <w:rsid w:val="3C484FF6"/>
    <w:rsid w:val="3C5F3BFD"/>
    <w:rsid w:val="3CAF27CB"/>
    <w:rsid w:val="3CCA69C8"/>
    <w:rsid w:val="3CEA2674"/>
    <w:rsid w:val="3D6C2F5C"/>
    <w:rsid w:val="3D99218F"/>
    <w:rsid w:val="3D9A354D"/>
    <w:rsid w:val="3DA06942"/>
    <w:rsid w:val="3DAF6710"/>
    <w:rsid w:val="3DEA33B7"/>
    <w:rsid w:val="3DF75F1A"/>
    <w:rsid w:val="3E2E7B25"/>
    <w:rsid w:val="3E491902"/>
    <w:rsid w:val="3E540F53"/>
    <w:rsid w:val="3E70417C"/>
    <w:rsid w:val="3E9A01C8"/>
    <w:rsid w:val="3F0035DA"/>
    <w:rsid w:val="3F434B31"/>
    <w:rsid w:val="3F4E0ACE"/>
    <w:rsid w:val="3F7124B9"/>
    <w:rsid w:val="3F8D2BF7"/>
    <w:rsid w:val="3F9D1BDA"/>
    <w:rsid w:val="3FA008A5"/>
    <w:rsid w:val="3FA87A44"/>
    <w:rsid w:val="3FCD399E"/>
    <w:rsid w:val="3FCE2495"/>
    <w:rsid w:val="3FDE2796"/>
    <w:rsid w:val="3FF61329"/>
    <w:rsid w:val="40037F91"/>
    <w:rsid w:val="409E26B3"/>
    <w:rsid w:val="40A15416"/>
    <w:rsid w:val="40B54B39"/>
    <w:rsid w:val="40DD3612"/>
    <w:rsid w:val="411E5419"/>
    <w:rsid w:val="412A3079"/>
    <w:rsid w:val="414B3F7C"/>
    <w:rsid w:val="41921D3D"/>
    <w:rsid w:val="41A463DE"/>
    <w:rsid w:val="42265510"/>
    <w:rsid w:val="42386EB1"/>
    <w:rsid w:val="423C1F5B"/>
    <w:rsid w:val="42CD4DA9"/>
    <w:rsid w:val="42D12EA5"/>
    <w:rsid w:val="43231BE1"/>
    <w:rsid w:val="43873C74"/>
    <w:rsid w:val="43891E4F"/>
    <w:rsid w:val="439A14E2"/>
    <w:rsid w:val="43B127D9"/>
    <w:rsid w:val="44466447"/>
    <w:rsid w:val="446B7211"/>
    <w:rsid w:val="44720B83"/>
    <w:rsid w:val="44795C28"/>
    <w:rsid w:val="449A2EEE"/>
    <w:rsid w:val="44D57F18"/>
    <w:rsid w:val="44DB2620"/>
    <w:rsid w:val="451043FA"/>
    <w:rsid w:val="4513765D"/>
    <w:rsid w:val="4529223A"/>
    <w:rsid w:val="4530329E"/>
    <w:rsid w:val="454D650C"/>
    <w:rsid w:val="4560396A"/>
    <w:rsid w:val="45886251"/>
    <w:rsid w:val="45917774"/>
    <w:rsid w:val="45A32A91"/>
    <w:rsid w:val="462B3BAB"/>
    <w:rsid w:val="467519B9"/>
    <w:rsid w:val="46776738"/>
    <w:rsid w:val="467A6848"/>
    <w:rsid w:val="468015E9"/>
    <w:rsid w:val="46836B7E"/>
    <w:rsid w:val="469A06A3"/>
    <w:rsid w:val="471C780B"/>
    <w:rsid w:val="4726487A"/>
    <w:rsid w:val="473024F7"/>
    <w:rsid w:val="475765C1"/>
    <w:rsid w:val="47811E94"/>
    <w:rsid w:val="47B65419"/>
    <w:rsid w:val="47D80E25"/>
    <w:rsid w:val="47E52A41"/>
    <w:rsid w:val="47F16216"/>
    <w:rsid w:val="481B0EEA"/>
    <w:rsid w:val="481F3C31"/>
    <w:rsid w:val="4829101A"/>
    <w:rsid w:val="486B0F38"/>
    <w:rsid w:val="48731E3F"/>
    <w:rsid w:val="48D050AF"/>
    <w:rsid w:val="49661CB2"/>
    <w:rsid w:val="49697F3B"/>
    <w:rsid w:val="496B06F7"/>
    <w:rsid w:val="499A795D"/>
    <w:rsid w:val="49E8718A"/>
    <w:rsid w:val="4A361631"/>
    <w:rsid w:val="4A3C12DC"/>
    <w:rsid w:val="4A7D041B"/>
    <w:rsid w:val="4A946855"/>
    <w:rsid w:val="4AAD669B"/>
    <w:rsid w:val="4AB06C00"/>
    <w:rsid w:val="4AD22F8A"/>
    <w:rsid w:val="4AD254D5"/>
    <w:rsid w:val="4AF663AF"/>
    <w:rsid w:val="4B45646C"/>
    <w:rsid w:val="4B4E1770"/>
    <w:rsid w:val="4B6D3F0D"/>
    <w:rsid w:val="4B6E0D7A"/>
    <w:rsid w:val="4B6E4601"/>
    <w:rsid w:val="4B8020BE"/>
    <w:rsid w:val="4B841439"/>
    <w:rsid w:val="4B8B417B"/>
    <w:rsid w:val="4BD3378A"/>
    <w:rsid w:val="4C144944"/>
    <w:rsid w:val="4C396828"/>
    <w:rsid w:val="4C6C486D"/>
    <w:rsid w:val="4CEB0CD6"/>
    <w:rsid w:val="4D360E53"/>
    <w:rsid w:val="4D5506A3"/>
    <w:rsid w:val="4D644CDC"/>
    <w:rsid w:val="4D6E6C22"/>
    <w:rsid w:val="4D774011"/>
    <w:rsid w:val="4DFD1235"/>
    <w:rsid w:val="4DFF7882"/>
    <w:rsid w:val="4E1F3C33"/>
    <w:rsid w:val="4E3343FD"/>
    <w:rsid w:val="4E387B11"/>
    <w:rsid w:val="4E412422"/>
    <w:rsid w:val="4E562F8E"/>
    <w:rsid w:val="4E793E6C"/>
    <w:rsid w:val="4E820AD9"/>
    <w:rsid w:val="4E9E51C8"/>
    <w:rsid w:val="4EA636E9"/>
    <w:rsid w:val="4EED3184"/>
    <w:rsid w:val="4F071C66"/>
    <w:rsid w:val="4F172774"/>
    <w:rsid w:val="4F7A3C58"/>
    <w:rsid w:val="4FAC2FC6"/>
    <w:rsid w:val="4FCC74F4"/>
    <w:rsid w:val="4FF84DAF"/>
    <w:rsid w:val="50027781"/>
    <w:rsid w:val="502B767C"/>
    <w:rsid w:val="50375424"/>
    <w:rsid w:val="5070458D"/>
    <w:rsid w:val="50A23BFE"/>
    <w:rsid w:val="50D3023E"/>
    <w:rsid w:val="50E67116"/>
    <w:rsid w:val="511A1A44"/>
    <w:rsid w:val="51BE6483"/>
    <w:rsid w:val="52047E6C"/>
    <w:rsid w:val="52223C9F"/>
    <w:rsid w:val="52301E18"/>
    <w:rsid w:val="526160BC"/>
    <w:rsid w:val="5279601F"/>
    <w:rsid w:val="52835539"/>
    <w:rsid w:val="52C14EA9"/>
    <w:rsid w:val="52CC135B"/>
    <w:rsid w:val="52D93331"/>
    <w:rsid w:val="53475882"/>
    <w:rsid w:val="53663ECB"/>
    <w:rsid w:val="53BA7627"/>
    <w:rsid w:val="53C00496"/>
    <w:rsid w:val="542B1DB5"/>
    <w:rsid w:val="542F40BF"/>
    <w:rsid w:val="54443F45"/>
    <w:rsid w:val="54646F3C"/>
    <w:rsid w:val="548C361E"/>
    <w:rsid w:val="54B67053"/>
    <w:rsid w:val="54B708D6"/>
    <w:rsid w:val="54D80EEA"/>
    <w:rsid w:val="550360DC"/>
    <w:rsid w:val="55280B65"/>
    <w:rsid w:val="55317A87"/>
    <w:rsid w:val="553E2D6F"/>
    <w:rsid w:val="554652C2"/>
    <w:rsid w:val="55A82D44"/>
    <w:rsid w:val="55BD1F8A"/>
    <w:rsid w:val="55F378D2"/>
    <w:rsid w:val="56032756"/>
    <w:rsid w:val="56204F32"/>
    <w:rsid w:val="562E5981"/>
    <w:rsid w:val="562F0B05"/>
    <w:rsid w:val="566A6F81"/>
    <w:rsid w:val="569D5E2C"/>
    <w:rsid w:val="56B558A3"/>
    <w:rsid w:val="56E320BE"/>
    <w:rsid w:val="574829D0"/>
    <w:rsid w:val="57545FAA"/>
    <w:rsid w:val="5761718A"/>
    <w:rsid w:val="578729DD"/>
    <w:rsid w:val="57A15496"/>
    <w:rsid w:val="58527DDF"/>
    <w:rsid w:val="585C0C77"/>
    <w:rsid w:val="588122D0"/>
    <w:rsid w:val="588B4921"/>
    <w:rsid w:val="589D7054"/>
    <w:rsid w:val="58BF1D57"/>
    <w:rsid w:val="58DB0E4C"/>
    <w:rsid w:val="58E509F4"/>
    <w:rsid w:val="590E2850"/>
    <w:rsid w:val="591202CC"/>
    <w:rsid w:val="59717AE0"/>
    <w:rsid w:val="59804E45"/>
    <w:rsid w:val="599B4E71"/>
    <w:rsid w:val="59B64CA0"/>
    <w:rsid w:val="59CC542B"/>
    <w:rsid w:val="5A1C1CB5"/>
    <w:rsid w:val="5A3E504B"/>
    <w:rsid w:val="5A447BC3"/>
    <w:rsid w:val="5A480E98"/>
    <w:rsid w:val="5A6A2DC8"/>
    <w:rsid w:val="5A794109"/>
    <w:rsid w:val="5A9727DF"/>
    <w:rsid w:val="5AAC22A1"/>
    <w:rsid w:val="5AE22F30"/>
    <w:rsid w:val="5AEF1E6B"/>
    <w:rsid w:val="5B124335"/>
    <w:rsid w:val="5B1F13E4"/>
    <w:rsid w:val="5B20612B"/>
    <w:rsid w:val="5B841565"/>
    <w:rsid w:val="5BAD591A"/>
    <w:rsid w:val="5BC72876"/>
    <w:rsid w:val="5BE94950"/>
    <w:rsid w:val="5BF777A5"/>
    <w:rsid w:val="5C181839"/>
    <w:rsid w:val="5C1833BA"/>
    <w:rsid w:val="5C184844"/>
    <w:rsid w:val="5C2D4278"/>
    <w:rsid w:val="5CA1221A"/>
    <w:rsid w:val="5CB2346E"/>
    <w:rsid w:val="5CB77EBB"/>
    <w:rsid w:val="5CFA304F"/>
    <w:rsid w:val="5CFA7CFC"/>
    <w:rsid w:val="5D6A4D6F"/>
    <w:rsid w:val="5D705C19"/>
    <w:rsid w:val="5D802A49"/>
    <w:rsid w:val="5D987F9A"/>
    <w:rsid w:val="5DA50A89"/>
    <w:rsid w:val="5DC141F8"/>
    <w:rsid w:val="5DC615E1"/>
    <w:rsid w:val="5DF6373C"/>
    <w:rsid w:val="5E436C74"/>
    <w:rsid w:val="5E5B1F77"/>
    <w:rsid w:val="5E630E88"/>
    <w:rsid w:val="5ED82281"/>
    <w:rsid w:val="5EFE31EC"/>
    <w:rsid w:val="5F0A301D"/>
    <w:rsid w:val="5F213338"/>
    <w:rsid w:val="5F273E0A"/>
    <w:rsid w:val="5F574A50"/>
    <w:rsid w:val="5F9F579E"/>
    <w:rsid w:val="5FA73D51"/>
    <w:rsid w:val="5FBE3254"/>
    <w:rsid w:val="5FDE506C"/>
    <w:rsid w:val="5FF11C54"/>
    <w:rsid w:val="600C5C91"/>
    <w:rsid w:val="601676CE"/>
    <w:rsid w:val="60513B4B"/>
    <w:rsid w:val="60636A2E"/>
    <w:rsid w:val="608624AA"/>
    <w:rsid w:val="608B0047"/>
    <w:rsid w:val="609F6FDB"/>
    <w:rsid w:val="60ED4177"/>
    <w:rsid w:val="61037EB4"/>
    <w:rsid w:val="611327A8"/>
    <w:rsid w:val="612521B5"/>
    <w:rsid w:val="612B5536"/>
    <w:rsid w:val="615F1BC7"/>
    <w:rsid w:val="61626425"/>
    <w:rsid w:val="61AF5EE9"/>
    <w:rsid w:val="61D94234"/>
    <w:rsid w:val="62181DE0"/>
    <w:rsid w:val="621F1648"/>
    <w:rsid w:val="62272812"/>
    <w:rsid w:val="622E7945"/>
    <w:rsid w:val="624F05E4"/>
    <w:rsid w:val="624F3CF9"/>
    <w:rsid w:val="625D29CC"/>
    <w:rsid w:val="626C2E30"/>
    <w:rsid w:val="626F145A"/>
    <w:rsid w:val="627056C4"/>
    <w:rsid w:val="630D1490"/>
    <w:rsid w:val="63136EB1"/>
    <w:rsid w:val="63242AE7"/>
    <w:rsid w:val="635204A6"/>
    <w:rsid w:val="63732C3F"/>
    <w:rsid w:val="6382266C"/>
    <w:rsid w:val="63930FF7"/>
    <w:rsid w:val="63A72D84"/>
    <w:rsid w:val="63C206FD"/>
    <w:rsid w:val="63CB3C89"/>
    <w:rsid w:val="63CF13AA"/>
    <w:rsid w:val="63CF7863"/>
    <w:rsid w:val="64704BBE"/>
    <w:rsid w:val="64836954"/>
    <w:rsid w:val="64923A4B"/>
    <w:rsid w:val="64A55643"/>
    <w:rsid w:val="64A7002A"/>
    <w:rsid w:val="65216847"/>
    <w:rsid w:val="652303EB"/>
    <w:rsid w:val="65265569"/>
    <w:rsid w:val="653B1C68"/>
    <w:rsid w:val="6564046E"/>
    <w:rsid w:val="65B91D5C"/>
    <w:rsid w:val="65C9490A"/>
    <w:rsid w:val="65E45F30"/>
    <w:rsid w:val="66006618"/>
    <w:rsid w:val="662F35F3"/>
    <w:rsid w:val="667B2694"/>
    <w:rsid w:val="66D14568"/>
    <w:rsid w:val="66FF06AC"/>
    <w:rsid w:val="676D1FD9"/>
    <w:rsid w:val="67724478"/>
    <w:rsid w:val="682B5D43"/>
    <w:rsid w:val="685729EE"/>
    <w:rsid w:val="686A133B"/>
    <w:rsid w:val="689663BF"/>
    <w:rsid w:val="68967C7A"/>
    <w:rsid w:val="68A85A6E"/>
    <w:rsid w:val="68CB60BD"/>
    <w:rsid w:val="68FA1874"/>
    <w:rsid w:val="69052A91"/>
    <w:rsid w:val="6910795A"/>
    <w:rsid w:val="692024EE"/>
    <w:rsid w:val="698839D3"/>
    <w:rsid w:val="698A40F4"/>
    <w:rsid w:val="699606A4"/>
    <w:rsid w:val="69AD655A"/>
    <w:rsid w:val="69D74615"/>
    <w:rsid w:val="6A166D34"/>
    <w:rsid w:val="6A3D5936"/>
    <w:rsid w:val="6A60427A"/>
    <w:rsid w:val="6A802CF0"/>
    <w:rsid w:val="6A8138AB"/>
    <w:rsid w:val="6A925DDC"/>
    <w:rsid w:val="6ABA6F36"/>
    <w:rsid w:val="6AC14C51"/>
    <w:rsid w:val="6B2A566B"/>
    <w:rsid w:val="6B2C28C2"/>
    <w:rsid w:val="6BAA19FB"/>
    <w:rsid w:val="6BB631CB"/>
    <w:rsid w:val="6BFC4A75"/>
    <w:rsid w:val="6BFE5C54"/>
    <w:rsid w:val="6C487ED4"/>
    <w:rsid w:val="6C6521A1"/>
    <w:rsid w:val="6C7C7D5F"/>
    <w:rsid w:val="6CB60189"/>
    <w:rsid w:val="6CC36848"/>
    <w:rsid w:val="6CCA6991"/>
    <w:rsid w:val="6CED605D"/>
    <w:rsid w:val="6D0C4352"/>
    <w:rsid w:val="6D6D34DA"/>
    <w:rsid w:val="6D7500E6"/>
    <w:rsid w:val="6DB415BF"/>
    <w:rsid w:val="6E0B6AE9"/>
    <w:rsid w:val="6E3145F9"/>
    <w:rsid w:val="6E6E165A"/>
    <w:rsid w:val="6ECE0821"/>
    <w:rsid w:val="6F0E7377"/>
    <w:rsid w:val="6F3570B5"/>
    <w:rsid w:val="6F6618CC"/>
    <w:rsid w:val="6F6B0CA2"/>
    <w:rsid w:val="6F822E9D"/>
    <w:rsid w:val="6F8E3F03"/>
    <w:rsid w:val="6F9B3A9C"/>
    <w:rsid w:val="6FA42D4E"/>
    <w:rsid w:val="6FA70FD1"/>
    <w:rsid w:val="6FCD5624"/>
    <w:rsid w:val="6FF54E12"/>
    <w:rsid w:val="701C4F06"/>
    <w:rsid w:val="702839E6"/>
    <w:rsid w:val="704C4D4B"/>
    <w:rsid w:val="70855E7D"/>
    <w:rsid w:val="7093621D"/>
    <w:rsid w:val="70A06F03"/>
    <w:rsid w:val="70A61F78"/>
    <w:rsid w:val="70D5793A"/>
    <w:rsid w:val="710C05FD"/>
    <w:rsid w:val="71212756"/>
    <w:rsid w:val="713C5313"/>
    <w:rsid w:val="719A385B"/>
    <w:rsid w:val="71A601FD"/>
    <w:rsid w:val="71C2284A"/>
    <w:rsid w:val="71E3591F"/>
    <w:rsid w:val="7212377B"/>
    <w:rsid w:val="72134F83"/>
    <w:rsid w:val="72185F9B"/>
    <w:rsid w:val="723D55AD"/>
    <w:rsid w:val="729324CA"/>
    <w:rsid w:val="729A1CDE"/>
    <w:rsid w:val="72C65F0F"/>
    <w:rsid w:val="72D64A93"/>
    <w:rsid w:val="72EE58F4"/>
    <w:rsid w:val="731761E0"/>
    <w:rsid w:val="731A3E39"/>
    <w:rsid w:val="733156A1"/>
    <w:rsid w:val="73465AD0"/>
    <w:rsid w:val="7348052B"/>
    <w:rsid w:val="73482EDE"/>
    <w:rsid w:val="734C1FD7"/>
    <w:rsid w:val="736D2FEE"/>
    <w:rsid w:val="739251C5"/>
    <w:rsid w:val="73925A90"/>
    <w:rsid w:val="73933A56"/>
    <w:rsid w:val="739A7172"/>
    <w:rsid w:val="73BC7B32"/>
    <w:rsid w:val="73EC5FF1"/>
    <w:rsid w:val="73F91C17"/>
    <w:rsid w:val="743B3987"/>
    <w:rsid w:val="743D5153"/>
    <w:rsid w:val="74AA431B"/>
    <w:rsid w:val="75834A27"/>
    <w:rsid w:val="75C702C7"/>
    <w:rsid w:val="75EF1D3D"/>
    <w:rsid w:val="761E249D"/>
    <w:rsid w:val="763F7A79"/>
    <w:rsid w:val="7660428A"/>
    <w:rsid w:val="767D29A1"/>
    <w:rsid w:val="769B548F"/>
    <w:rsid w:val="769D311E"/>
    <w:rsid w:val="76B63290"/>
    <w:rsid w:val="76B87F94"/>
    <w:rsid w:val="76CD5BB1"/>
    <w:rsid w:val="771612EF"/>
    <w:rsid w:val="771C5B4C"/>
    <w:rsid w:val="775810EE"/>
    <w:rsid w:val="77624AF0"/>
    <w:rsid w:val="777B702A"/>
    <w:rsid w:val="77A37380"/>
    <w:rsid w:val="781F459C"/>
    <w:rsid w:val="783E51DB"/>
    <w:rsid w:val="78724DED"/>
    <w:rsid w:val="788A26BF"/>
    <w:rsid w:val="78B312E7"/>
    <w:rsid w:val="78D133A5"/>
    <w:rsid w:val="78DC5AFD"/>
    <w:rsid w:val="790E7B31"/>
    <w:rsid w:val="79136EC6"/>
    <w:rsid w:val="7924785C"/>
    <w:rsid w:val="7944126A"/>
    <w:rsid w:val="79957D0A"/>
    <w:rsid w:val="79B32E48"/>
    <w:rsid w:val="79BD3EA3"/>
    <w:rsid w:val="79D44A8A"/>
    <w:rsid w:val="79E14798"/>
    <w:rsid w:val="7A2B16BC"/>
    <w:rsid w:val="7A2C211B"/>
    <w:rsid w:val="7A8617D1"/>
    <w:rsid w:val="7A9559DA"/>
    <w:rsid w:val="7ADA125B"/>
    <w:rsid w:val="7AFE0207"/>
    <w:rsid w:val="7B32010A"/>
    <w:rsid w:val="7B342C54"/>
    <w:rsid w:val="7B5C27E8"/>
    <w:rsid w:val="7B672896"/>
    <w:rsid w:val="7B683CB6"/>
    <w:rsid w:val="7B887BFE"/>
    <w:rsid w:val="7BB73DC5"/>
    <w:rsid w:val="7BD36A80"/>
    <w:rsid w:val="7BEC41A3"/>
    <w:rsid w:val="7BF70547"/>
    <w:rsid w:val="7C0620CF"/>
    <w:rsid w:val="7C0E22D3"/>
    <w:rsid w:val="7C2F196E"/>
    <w:rsid w:val="7C3F6332"/>
    <w:rsid w:val="7C4B5B3E"/>
    <w:rsid w:val="7C4C788C"/>
    <w:rsid w:val="7C823DBE"/>
    <w:rsid w:val="7CBE65BD"/>
    <w:rsid w:val="7CD1506C"/>
    <w:rsid w:val="7CE708E7"/>
    <w:rsid w:val="7CEC1075"/>
    <w:rsid w:val="7D1F3E53"/>
    <w:rsid w:val="7D7C3E1F"/>
    <w:rsid w:val="7DA876E0"/>
    <w:rsid w:val="7DB20F61"/>
    <w:rsid w:val="7DD9674F"/>
    <w:rsid w:val="7E17005B"/>
    <w:rsid w:val="7E3F330C"/>
    <w:rsid w:val="7E733E2B"/>
    <w:rsid w:val="7EA51A3F"/>
    <w:rsid w:val="7EA91AE5"/>
    <w:rsid w:val="7F3507AF"/>
    <w:rsid w:val="7F3A127C"/>
    <w:rsid w:val="7F3D602F"/>
    <w:rsid w:val="7F4004B3"/>
    <w:rsid w:val="7F4B3D07"/>
    <w:rsid w:val="7F62061D"/>
    <w:rsid w:val="7F627001"/>
    <w:rsid w:val="7F6F7622"/>
    <w:rsid w:val="7F765F50"/>
    <w:rsid w:val="7F793AA8"/>
    <w:rsid w:val="7F7A6CFF"/>
    <w:rsid w:val="7F847511"/>
    <w:rsid w:val="7FBD23AA"/>
    <w:rsid w:val="7FD2624B"/>
    <w:rsid w:val="7FDC0CEA"/>
    <w:rsid w:val="7FEB3A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99" w:semiHidden="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59"/>
    <w:qFormat/>
    <w:uiPriority w:val="99"/>
    <w:pPr>
      <w:spacing w:line="360" w:lineRule="auto"/>
    </w:pPr>
    <w:rPr>
      <w:rFonts w:ascii="宋体" w:hAnsi="宋体"/>
      <w:bCs/>
      <w:sz w:val="24"/>
      <w:szCs w:val="20"/>
    </w:rPr>
  </w:style>
  <w:style w:type="paragraph" w:styleId="5">
    <w:name w:val="Normal Indent"/>
    <w:basedOn w:val="1"/>
    <w:qFormat/>
    <w:uiPriority w:val="0"/>
    <w:pPr>
      <w:ind w:firstLine="420"/>
    </w:pPr>
    <w:rPr>
      <w:rFonts w:hint="eastAsia"/>
      <w:sz w:val="14"/>
      <w:szCs w:val="20"/>
    </w:rPr>
  </w:style>
  <w:style w:type="paragraph" w:styleId="6">
    <w:name w:val="annotation text"/>
    <w:basedOn w:val="1"/>
    <w:link w:val="29"/>
    <w:qFormat/>
    <w:uiPriority w:val="99"/>
    <w:pPr>
      <w:jc w:val="left"/>
    </w:pPr>
  </w:style>
  <w:style w:type="paragraph" w:styleId="7">
    <w:name w:val="Body Text Indent"/>
    <w:basedOn w:val="1"/>
    <w:link w:val="60"/>
    <w:semiHidden/>
    <w:unhideWhenUsed/>
    <w:qFormat/>
    <w:uiPriority w:val="0"/>
    <w:pPr>
      <w:spacing w:after="120"/>
      <w:ind w:left="420" w:leftChars="200"/>
    </w:pPr>
  </w:style>
  <w:style w:type="paragraph" w:styleId="8">
    <w:name w:val="Plain Text"/>
    <w:basedOn w:val="1"/>
    <w:link w:val="47"/>
    <w:qFormat/>
    <w:uiPriority w:val="0"/>
    <w:rPr>
      <w:rFonts w:ascii="宋体" w:hAnsi="Courier New"/>
      <w:szCs w:val="20"/>
    </w:rPr>
  </w:style>
  <w:style w:type="paragraph" w:styleId="9">
    <w:name w:val="Date"/>
    <w:basedOn w:val="1"/>
    <w:next w:val="1"/>
    <w:qFormat/>
    <w:uiPriority w:val="0"/>
    <w:pPr>
      <w:ind w:left="100" w:leftChars="2500"/>
    </w:pPr>
  </w:style>
  <w:style w:type="paragraph" w:styleId="10">
    <w:name w:val="Balloon Text"/>
    <w:basedOn w:val="1"/>
    <w:link w:val="31"/>
    <w:qFormat/>
    <w:uiPriority w:val="0"/>
    <w:rPr>
      <w:sz w:val="18"/>
      <w:szCs w:val="18"/>
    </w:rPr>
  </w:style>
  <w:style w:type="paragraph" w:styleId="11">
    <w:name w:val="footer"/>
    <w:basedOn w:val="1"/>
    <w:link w:val="32"/>
    <w:qFormat/>
    <w:uiPriority w:val="99"/>
    <w:pPr>
      <w:tabs>
        <w:tab w:val="center" w:pos="4153"/>
        <w:tab w:val="right" w:pos="8306"/>
      </w:tabs>
      <w:snapToGrid w:val="0"/>
      <w:jc w:val="left"/>
    </w:pPr>
    <w:rPr>
      <w:sz w:val="18"/>
      <w:szCs w:val="18"/>
    </w:rPr>
  </w:style>
  <w:style w:type="paragraph" w:styleId="12">
    <w:name w:val="header"/>
    <w:basedOn w:val="1"/>
    <w:link w:val="46"/>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style>
  <w:style w:type="paragraph" w:styleId="14">
    <w:name w:val="toc 2"/>
    <w:basedOn w:val="1"/>
    <w:next w:val="1"/>
    <w:semiHidden/>
    <w:qFormat/>
    <w:uiPriority w:val="0"/>
    <w:pPr>
      <w:ind w:left="420" w:leftChars="200"/>
    </w:pPr>
  </w:style>
  <w:style w:type="paragraph" w:styleId="15">
    <w:name w:val="Body Text 2"/>
    <w:basedOn w:val="1"/>
    <w:link w:val="43"/>
    <w:qFormat/>
    <w:uiPriority w:val="0"/>
    <w:pPr>
      <w:adjustRightInd w:val="0"/>
      <w:snapToGrid w:val="0"/>
      <w:spacing w:line="480" w:lineRule="atLeast"/>
    </w:pPr>
    <w:rPr>
      <w:rFonts w:ascii="宋体" w:hAnsi="宋体"/>
      <w:sz w:val="28"/>
      <w:szCs w:val="20"/>
    </w:rPr>
  </w:style>
  <w:style w:type="paragraph" w:styleId="16">
    <w:name w:val="Normal (Web)"/>
    <w:basedOn w:val="1"/>
    <w:qFormat/>
    <w:uiPriority w:val="0"/>
    <w:rPr>
      <w:sz w:val="24"/>
    </w:rPr>
  </w:style>
  <w:style w:type="paragraph" w:styleId="17">
    <w:name w:val="annotation subject"/>
    <w:basedOn w:val="6"/>
    <w:next w:val="6"/>
    <w:link w:val="40"/>
    <w:qFormat/>
    <w:uiPriority w:val="0"/>
    <w:rPr>
      <w:b/>
      <w:bCs/>
    </w:rPr>
  </w:style>
  <w:style w:type="paragraph" w:styleId="18">
    <w:name w:val="Body Text First Indent 2"/>
    <w:basedOn w:val="7"/>
    <w:link w:val="61"/>
    <w:unhideWhenUsed/>
    <w:qFormat/>
    <w:uiPriority w:val="99"/>
    <w:pPr>
      <w:ind w:firstLine="420" w:firstLineChars="200"/>
    </w:pPr>
    <w:rPr>
      <w:rFonts w:ascii="Calibri" w:hAnsi="Calibri"/>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page number"/>
    <w:basedOn w:val="21"/>
    <w:qFormat/>
    <w:uiPriority w:val="0"/>
  </w:style>
  <w:style w:type="character" w:styleId="24">
    <w:name w:val="FollowedHyperlink"/>
    <w:qFormat/>
    <w:uiPriority w:val="0"/>
    <w:rPr>
      <w:color w:val="000000"/>
      <w:u w:val="none"/>
    </w:rPr>
  </w:style>
  <w:style w:type="character" w:styleId="25">
    <w:name w:val="Emphasis"/>
    <w:qFormat/>
    <w:uiPriority w:val="0"/>
    <w:rPr>
      <w:i/>
      <w:color w:val="FF0000"/>
    </w:rPr>
  </w:style>
  <w:style w:type="character" w:styleId="26">
    <w:name w:val="Hyperlink"/>
    <w:basedOn w:val="21"/>
    <w:qFormat/>
    <w:uiPriority w:val="0"/>
    <w:rPr>
      <w:color w:val="000000"/>
      <w:u w:val="none"/>
    </w:rPr>
  </w:style>
  <w:style w:type="character" w:styleId="27">
    <w:name w:val="annotation reference"/>
    <w:qFormat/>
    <w:uiPriority w:val="99"/>
    <w:rPr>
      <w:sz w:val="21"/>
      <w:szCs w:val="21"/>
    </w:rPr>
  </w:style>
  <w:style w:type="paragraph" w:customStyle="1" w:styleId="28">
    <w:name w:val="列出段落1"/>
    <w:qFormat/>
    <w:uiPriority w:val="34"/>
    <w:pPr>
      <w:widowControl w:val="0"/>
      <w:ind w:firstLine="420" w:firstLineChars="200"/>
      <w:jc w:val="both"/>
    </w:pPr>
    <w:rPr>
      <w:rFonts w:ascii="Calibri" w:hAnsi="Calibri" w:eastAsia="宋体" w:cs="黑体"/>
      <w:kern w:val="2"/>
      <w:sz w:val="24"/>
      <w:szCs w:val="22"/>
      <w:lang w:val="en-US" w:eastAsia="zh-CN" w:bidi="ar-SA"/>
    </w:rPr>
  </w:style>
  <w:style w:type="character" w:customStyle="1" w:styleId="29">
    <w:name w:val="批注文字 字符"/>
    <w:link w:val="6"/>
    <w:qFormat/>
    <w:uiPriority w:val="99"/>
    <w:rPr>
      <w:kern w:val="2"/>
      <w:sz w:val="21"/>
      <w:szCs w:val="24"/>
    </w:rPr>
  </w:style>
  <w:style w:type="character" w:customStyle="1" w:styleId="30">
    <w:name w:val="hover37"/>
    <w:basedOn w:val="21"/>
    <w:qFormat/>
    <w:uiPriority w:val="0"/>
  </w:style>
  <w:style w:type="character" w:customStyle="1" w:styleId="31">
    <w:name w:val="批注框文本 字符"/>
    <w:link w:val="10"/>
    <w:qFormat/>
    <w:uiPriority w:val="0"/>
    <w:rPr>
      <w:kern w:val="2"/>
      <w:sz w:val="18"/>
      <w:szCs w:val="18"/>
    </w:rPr>
  </w:style>
  <w:style w:type="character" w:customStyle="1" w:styleId="32">
    <w:name w:val="页脚 字符"/>
    <w:link w:val="11"/>
    <w:qFormat/>
    <w:uiPriority w:val="99"/>
    <w:rPr>
      <w:kern w:val="2"/>
      <w:sz w:val="18"/>
      <w:szCs w:val="18"/>
    </w:rPr>
  </w:style>
  <w:style w:type="character" w:customStyle="1" w:styleId="33">
    <w:name w:val="CODE"/>
    <w:qFormat/>
    <w:uiPriority w:val="0"/>
    <w:rPr>
      <w:rFonts w:ascii="Courier New" w:hAnsi="Courier New"/>
      <w:sz w:val="20"/>
    </w:rPr>
  </w:style>
  <w:style w:type="paragraph" w:customStyle="1" w:styleId="34">
    <w:name w:val="Char Char Char Char Char Char Char Char Char Char Char1 Char Char Char Char Char Char Char Char Char Char Char Char"/>
    <w:basedOn w:val="1"/>
    <w:autoRedefine/>
    <w:qFormat/>
    <w:uiPriority w:val="0"/>
    <w:rPr>
      <w:rFonts w:ascii="Tahoma" w:hAnsi="Tahoma"/>
      <w:sz w:val="24"/>
    </w:rPr>
  </w:style>
  <w:style w:type="paragraph" w:customStyle="1" w:styleId="35">
    <w:name w:val="Char"/>
    <w:basedOn w:val="1"/>
    <w:qFormat/>
    <w:uiPriority w:val="0"/>
    <w:rPr>
      <w:kern w:val="72"/>
      <w:sz w:val="32"/>
    </w:rPr>
  </w:style>
  <w:style w:type="paragraph" w:customStyle="1" w:styleId="36">
    <w:name w:val="Char Char1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目录"/>
    <w:basedOn w:val="1"/>
    <w:qFormat/>
    <w:uiPriority w:val="0"/>
    <w:pPr>
      <w:widowControl/>
      <w:jc w:val="center"/>
    </w:pPr>
    <w:rPr>
      <w:rFonts w:ascii="宋体"/>
      <w:b/>
      <w:kern w:val="0"/>
      <w:sz w:val="36"/>
      <w:szCs w:val="20"/>
    </w:rPr>
  </w:style>
  <w:style w:type="paragraph" w:customStyle="1" w:styleId="38">
    <w:name w:val="Char Char Char Char"/>
    <w:basedOn w:val="1"/>
    <w:link w:val="4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9">
    <w:name w:val="Char1"/>
    <w:basedOn w:val="1"/>
    <w:qFormat/>
    <w:uiPriority w:val="0"/>
    <w:rPr>
      <w:rFonts w:ascii="Tahoma" w:hAnsi="Tahoma"/>
      <w:sz w:val="24"/>
    </w:rPr>
  </w:style>
  <w:style w:type="character" w:customStyle="1" w:styleId="40">
    <w:name w:val="批注主题 字符"/>
    <w:link w:val="17"/>
    <w:qFormat/>
    <w:uiPriority w:val="0"/>
    <w:rPr>
      <w:b/>
      <w:bCs/>
      <w:kern w:val="2"/>
      <w:sz w:val="21"/>
      <w:szCs w:val="24"/>
    </w:rPr>
  </w:style>
  <w:style w:type="character" w:customStyle="1" w:styleId="41">
    <w:name w:val="Char Char Char Char Char"/>
    <w:basedOn w:val="21"/>
    <w:link w:val="38"/>
    <w:qFormat/>
    <w:uiPriority w:val="0"/>
    <w:rPr>
      <w:rFonts w:ascii="Verdana" w:hAnsi="Verdana" w:eastAsia="仿宋_GB2312"/>
      <w:sz w:val="24"/>
      <w:lang w:val="en-US" w:eastAsia="en-US" w:bidi="ar-SA"/>
    </w:rPr>
  </w:style>
  <w:style w:type="character" w:customStyle="1" w:styleId="42">
    <w:name w:val="正文文本 2 Char"/>
    <w:qFormat/>
    <w:uiPriority w:val="0"/>
    <w:rPr>
      <w:rFonts w:ascii="宋体" w:hAnsi="宋体"/>
      <w:kern w:val="2"/>
      <w:sz w:val="28"/>
    </w:rPr>
  </w:style>
  <w:style w:type="character" w:customStyle="1" w:styleId="43">
    <w:name w:val="正文文本 2 字符"/>
    <w:basedOn w:val="21"/>
    <w:link w:val="15"/>
    <w:semiHidden/>
    <w:qFormat/>
    <w:uiPriority w:val="0"/>
    <w:rPr>
      <w:kern w:val="2"/>
      <w:sz w:val="21"/>
      <w:szCs w:val="24"/>
    </w:rPr>
  </w:style>
  <w:style w:type="paragraph" w:customStyle="1" w:styleId="44">
    <w:name w:val="目录文字"/>
    <w:basedOn w:val="1"/>
    <w:qFormat/>
    <w:uiPriority w:val="0"/>
    <w:pPr>
      <w:widowControl/>
      <w:spacing w:line="480" w:lineRule="auto"/>
      <w:jc w:val="left"/>
    </w:pPr>
    <w:rPr>
      <w:rFonts w:hint="eastAsia" w:ascii="宋体" w:hAnsi="宋体"/>
      <w:kern w:val="0"/>
      <w:sz w:val="24"/>
      <w:szCs w:val="20"/>
    </w:rPr>
  </w:style>
  <w:style w:type="character" w:customStyle="1" w:styleId="45">
    <w:name w:val="纯文本 Char"/>
    <w:qFormat/>
    <w:uiPriority w:val="0"/>
    <w:rPr>
      <w:rFonts w:ascii="宋体" w:hAnsi="Courier New"/>
      <w:kern w:val="2"/>
      <w:sz w:val="21"/>
    </w:rPr>
  </w:style>
  <w:style w:type="character" w:customStyle="1" w:styleId="46">
    <w:name w:val="页眉 字符"/>
    <w:link w:val="12"/>
    <w:qFormat/>
    <w:uiPriority w:val="99"/>
    <w:rPr>
      <w:kern w:val="2"/>
      <w:sz w:val="18"/>
      <w:szCs w:val="18"/>
    </w:rPr>
  </w:style>
  <w:style w:type="character" w:customStyle="1" w:styleId="47">
    <w:name w:val="纯文本 字符"/>
    <w:basedOn w:val="21"/>
    <w:link w:val="8"/>
    <w:semiHidden/>
    <w:qFormat/>
    <w:uiPriority w:val="0"/>
    <w:rPr>
      <w:rFonts w:ascii="宋体" w:hAnsi="Courier New" w:cs="Courier New"/>
      <w:kern w:val="2"/>
      <w:sz w:val="21"/>
      <w:szCs w:val="21"/>
    </w:rPr>
  </w:style>
  <w:style w:type="paragraph" w:customStyle="1" w:styleId="48">
    <w:name w:val="title12"/>
    <w:basedOn w:val="1"/>
    <w:qFormat/>
    <w:uiPriority w:val="0"/>
    <w:pPr>
      <w:widowControl/>
      <w:spacing w:before="150" w:line="510" w:lineRule="atLeast"/>
      <w:jc w:val="left"/>
    </w:pPr>
    <w:rPr>
      <w:rFonts w:ascii="宋体" w:hAnsi="宋体" w:cs="宋体"/>
      <w:b/>
      <w:bCs/>
      <w:kern w:val="0"/>
      <w:sz w:val="23"/>
      <w:szCs w:val="23"/>
    </w:rPr>
  </w:style>
  <w:style w:type="paragraph" w:styleId="49">
    <w:name w:val="List Paragraph"/>
    <w:basedOn w:val="1"/>
    <w:unhideWhenUsed/>
    <w:qFormat/>
    <w:uiPriority w:val="99"/>
    <w:rPr>
      <w:bCs/>
    </w:rPr>
  </w:style>
  <w:style w:type="character" w:customStyle="1" w:styleId="50">
    <w:name w:val="icon"/>
    <w:basedOn w:val="21"/>
    <w:qFormat/>
    <w:uiPriority w:val="0"/>
  </w:style>
  <w:style w:type="character" w:customStyle="1" w:styleId="51">
    <w:name w:val="hover15"/>
    <w:basedOn w:val="21"/>
    <w:qFormat/>
    <w:uiPriority w:val="0"/>
    <w:rPr>
      <w:bdr w:val="single" w:color="999999" w:sz="6" w:space="0"/>
    </w:rPr>
  </w:style>
  <w:style w:type="character" w:customStyle="1" w:styleId="52">
    <w:name w:val="active2"/>
    <w:basedOn w:val="21"/>
    <w:qFormat/>
    <w:uiPriority w:val="0"/>
    <w:rPr>
      <w:shd w:val="clear" w:color="auto" w:fill="FFFFFF"/>
    </w:rPr>
  </w:style>
  <w:style w:type="character" w:customStyle="1" w:styleId="53">
    <w:name w:val="active3"/>
    <w:basedOn w:val="21"/>
    <w:qFormat/>
    <w:uiPriority w:val="0"/>
    <w:rPr>
      <w:shd w:val="clear" w:color="auto" w:fill="FFFFFF"/>
    </w:rPr>
  </w:style>
  <w:style w:type="character" w:customStyle="1" w:styleId="54">
    <w:name w:val="text8"/>
    <w:basedOn w:val="21"/>
    <w:qFormat/>
    <w:uiPriority w:val="0"/>
  </w:style>
  <w:style w:type="character" w:customStyle="1" w:styleId="55">
    <w:name w:val="generalinfo-address-text1"/>
    <w:basedOn w:val="21"/>
    <w:qFormat/>
    <w:uiPriority w:val="0"/>
    <w:rPr>
      <w:sz w:val="18"/>
      <w:szCs w:val="18"/>
    </w:rPr>
  </w:style>
  <w:style w:type="paragraph" w:customStyle="1" w:styleId="56">
    <w:name w:val="样式 仿宋_GB2312 四号 行距: 1.5 倍行距"/>
    <w:basedOn w:val="1"/>
    <w:qFormat/>
    <w:uiPriority w:val="0"/>
    <w:pPr>
      <w:spacing w:line="360" w:lineRule="auto"/>
      <w:ind w:firstLine="560" w:firstLineChars="200"/>
    </w:pPr>
    <w:rPr>
      <w:rFonts w:ascii="仿宋_GB2312" w:eastAsia="仿宋_GB2312" w:cs="宋体"/>
      <w:sz w:val="28"/>
      <w:szCs w:val="20"/>
    </w:rPr>
  </w:style>
  <w:style w:type="character" w:customStyle="1" w:styleId="57">
    <w:name w:val="font31"/>
    <w:qFormat/>
    <w:uiPriority w:val="0"/>
    <w:rPr>
      <w:rFonts w:hint="eastAsia" w:ascii="宋体" w:hAnsi="宋体" w:eastAsia="宋体" w:cs="宋体"/>
      <w:color w:val="000000"/>
      <w:sz w:val="24"/>
      <w:szCs w:val="24"/>
      <w:u w:val="none"/>
    </w:rPr>
  </w:style>
  <w:style w:type="character" w:customStyle="1" w:styleId="58">
    <w:name w:val="font21"/>
    <w:qFormat/>
    <w:uiPriority w:val="0"/>
    <w:rPr>
      <w:rFonts w:hint="eastAsia" w:ascii="宋体" w:hAnsi="宋体" w:eastAsia="宋体" w:cs="宋体"/>
      <w:color w:val="000000"/>
      <w:sz w:val="24"/>
      <w:szCs w:val="24"/>
      <w:u w:val="none"/>
    </w:rPr>
  </w:style>
  <w:style w:type="character" w:customStyle="1" w:styleId="59">
    <w:name w:val="正文文本 字符"/>
    <w:basedOn w:val="21"/>
    <w:link w:val="2"/>
    <w:qFormat/>
    <w:uiPriority w:val="99"/>
    <w:rPr>
      <w:rFonts w:ascii="宋体" w:hAnsi="宋体"/>
      <w:bCs/>
      <w:kern w:val="2"/>
      <w:sz w:val="24"/>
    </w:rPr>
  </w:style>
  <w:style w:type="character" w:customStyle="1" w:styleId="60">
    <w:name w:val="正文文本缩进 字符"/>
    <w:basedOn w:val="21"/>
    <w:link w:val="7"/>
    <w:semiHidden/>
    <w:qFormat/>
    <w:uiPriority w:val="0"/>
    <w:rPr>
      <w:kern w:val="2"/>
      <w:sz w:val="21"/>
      <w:szCs w:val="24"/>
    </w:rPr>
  </w:style>
  <w:style w:type="character" w:customStyle="1" w:styleId="61">
    <w:name w:val="正文文本首行缩进 2 字符"/>
    <w:basedOn w:val="60"/>
    <w:link w:val="18"/>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919C69-9DD6-4FF6-A2A2-C785BC6E7C7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92</Pages>
  <Words>10907</Words>
  <Characters>62174</Characters>
  <Lines>518</Lines>
  <Paragraphs>145</Paragraphs>
  <TotalTime>190</TotalTime>
  <ScaleCrop>false</ScaleCrop>
  <LinksUpToDate>false</LinksUpToDate>
  <CharactersWithSpaces>72936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2021-02-27T10:32:00Z</dcterms:created>
  <dc:creator>User</dc:creator>
  <cp:lastModifiedBy>zhouqin</cp:lastModifiedBy>
  <cp:lastPrinted>2020-02-25T02:03:00Z</cp:lastPrinted>
  <dcterms:modified xsi:type="dcterms:W3CDTF">2024-01-18T03:26:33Z</dcterms:modified>
  <dc:title>***项目招标代理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2799019470914879B7CCBF1DE3CB0AC4_12</vt:lpwstr>
  </property>
</Properties>
</file>