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eastAsia="方正小标宋_GBK"/>
          <w:bCs/>
          <w:spacing w:val="8"/>
          <w:sz w:val="44"/>
          <w:szCs w:val="44"/>
        </w:rPr>
      </w:pPr>
      <w:r>
        <w:rPr>
          <w:rFonts w:hint="eastAsia" w:ascii="方正小标宋_GBK" w:eastAsia="方正小标宋_GBK"/>
          <w:bCs/>
          <w:spacing w:val="8"/>
          <w:sz w:val="44"/>
          <w:szCs w:val="44"/>
        </w:rPr>
        <w:t>西安市阎良区司法局</w:t>
      </w:r>
    </w:p>
    <w:p>
      <w:pPr>
        <w:pStyle w:val="5"/>
        <w:shd w:val="clear" w:color="auto" w:fill="FFFFFF"/>
        <w:spacing w:before="0" w:beforeAutospacing="0" w:after="0" w:afterAutospacing="0" w:line="560" w:lineRule="exact"/>
        <w:jc w:val="center"/>
        <w:rPr>
          <w:rStyle w:val="8"/>
          <w:rFonts w:ascii="方正小标宋_GBK" w:hAnsi="方正小标宋简体" w:eastAsia="方正小标宋_GBK" w:cs="方正小标宋简体"/>
          <w:b w:val="0"/>
          <w:bCs w:val="0"/>
          <w:color w:val="000000"/>
          <w:sz w:val="44"/>
          <w:szCs w:val="44"/>
        </w:rPr>
      </w:pPr>
      <w:r>
        <w:rPr>
          <w:rStyle w:val="8"/>
          <w:rFonts w:hint="eastAsia" w:ascii="方正小标宋_GBK" w:hAnsi="方正小标宋简体" w:eastAsia="方正小标宋_GBK" w:cs="方正小标宋简体"/>
          <w:b w:val="0"/>
          <w:bCs w:val="0"/>
          <w:color w:val="000000"/>
          <w:sz w:val="44"/>
          <w:szCs w:val="44"/>
        </w:rPr>
        <w:t>2017年度部门决算说明</w:t>
      </w:r>
    </w:p>
    <w:p>
      <w:pPr>
        <w:pStyle w:val="5"/>
        <w:shd w:val="clear" w:color="auto" w:fill="FFFFFF"/>
        <w:spacing w:before="0" w:beforeAutospacing="0" w:after="0" w:afterAutospacing="0" w:line="560" w:lineRule="exact"/>
        <w:jc w:val="center"/>
        <w:rPr>
          <w:rStyle w:val="8"/>
          <w:rFonts w:ascii="仿宋_GB2312" w:hAnsi="华文仿宋" w:eastAsia="仿宋_GB2312" w:cs="华文仿宋"/>
          <w:b w:val="0"/>
          <w:bCs w:val="0"/>
          <w:color w:val="000000"/>
          <w:sz w:val="32"/>
          <w:szCs w:val="32"/>
        </w:rPr>
      </w:pPr>
    </w:p>
    <w:p>
      <w:pPr>
        <w:pStyle w:val="5"/>
        <w:numPr>
          <w:ilvl w:val="0"/>
          <w:numId w:val="1"/>
        </w:numPr>
        <w:shd w:val="clear" w:color="auto" w:fill="FFFFFF"/>
        <w:spacing w:before="0" w:beforeAutospacing="0" w:after="0" w:afterAutospacing="0"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部门主要职责</w:t>
      </w:r>
    </w:p>
    <w:p>
      <w:pPr>
        <w:pStyle w:val="5"/>
        <w:shd w:val="clear" w:color="auto" w:fill="FFFFFF"/>
        <w:spacing w:before="0" w:beforeAutospacing="0" w:after="0" w:afterAutospacing="0" w:line="560" w:lineRule="exact"/>
        <w:ind w:left="640"/>
        <w:rPr>
          <w:rFonts w:ascii="仿宋_GB2312" w:hAnsi="黑体" w:eastAsia="仿宋_GB2312" w:cs="黑体"/>
          <w:color w:val="000000"/>
          <w:sz w:val="32"/>
          <w:szCs w:val="32"/>
        </w:rPr>
      </w:pPr>
      <w:r>
        <w:rPr>
          <w:rFonts w:hint="eastAsia" w:ascii="仿宋_GB2312" w:hAnsi="仿宋" w:eastAsia="仿宋_GB2312" w:cs="仿宋"/>
          <w:color w:val="000000"/>
          <w:sz w:val="32"/>
          <w:szCs w:val="32"/>
        </w:rPr>
        <w:t>1．主要职能。</w:t>
      </w:r>
    </w:p>
    <w:p>
      <w:pPr>
        <w:spacing w:line="560" w:lineRule="exact"/>
        <w:ind w:firstLine="640" w:firstLineChars="200"/>
        <w:rPr>
          <w:rFonts w:ascii="仿宋_GB2312" w:eastAsia="仿宋_GB2312"/>
          <w:szCs w:val="32"/>
        </w:rPr>
      </w:pPr>
      <w:r>
        <w:rPr>
          <w:rFonts w:hint="eastAsia" w:ascii="仿宋_GB2312" w:eastAsia="仿宋_GB2312"/>
          <w:szCs w:val="32"/>
        </w:rPr>
        <w:t>（1）贯彻执行国家有关司法行政工作的法律法规和方针政策，参与地方规范性文件的制定工作；编制全区司法行政工作规划和年度计划，指导全区司法行政工作；参与社会治安综合治理工作。</w:t>
      </w:r>
    </w:p>
    <w:p>
      <w:pPr>
        <w:spacing w:line="560" w:lineRule="exact"/>
        <w:ind w:firstLine="640" w:firstLineChars="200"/>
        <w:rPr>
          <w:rFonts w:ascii="仿宋_GB2312" w:eastAsia="仿宋_GB2312"/>
          <w:szCs w:val="32"/>
        </w:rPr>
      </w:pPr>
      <w:r>
        <w:rPr>
          <w:rFonts w:hint="eastAsia" w:ascii="仿宋_GB2312" w:eastAsia="仿宋_GB2312"/>
          <w:szCs w:val="32"/>
        </w:rPr>
        <w:t>（2）牵头负责会同有关部门组织对刑释解教人员的安置帮教工作。</w:t>
      </w:r>
    </w:p>
    <w:p>
      <w:pPr>
        <w:spacing w:line="560" w:lineRule="exact"/>
        <w:ind w:firstLine="640" w:firstLineChars="200"/>
        <w:rPr>
          <w:rFonts w:ascii="仿宋_GB2312" w:eastAsia="仿宋_GB2312"/>
          <w:szCs w:val="32"/>
        </w:rPr>
      </w:pPr>
      <w:r>
        <w:rPr>
          <w:rFonts w:hint="eastAsia" w:ascii="仿宋_GB2312" w:eastAsia="仿宋_GB2312"/>
          <w:szCs w:val="32"/>
        </w:rPr>
        <w:t>（3）负责全区的法制宣传、普及法律常识和依法治区工作，拟订相关规划并组织实施；指导各部门、各行业和基层依法治理工作。</w:t>
      </w:r>
    </w:p>
    <w:p>
      <w:pPr>
        <w:spacing w:line="560" w:lineRule="exact"/>
        <w:ind w:firstLine="640" w:firstLineChars="200"/>
        <w:rPr>
          <w:rFonts w:ascii="仿宋_GB2312" w:eastAsia="仿宋_GB2312"/>
          <w:szCs w:val="32"/>
        </w:rPr>
      </w:pPr>
      <w:r>
        <w:rPr>
          <w:rFonts w:hint="eastAsia" w:ascii="仿宋_GB2312" w:eastAsia="仿宋_GB2312"/>
          <w:szCs w:val="32"/>
        </w:rPr>
        <w:t>（4）负责指导全区律师工作、公证工作和“148”法律服务工作并承担相应的责任，做好全区的法律援助工作。</w:t>
      </w:r>
    </w:p>
    <w:p>
      <w:pPr>
        <w:spacing w:line="560" w:lineRule="exact"/>
        <w:ind w:firstLine="640" w:firstLineChars="200"/>
        <w:rPr>
          <w:rFonts w:ascii="仿宋_GB2312" w:eastAsia="仿宋_GB2312"/>
          <w:szCs w:val="32"/>
        </w:rPr>
      </w:pPr>
      <w:r>
        <w:rPr>
          <w:rFonts w:hint="eastAsia" w:ascii="仿宋_GB2312" w:eastAsia="仿宋_GB2312"/>
          <w:szCs w:val="32"/>
        </w:rPr>
        <w:t>（5）负责指导、管理全区基层人民调解、社区矫正、基层法律服务工作。</w:t>
      </w:r>
    </w:p>
    <w:p>
      <w:pPr>
        <w:spacing w:line="560" w:lineRule="exact"/>
        <w:ind w:firstLine="640" w:firstLineChars="200"/>
        <w:rPr>
          <w:rFonts w:ascii="仿宋_GB2312" w:eastAsia="仿宋_GB2312"/>
          <w:szCs w:val="32"/>
        </w:rPr>
      </w:pPr>
      <w:r>
        <w:rPr>
          <w:rFonts w:hint="eastAsia" w:ascii="仿宋_GB2312" w:eastAsia="仿宋_GB2312"/>
          <w:szCs w:val="32"/>
        </w:rPr>
        <w:t>（6）负责全区司法行政执法监督检查和行政复议、应诉工作及司法外事工作。</w:t>
      </w:r>
    </w:p>
    <w:p>
      <w:pPr>
        <w:spacing w:line="560" w:lineRule="exact"/>
        <w:ind w:firstLine="640" w:firstLineChars="200"/>
        <w:rPr>
          <w:rFonts w:ascii="仿宋_GB2312" w:eastAsia="仿宋_GB2312"/>
          <w:szCs w:val="32"/>
        </w:rPr>
      </w:pPr>
      <w:r>
        <w:rPr>
          <w:rFonts w:hint="eastAsia" w:ascii="仿宋_GB2312" w:eastAsia="仿宋_GB2312"/>
          <w:szCs w:val="32"/>
        </w:rPr>
        <w:t>（7）负责全区司法行政干警、基层人民调解员、普法骨干和法律服务人员的法律业务知识培训。</w:t>
      </w:r>
    </w:p>
    <w:p>
      <w:pPr>
        <w:pStyle w:val="5"/>
        <w:shd w:val="clear" w:color="auto" w:fill="FFFFFF"/>
        <w:spacing w:line="560" w:lineRule="exact"/>
        <w:ind w:firstLine="585"/>
        <w:rPr>
          <w:rFonts w:ascii="仿宋_GB2312" w:eastAsia="仿宋_GB2312"/>
          <w:sz w:val="32"/>
          <w:szCs w:val="32"/>
        </w:rPr>
      </w:pPr>
      <w:r>
        <w:rPr>
          <w:rFonts w:hint="eastAsia" w:ascii="仿宋_GB2312" w:eastAsia="仿宋_GB2312"/>
          <w:sz w:val="32"/>
          <w:szCs w:val="32"/>
        </w:rPr>
        <w:t>（8）承办区政府交办的其他事项。</w:t>
      </w:r>
    </w:p>
    <w:p>
      <w:pPr>
        <w:pStyle w:val="5"/>
        <w:shd w:val="clear" w:color="auto" w:fill="FFFFFF"/>
        <w:spacing w:line="560" w:lineRule="exact"/>
        <w:ind w:firstLine="585"/>
        <w:rPr>
          <w:rFonts w:ascii="仿宋_GB2312" w:eastAsia="仿宋_GB2312"/>
          <w:sz w:val="32"/>
          <w:szCs w:val="32"/>
        </w:rPr>
      </w:pPr>
      <w:r>
        <w:rPr>
          <w:rFonts w:hint="eastAsia" w:ascii="仿宋_GB2312" w:hAnsi="仿宋" w:eastAsia="仿宋_GB2312" w:cs="仿宋"/>
          <w:color w:val="000000"/>
          <w:sz w:val="32"/>
          <w:szCs w:val="32"/>
        </w:rPr>
        <w:t>2．机构情况，</w:t>
      </w:r>
      <w:r>
        <w:rPr>
          <w:rFonts w:hint="eastAsia" w:ascii="仿宋_GB2312" w:eastAsia="仿宋_GB2312"/>
          <w:sz w:val="32"/>
          <w:szCs w:val="32"/>
        </w:rPr>
        <w:t>从决算单位构成看，本部门的部门决算包括部门本级（机关）决算和所属事业单位决算。</w:t>
      </w:r>
    </w:p>
    <w:p>
      <w:pPr>
        <w:pStyle w:val="5"/>
        <w:shd w:val="clear" w:color="auto" w:fill="FFFFFF"/>
        <w:spacing w:line="560" w:lineRule="exact"/>
        <w:ind w:firstLine="585"/>
        <w:rPr>
          <w:rFonts w:ascii="仿宋_GB2312" w:hAnsi="黑体" w:eastAsia="仿宋_GB2312" w:cs="黑体"/>
          <w:color w:val="000000"/>
          <w:sz w:val="32"/>
          <w:szCs w:val="32"/>
        </w:rPr>
      </w:pPr>
      <w:r>
        <w:rPr>
          <w:rFonts w:hint="eastAsia" w:ascii="仿宋_GB2312" w:eastAsia="仿宋_GB2312"/>
          <w:sz w:val="32"/>
          <w:szCs w:val="32"/>
        </w:rPr>
        <w:t>纳入本部门2017年部门决算编制范围的二级决算单位共有2个，包括：陕西荆山塬律师事务所、阎良区公证处。</w:t>
      </w:r>
    </w:p>
    <w:p>
      <w:pPr>
        <w:spacing w:line="560" w:lineRule="exact"/>
        <w:ind w:firstLine="640" w:firstLineChars="200"/>
        <w:rPr>
          <w:rFonts w:hint="eastAsia" w:ascii="仿宋" w:hAnsi="仿宋" w:eastAsia="仿宋" w:cs="仿宋"/>
          <w:szCs w:val="32"/>
        </w:rPr>
      </w:pPr>
      <w:r>
        <w:rPr>
          <w:rFonts w:hint="eastAsia" w:ascii="仿宋" w:hAnsi="仿宋" w:eastAsia="仿宋" w:cs="仿宋"/>
          <w:szCs w:val="32"/>
        </w:rPr>
        <w:t>3．人员情况，按照三定方案，共设科室：宣传科；公律科，基层（社区矫正）科；法律援助中心。截止2017年底，本部门人员编制22人，其中行政编制9人、事业编制11人；实有人员22人，其中行政11人、事业11人。单位管理的离退休人员4人。</w:t>
      </w:r>
    </w:p>
    <w:p>
      <w:pPr>
        <w:pStyle w:val="5"/>
        <w:shd w:val="clear" w:color="auto" w:fill="FFFFFF"/>
        <w:spacing w:before="0" w:beforeAutospacing="0" w:after="0" w:afterAutospacing="0" w:line="560" w:lineRule="exact"/>
        <w:ind w:firstLine="640" w:firstLineChars="200"/>
        <w:rPr>
          <w:rFonts w:ascii="黑体" w:eastAsia="黑体"/>
          <w:sz w:val="32"/>
          <w:szCs w:val="32"/>
        </w:rPr>
      </w:pPr>
      <w:r>
        <w:rPr>
          <w:rFonts w:hint="eastAsia" w:ascii="黑体" w:eastAsia="黑体"/>
          <w:sz w:val="32"/>
          <w:szCs w:val="32"/>
        </w:rPr>
        <w:t>二、部门决算单位构成</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从决算单位构成看，本部门的部门决算包括部门本级（机关）决算和所属事业单位决算。</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纳入本部门2017年部门决算编制范围的二级决算单位共有2个，包括：</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序号</w:t>
            </w:r>
          </w:p>
        </w:tc>
        <w:tc>
          <w:tcPr>
            <w:tcW w:w="692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1</w:t>
            </w:r>
          </w:p>
        </w:tc>
        <w:tc>
          <w:tcPr>
            <w:tcW w:w="692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rPr>
              <w:t>西安市阎良区司法局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2</w:t>
            </w:r>
          </w:p>
        </w:tc>
        <w:tc>
          <w:tcPr>
            <w:tcW w:w="692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rPr>
              <w:t>阎良区公证处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3</w:t>
            </w:r>
          </w:p>
        </w:tc>
        <w:tc>
          <w:tcPr>
            <w:tcW w:w="692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rPr>
              <w:t>陕西荆山塬律师事务所</w:t>
            </w:r>
          </w:p>
        </w:tc>
      </w:tr>
    </w:tbl>
    <w:p>
      <w:pPr>
        <w:spacing w:line="560" w:lineRule="exact"/>
        <w:ind w:firstLine="640" w:firstLineChars="200"/>
        <w:rPr>
          <w:rFonts w:ascii="黑体" w:hAnsi="华文仿宋" w:eastAsia="黑体" w:cs="华文仿宋"/>
          <w:szCs w:val="32"/>
        </w:rPr>
      </w:pPr>
      <w:r>
        <w:rPr>
          <w:rFonts w:hint="eastAsia" w:ascii="黑体" w:hAnsi="黑体" w:eastAsia="黑体" w:cs="黑体"/>
          <w:szCs w:val="32"/>
        </w:rPr>
        <w:t>三、部门人员情况说明</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截止2017年底，本部门人员编制22人，其中行政编制11人、事业编制11人；实有人员22人，其中行政11人、事业11人。单位管理的离退休人员4人。</w:t>
      </w:r>
    </w:p>
    <w:p>
      <w:pPr>
        <w:tabs>
          <w:tab w:val="left" w:pos="1575"/>
        </w:tabs>
        <w:spacing w:line="560" w:lineRule="exact"/>
        <w:ind w:firstLine="640" w:firstLineChars="200"/>
        <w:rPr>
          <w:rFonts w:ascii="仿宋_GB2312" w:hAnsi="华文仿宋" w:eastAsia="仿宋_GB2312" w:cs="华文仿宋"/>
          <w:szCs w:val="32"/>
        </w:rPr>
      </w:pPr>
      <w:r>
        <w:rPr>
          <w:rFonts w:hint="eastAsia" w:ascii="仿宋_GB2312" w:eastAsia="仿宋_GB2312"/>
          <w:szCs w:val="32"/>
        </w:rPr>
        <w:drawing>
          <wp:anchor distT="0" distB="0" distL="114300" distR="114300" simplePos="0" relativeHeight="251659264" behindDoc="0" locked="0" layoutInCell="1" allowOverlap="1">
            <wp:simplePos x="0" y="0"/>
            <wp:positionH relativeFrom="column">
              <wp:posOffset>113030</wp:posOffset>
            </wp:positionH>
            <wp:positionV relativeFrom="paragraph">
              <wp:posOffset>144780</wp:posOffset>
            </wp:positionV>
            <wp:extent cx="5271135" cy="2363470"/>
            <wp:effectExtent l="4445" t="4445" r="20320" b="13335"/>
            <wp:wrapSquare wrapText="bothSides"/>
            <wp:docPr id="102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r>
        <w:rPr>
          <w:rFonts w:hint="eastAsia" w:ascii="仿宋_GB2312" w:hAnsi="华文仿宋" w:eastAsia="仿宋_GB2312" w:cs="华文仿宋"/>
          <w:szCs w:val="32"/>
        </w:rPr>
        <w:tab/>
      </w:r>
    </w:p>
    <w:p>
      <w:pPr>
        <w:spacing w:line="560" w:lineRule="exact"/>
        <w:ind w:firstLine="640" w:firstLineChars="200"/>
        <w:rPr>
          <w:rFonts w:ascii="黑体" w:hAnsi="华文仿宋" w:eastAsia="黑体" w:cs="华文仿宋"/>
          <w:szCs w:val="32"/>
        </w:rPr>
      </w:pPr>
      <w:r>
        <w:rPr>
          <w:rFonts w:hint="eastAsia" w:ascii="黑体" w:hAnsi="黑体" w:eastAsia="黑体" w:cs="黑体"/>
          <w:szCs w:val="32"/>
        </w:rPr>
        <w:t>四、2017年度部门工作完成情况</w:t>
      </w:r>
    </w:p>
    <w:p>
      <w:pPr>
        <w:adjustRightInd w:val="0"/>
        <w:spacing w:line="560" w:lineRule="exact"/>
        <w:ind w:firstLine="640" w:firstLineChars="200"/>
        <w:rPr>
          <w:rFonts w:ascii="楷体_GB2312" w:hAnsi="仿宋" w:eastAsia="楷体_GB2312" w:cs="仿宋"/>
          <w:szCs w:val="32"/>
        </w:rPr>
      </w:pPr>
      <w:r>
        <w:rPr>
          <w:rFonts w:hint="eastAsia" w:ascii="楷体_GB2312" w:hAnsi="楷体" w:eastAsia="楷体_GB2312" w:cs="楷体"/>
          <w:bCs/>
          <w:szCs w:val="32"/>
        </w:rPr>
        <w:t>（一）广泛开展法治宣传，切实推进法治阎良建设</w:t>
      </w:r>
    </w:p>
    <w:p>
      <w:pPr>
        <w:spacing w:line="560" w:lineRule="exact"/>
        <w:ind w:firstLine="643" w:firstLineChars="200"/>
        <w:rPr>
          <w:rFonts w:ascii="仿宋_GB2312" w:hAnsi="仿宋" w:eastAsia="仿宋_GB2312" w:cs="仿宋"/>
          <w:szCs w:val="32"/>
        </w:rPr>
      </w:pPr>
      <w:r>
        <w:rPr>
          <w:rFonts w:hint="eastAsia" w:ascii="仿宋_GB2312" w:hAnsi="仿宋" w:eastAsia="仿宋_GB2312" w:cs="仿宋"/>
          <w:b/>
          <w:bCs/>
          <w:szCs w:val="32"/>
        </w:rPr>
        <w:t>1.发挥普法依法治区工作领导小组办公室作用。</w:t>
      </w:r>
      <w:r>
        <w:rPr>
          <w:rFonts w:hint="eastAsia" w:ascii="仿宋_GB2312" w:hAnsi="仿宋" w:eastAsia="仿宋_GB2312" w:cs="仿宋"/>
          <w:szCs w:val="32"/>
        </w:rPr>
        <w:t>推进“七五”普法规划的实施，制定下发2017年普法依法治理工作要点</w:t>
      </w:r>
      <w:r>
        <w:rPr>
          <w:rFonts w:hint="eastAsia" w:ascii="仿宋_GB2312" w:hAnsi="仿宋" w:eastAsia="仿宋_GB2312" w:cs="仿宋"/>
          <w:snapToGrid w:val="0"/>
          <w:spacing w:val="-20"/>
          <w:kern w:val="0"/>
          <w:szCs w:val="32"/>
        </w:rPr>
        <w:t>，明确全区各部门的工作职责和工作重点，并加强协调督促检查，</w:t>
      </w:r>
      <w:r>
        <w:rPr>
          <w:rFonts w:hint="eastAsia" w:ascii="仿宋_GB2312" w:hAnsi="仿宋" w:eastAsia="仿宋_GB2312" w:cs="仿宋"/>
          <w:szCs w:val="32"/>
        </w:rPr>
        <w:t>组织开展“谁执法,谁普法”活动113场,专项治理22场次,以案释法法治讲座225场，积极开展法治文化阵地建设，创建村（社区）法治文化建设示范点8个;申报全国民主法治示范村1个,1人荣获陕西“海普睿诚杯”十大普法模范提名奖。</w:t>
      </w:r>
    </w:p>
    <w:p>
      <w:pPr>
        <w:spacing w:line="560" w:lineRule="exact"/>
        <w:ind w:firstLine="643" w:firstLineChars="200"/>
        <w:rPr>
          <w:rFonts w:ascii="仿宋_GB2312" w:hAnsi="仿宋" w:eastAsia="仿宋_GB2312" w:cs="仿宋"/>
          <w:szCs w:val="32"/>
        </w:rPr>
      </w:pPr>
      <w:r>
        <w:rPr>
          <w:rFonts w:hint="eastAsia" w:ascii="仿宋_GB2312" w:hAnsi="仿宋" w:eastAsia="仿宋_GB2312" w:cs="仿宋"/>
          <w:b/>
          <w:bCs/>
          <w:szCs w:val="32"/>
        </w:rPr>
        <w:t>2.积极开展“法律六进”。</w:t>
      </w:r>
      <w:r>
        <w:rPr>
          <w:rFonts w:hint="eastAsia" w:ascii="仿宋_GB2312" w:hAnsi="仿宋" w:eastAsia="仿宋_GB2312" w:cs="仿宋"/>
          <w:szCs w:val="32"/>
        </w:rPr>
        <w:t>分别在胜利街等社区等开展社区居民法律大讲堂共计59场；结合新学期开学,在全区中小学开展内容丰富的法治安全教育第一课活动，举行主题升国旗仪式36场，模拟法庭25场。开展“‘七五’普法进企业，助力品质西安促和谐”行动,共举办法律培训9场，法律进企业宣传11场次；组织法律志愿者在胜利街、福美社区开展法律进社区宣传咨询服务活动，在关山镇组织开展三下乡志愿服务活动共计101场次、组织开展法治文艺演出12场次。</w:t>
      </w:r>
    </w:p>
    <w:p>
      <w:pPr>
        <w:spacing w:line="560" w:lineRule="exact"/>
        <w:ind w:firstLine="563" w:firstLineChars="200"/>
        <w:rPr>
          <w:rFonts w:ascii="仿宋_GB2312" w:hAnsi="仿宋" w:eastAsia="仿宋_GB2312" w:cs="仿宋"/>
          <w:kern w:val="0"/>
          <w:szCs w:val="32"/>
        </w:rPr>
      </w:pPr>
      <w:r>
        <w:rPr>
          <w:rFonts w:hint="eastAsia" w:ascii="仿宋_GB2312" w:hAnsi="仿宋" w:eastAsia="仿宋_GB2312" w:cs="仿宋"/>
          <w:b/>
          <w:bCs/>
          <w:snapToGrid w:val="0"/>
          <w:spacing w:val="-20"/>
          <w:kern w:val="0"/>
          <w:szCs w:val="32"/>
        </w:rPr>
        <w:t>3.全方位开展法治宣传。</w:t>
      </w:r>
      <w:r>
        <w:rPr>
          <w:rFonts w:hint="eastAsia" w:ascii="仿宋_GB2312" w:hAnsi="仿宋" w:eastAsia="仿宋_GB2312" w:cs="仿宋"/>
          <w:szCs w:val="32"/>
        </w:rPr>
        <w:t>围绕区委区政府中心工作，强化城市治理、安全生产、环境保护等重点领域依法治理，开展科技之春宣传月及治污减霾法律法规宣传，开展一月一主题法制宣传16次，为经济社会发展营造良好的法治氛围；充分发挥法制日报手机报法治阎良专刊、法治阎良腾讯微博、法治阎良新浪微博通过“互联网+法制宣传”的形式开展法律法规宣传，今年共编发手机报48期，在市级宣传媒体共发表141篇，其中市级以上51篇，西安普法网58篇，市级传统媒体32篇；围绕两会及热点焦点问题开展网评工作，撰写网评文章17篇,发布微博、微信3858条。10月底组织全区领导干部进行无纸化考试，共有55个单位，2278人参加了考试。与西安市电视台合作拍摄法制栏目剧4部，以法制短剧的形式宣传法律法规，教育群众要自觉遵守法律法规，遇事找法律援助。</w:t>
      </w:r>
      <w:r>
        <w:rPr>
          <w:rFonts w:hint="eastAsia" w:ascii="仿宋_GB2312" w:hAnsi="仿宋" w:eastAsia="仿宋_GB2312" w:cs="仿宋"/>
          <w:kern w:val="0"/>
          <w:szCs w:val="32"/>
        </w:rPr>
        <w:t xml:space="preserve">                                                </w:t>
      </w:r>
    </w:p>
    <w:p>
      <w:pPr>
        <w:spacing w:line="560" w:lineRule="exact"/>
        <w:ind w:firstLine="640" w:firstLineChars="200"/>
        <w:rPr>
          <w:rFonts w:ascii="楷体_GB2312" w:hAnsi="仿宋" w:eastAsia="楷体_GB2312" w:cs="仿宋"/>
          <w:kern w:val="0"/>
          <w:szCs w:val="32"/>
        </w:rPr>
      </w:pPr>
      <w:r>
        <w:rPr>
          <w:rFonts w:hint="eastAsia" w:ascii="楷体_GB2312" w:hAnsi="楷体" w:eastAsia="楷体_GB2312" w:cs="楷体"/>
          <w:bCs/>
          <w:kern w:val="0"/>
          <w:szCs w:val="32"/>
        </w:rPr>
        <w:t>（二）夯实维稳基础，为社会发展保驾护航</w:t>
      </w:r>
    </w:p>
    <w:p>
      <w:pPr>
        <w:spacing w:line="560" w:lineRule="exact"/>
        <w:ind w:firstLine="643" w:firstLineChars="200"/>
        <w:rPr>
          <w:rFonts w:ascii="仿宋_GB2312" w:hAnsi="仿宋" w:eastAsia="仿宋_GB2312" w:cs="仿宋"/>
          <w:kern w:val="0"/>
          <w:szCs w:val="32"/>
        </w:rPr>
      </w:pPr>
      <w:r>
        <w:rPr>
          <w:rFonts w:hint="eastAsia" w:ascii="仿宋_GB2312" w:hAnsi="仿宋" w:eastAsia="仿宋_GB2312" w:cs="仿宋"/>
          <w:b/>
          <w:bCs/>
          <w:kern w:val="0"/>
          <w:szCs w:val="32"/>
        </w:rPr>
        <w:t>1.抓纠纷化解，创星级阵地，人民调解工作实现再提升。</w:t>
      </w:r>
      <w:r>
        <w:rPr>
          <w:rFonts w:hint="eastAsia" w:ascii="仿宋_GB2312" w:hAnsi="仿宋" w:eastAsia="仿宋_GB2312" w:cs="仿宋"/>
          <w:kern w:val="0"/>
          <w:szCs w:val="32"/>
        </w:rPr>
        <w:t>一是扎实开展“百日矛盾纠纷大排查大化解”活动，为十九大胜利召开营造和谐氛围，全年共排查各类民间纠纷1471件，成功调处1426件，成功率97%，涉及金额464.96万元。二是 “星级人民调解委员会”创建工作取得实效。指导基层调解组织创建三星级以上调委会51个，受到市局的高度肯定。</w:t>
      </w:r>
      <w:r>
        <w:rPr>
          <w:rFonts w:hint="eastAsia" w:ascii="仿宋_GB2312" w:hAnsi="仿宋" w:eastAsia="仿宋_GB2312" w:cs="仿宋"/>
          <w:szCs w:val="32"/>
        </w:rPr>
        <w:t>12月份，市局组织全市基层科长、司法所长220余人来我区交流学习“星级调委会”创建工作。</w:t>
      </w:r>
      <w:r>
        <w:rPr>
          <w:rFonts w:hint="eastAsia" w:ascii="仿宋_GB2312" w:hAnsi="仿宋" w:eastAsia="仿宋_GB2312" w:cs="仿宋"/>
          <w:kern w:val="0"/>
          <w:szCs w:val="32"/>
        </w:rPr>
        <w:t>三是及时启动人民调解宣传周活动。利用电视台、微信公众号、宣传板、LED显示屏等大力宣传新出台的《陕西省人民调解员管理服务办法》，活动期间发放各类宣传册、彩页2000余份、人民调解宣传纸杯10000多个，有效的提升人民调解工作的影响力。四是落实《陕西省人民调解员管理服务办法》，及时研究出台《阎良区司法局关于进一步规范人民调解卷宗管理和案件补贴发放标准的通知》，提升案件补贴标准，调动调解员的工作热情。</w:t>
      </w:r>
    </w:p>
    <w:p>
      <w:pPr>
        <w:spacing w:line="560" w:lineRule="exact"/>
        <w:ind w:firstLine="643" w:firstLineChars="200"/>
        <w:rPr>
          <w:rFonts w:ascii="仿宋_GB2312" w:hAnsi="仿宋" w:eastAsia="仿宋_GB2312" w:cs="仿宋"/>
          <w:szCs w:val="32"/>
        </w:rPr>
      </w:pPr>
      <w:r>
        <w:rPr>
          <w:rFonts w:hint="eastAsia" w:ascii="仿宋_GB2312" w:hAnsi="仿宋" w:eastAsia="仿宋_GB2312" w:cs="仿宋"/>
          <w:b/>
          <w:bCs/>
          <w:kern w:val="0"/>
          <w:szCs w:val="32"/>
        </w:rPr>
        <w:t>2.抓矫正监督，促执法规范，矫正工作持续推进。一是</w:t>
      </w:r>
      <w:r>
        <w:rPr>
          <w:rFonts w:hint="eastAsia" w:ascii="仿宋_GB2312" w:hAnsi="仿宋" w:eastAsia="仿宋_GB2312" w:cs="仿宋"/>
          <w:kern w:val="0"/>
          <w:szCs w:val="32"/>
        </w:rPr>
        <w:t>依法开展审前评估。今年共开展社区矫正审前评估103件，其中涉及刑事速裁评估39件，认罪认罚6件。</w:t>
      </w:r>
      <w:r>
        <w:rPr>
          <w:rFonts w:hint="eastAsia" w:ascii="仿宋_GB2312" w:hAnsi="仿宋" w:eastAsia="仿宋_GB2312" w:cs="仿宋"/>
          <w:b/>
          <w:bCs/>
          <w:kern w:val="0"/>
          <w:szCs w:val="32"/>
        </w:rPr>
        <w:t>二是</w:t>
      </w:r>
      <w:r>
        <w:rPr>
          <w:rFonts w:hint="eastAsia" w:ascii="仿宋_GB2312" w:hAnsi="仿宋" w:eastAsia="仿宋_GB2312" w:cs="仿宋"/>
          <w:kern w:val="0"/>
          <w:szCs w:val="32"/>
        </w:rPr>
        <w:t>严格矫正执法行为。联合检察院定期开展社区矫正执法督导，规范社区矫正各个执法环节。全年共提请撤销缓刑1人，佩戴北斗电子腕表定位3人，警告19人次，强化服刑人员在刑意识。</w:t>
      </w:r>
      <w:r>
        <w:rPr>
          <w:rFonts w:hint="eastAsia" w:ascii="仿宋_GB2312" w:hAnsi="仿宋" w:eastAsia="仿宋_GB2312" w:cs="仿宋"/>
          <w:b/>
          <w:bCs/>
          <w:kern w:val="0"/>
          <w:szCs w:val="32"/>
        </w:rPr>
        <w:t>三是</w:t>
      </w:r>
      <w:r>
        <w:rPr>
          <w:rFonts w:hint="eastAsia" w:ascii="仿宋_GB2312" w:hAnsi="仿宋" w:eastAsia="仿宋_GB2312" w:cs="仿宋"/>
          <w:kern w:val="0"/>
          <w:szCs w:val="32"/>
        </w:rPr>
        <w:t>全面实施信息监控。共监管矫正人员180人，监控率100%，确保及时掌握矫正人员行动踪迹，无脱管漏管人员。</w:t>
      </w:r>
      <w:r>
        <w:rPr>
          <w:rFonts w:hint="eastAsia" w:ascii="仿宋_GB2312" w:hAnsi="仿宋" w:eastAsia="仿宋_GB2312" w:cs="仿宋"/>
          <w:b/>
          <w:bCs/>
          <w:kern w:val="0"/>
          <w:szCs w:val="32"/>
        </w:rPr>
        <w:t>四是</w:t>
      </w:r>
      <w:r>
        <w:rPr>
          <w:rFonts w:hint="eastAsia" w:ascii="仿宋_GB2312" w:hAnsi="仿宋" w:eastAsia="仿宋_GB2312" w:cs="仿宋"/>
          <w:kern w:val="0"/>
          <w:szCs w:val="32"/>
        </w:rPr>
        <w:t>强化矫正教育。</w:t>
      </w:r>
      <w:r>
        <w:rPr>
          <w:rFonts w:hint="eastAsia" w:ascii="仿宋_GB2312" w:hAnsi="仿宋" w:eastAsia="仿宋_GB2312" w:cs="仿宋"/>
          <w:spacing w:val="-2"/>
          <w:szCs w:val="32"/>
        </w:rPr>
        <w:t>坚持警示教育、法治教育、心理教育及“日行一善、以善养德”等主题教育相结合</w:t>
      </w:r>
      <w:r>
        <w:rPr>
          <w:rFonts w:hint="eastAsia" w:ascii="仿宋_GB2312" w:hAnsi="仿宋" w:eastAsia="仿宋_GB2312" w:cs="仿宋"/>
          <w:kern w:val="0"/>
          <w:szCs w:val="32"/>
        </w:rPr>
        <w:t>，全年工作开展集中教育1411人次。</w:t>
      </w:r>
      <w:r>
        <w:rPr>
          <w:rFonts w:hint="eastAsia" w:ascii="仿宋_GB2312" w:hAnsi="仿宋" w:eastAsia="仿宋_GB2312" w:cs="仿宋"/>
          <w:b/>
          <w:bCs/>
          <w:kern w:val="0"/>
          <w:szCs w:val="32"/>
        </w:rPr>
        <w:t>五是</w:t>
      </w:r>
      <w:r>
        <w:rPr>
          <w:rFonts w:hint="eastAsia" w:ascii="仿宋_GB2312" w:hAnsi="仿宋" w:eastAsia="仿宋_GB2312" w:cs="仿宋"/>
          <w:kern w:val="0"/>
          <w:szCs w:val="32"/>
        </w:rPr>
        <w:t>规范社区矫正执法卷宗。加强对矫正工作人员培训，规范社区矫正执法卷宗归档，并在全市的案卷集中评查活动中，获得全市第一的好成绩。</w:t>
      </w:r>
    </w:p>
    <w:p>
      <w:pPr>
        <w:spacing w:line="560" w:lineRule="exact"/>
        <w:ind w:firstLine="645"/>
        <w:rPr>
          <w:rFonts w:ascii="仿宋_GB2312" w:hAnsi="仿宋" w:eastAsia="仿宋_GB2312" w:cs="仿宋"/>
          <w:szCs w:val="32"/>
        </w:rPr>
      </w:pPr>
      <w:r>
        <w:rPr>
          <w:rFonts w:hint="eastAsia" w:ascii="仿宋_GB2312" w:hAnsi="仿宋" w:eastAsia="仿宋_GB2312" w:cs="仿宋"/>
          <w:b/>
          <w:bCs/>
          <w:szCs w:val="32"/>
        </w:rPr>
        <w:t>3.抓安置帮教，做好衔接帮扶。</w:t>
      </w:r>
      <w:r>
        <w:rPr>
          <w:rFonts w:hint="eastAsia" w:ascii="仿宋_GB2312" w:hAnsi="仿宋" w:eastAsia="仿宋_GB2312" w:cs="仿宋"/>
          <w:szCs w:val="32"/>
        </w:rPr>
        <w:t>加大对特殊人群</w:t>
      </w:r>
      <w:r>
        <w:rPr>
          <w:rFonts w:hint="eastAsia" w:ascii="仿宋_GB2312" w:hAnsi="仿宋" w:eastAsia="仿宋_GB2312" w:cs="仿宋"/>
          <w:szCs w:val="32"/>
          <w:shd w:val="clear" w:color="auto" w:fill="FFFFFF"/>
        </w:rPr>
        <w:t>暖情帮扶，春节前</w:t>
      </w:r>
      <w:r>
        <w:rPr>
          <w:rFonts w:hint="eastAsia" w:ascii="仿宋_GB2312" w:hAnsi="仿宋" w:eastAsia="仿宋_GB2312" w:cs="仿宋"/>
          <w:kern w:val="0"/>
          <w:szCs w:val="32"/>
        </w:rPr>
        <w:t>走访慰问家庭贫困的社区矫正和安置帮教人员，</w:t>
      </w:r>
      <w:r>
        <w:rPr>
          <w:rFonts w:hint="eastAsia" w:ascii="仿宋_GB2312" w:hAnsi="仿宋" w:eastAsia="仿宋_GB2312" w:cs="仿宋"/>
          <w:szCs w:val="32"/>
        </w:rPr>
        <w:t>开展帮教“双延伸”，共排查帮扶安置帮教人员的未成年子女30人，帮扶率78%。规范对未衔接人员的协查途径，对新排查出未衔接人员23人，向公安部门发了协查函。做好高危重点刑满释放人员重点时期排查摸底工作，确保安全稳定。截</w:t>
      </w:r>
      <w:r>
        <w:rPr>
          <w:rFonts w:hint="eastAsia" w:ascii="仿宋_GB2312" w:hAnsi="仿宋" w:eastAsia="仿宋_GB2312" w:cs="仿宋"/>
          <w:szCs w:val="32"/>
          <w:lang w:val="en-US" w:eastAsia="zh-CN"/>
        </w:rPr>
        <w:t>至</w:t>
      </w:r>
      <w:r>
        <w:rPr>
          <w:rFonts w:hint="eastAsia" w:ascii="仿宋_GB2312" w:hAnsi="仿宋" w:eastAsia="仿宋_GB2312" w:cs="仿宋"/>
          <w:szCs w:val="32"/>
        </w:rPr>
        <w:t>目前在库人数265人，衔接242人，落实帮教措施242人，帮教率100%，安置率91%。</w:t>
      </w:r>
    </w:p>
    <w:p>
      <w:pPr>
        <w:spacing w:line="560" w:lineRule="exact"/>
        <w:ind w:firstLine="645"/>
        <w:rPr>
          <w:rFonts w:ascii="楷体_GB2312" w:hAnsi="楷体" w:eastAsia="楷体_GB2312" w:cs="楷体"/>
          <w:bCs/>
          <w:kern w:val="0"/>
          <w:szCs w:val="32"/>
        </w:rPr>
      </w:pPr>
      <w:r>
        <w:rPr>
          <w:rFonts w:hint="eastAsia" w:ascii="楷体_GB2312" w:hAnsi="楷体" w:eastAsia="楷体_GB2312" w:cs="楷体"/>
          <w:bCs/>
          <w:kern w:val="0"/>
          <w:szCs w:val="32"/>
        </w:rPr>
        <w:t>（三）突出法律服务功能，积极服务我区经济发展</w:t>
      </w:r>
    </w:p>
    <w:p>
      <w:pPr>
        <w:spacing w:line="560" w:lineRule="exact"/>
        <w:ind w:firstLine="643" w:firstLineChars="200"/>
        <w:rPr>
          <w:rFonts w:ascii="仿宋_GB2312" w:hAnsi="仿宋" w:eastAsia="仿宋_GB2312" w:cs="仿宋"/>
          <w:szCs w:val="32"/>
        </w:rPr>
      </w:pPr>
      <w:r>
        <w:rPr>
          <w:rFonts w:hint="eastAsia" w:ascii="仿宋_GB2312" w:hAnsi="仿宋" w:eastAsia="仿宋_GB2312" w:cs="仿宋"/>
          <w:b/>
          <w:bCs/>
          <w:szCs w:val="32"/>
        </w:rPr>
        <w:t>1.发挥法律服务队伍的专业优势，服务经济社会发展。</w:t>
      </w:r>
      <w:bookmarkStart w:id="0" w:name="OLE_LINK5"/>
      <w:r>
        <w:rPr>
          <w:rFonts w:hint="eastAsia" w:ascii="仿宋_GB2312" w:hAnsi="仿宋" w:eastAsia="仿宋_GB2312" w:cs="仿宋"/>
          <w:szCs w:val="32"/>
        </w:rPr>
        <w:t>一是发挥法律服务服务重点工作职能，先后3次为大运工程建设三贤拆迁安置提供公证涉及居民85户，涉及房屋一百余套，为拆迁工作提供服务保障；二是发挥律师职能作用，参与社区调解和信访工作，通过诉讼加调解妥善处理了城东热力公司与小区业主的供暖纠纷问题；三是发挥政府法律顾问作用，先后参与了区政府与建筑一局战略合作框架协议书、三四期棚户改造项目、区政府与鑫能环境科技股份有限公司合作协议等九个政府项目的审查</w:t>
      </w:r>
      <w:bookmarkEnd w:id="0"/>
      <w:r>
        <w:rPr>
          <w:rFonts w:hint="eastAsia" w:ascii="仿宋_GB2312" w:hAnsi="仿宋" w:eastAsia="仿宋_GB2312" w:cs="仿宋"/>
          <w:szCs w:val="32"/>
        </w:rPr>
        <w:t>。截</w:t>
      </w:r>
      <w:r>
        <w:rPr>
          <w:rFonts w:hint="eastAsia" w:ascii="仿宋_GB2312" w:hAnsi="仿宋" w:eastAsia="仿宋_GB2312" w:cs="仿宋"/>
          <w:szCs w:val="32"/>
          <w:lang w:val="en-US" w:eastAsia="zh-CN"/>
        </w:rPr>
        <w:t>至</w:t>
      </w:r>
      <w:r>
        <w:rPr>
          <w:rFonts w:hint="eastAsia" w:ascii="仿宋_GB2312" w:hAnsi="仿宋" w:eastAsia="仿宋_GB2312" w:cs="仿宋"/>
          <w:szCs w:val="32"/>
        </w:rPr>
        <w:t>目前，全区法律服务行业共办理民事诉讼 244件、刑事辩护47件，行政诉讼11件，代理案件560件，提供咨询7046多件，公证行业办理公证792件。</w:t>
      </w:r>
    </w:p>
    <w:p>
      <w:pPr>
        <w:spacing w:line="560" w:lineRule="exact"/>
        <w:ind w:firstLine="643" w:firstLineChars="200"/>
        <w:rPr>
          <w:rFonts w:ascii="仿宋_GB2312" w:hAnsi="仿宋" w:eastAsia="仿宋_GB2312" w:cs="仿宋"/>
          <w:szCs w:val="32"/>
        </w:rPr>
      </w:pPr>
      <w:r>
        <w:rPr>
          <w:rFonts w:hint="eastAsia" w:ascii="仿宋_GB2312" w:hAnsi="仿宋" w:eastAsia="仿宋_GB2312" w:cs="仿宋"/>
          <w:b/>
          <w:bCs/>
          <w:szCs w:val="32"/>
        </w:rPr>
        <w:t>2.建设公共法律服务三级网络，为实现全社会法律服务均等化搭建基础。一是</w:t>
      </w:r>
      <w:r>
        <w:rPr>
          <w:rFonts w:hint="eastAsia" w:ascii="仿宋_GB2312" w:hAnsi="仿宋" w:eastAsia="仿宋_GB2312" w:cs="仿宋"/>
          <w:szCs w:val="32"/>
        </w:rPr>
        <w:t>做好公共法律服务中心管理工作，打造司法行政机关服务名片，截</w:t>
      </w:r>
      <w:r>
        <w:rPr>
          <w:rFonts w:hint="eastAsia" w:ascii="仿宋_GB2312" w:hAnsi="仿宋" w:eastAsia="仿宋_GB2312" w:cs="仿宋"/>
          <w:szCs w:val="32"/>
          <w:lang w:val="en-US" w:eastAsia="zh-CN"/>
        </w:rPr>
        <w:t>至</w:t>
      </w:r>
      <w:r>
        <w:rPr>
          <w:rFonts w:hint="eastAsia" w:ascii="仿宋_GB2312" w:hAnsi="仿宋" w:eastAsia="仿宋_GB2312" w:cs="仿宋"/>
          <w:szCs w:val="32"/>
        </w:rPr>
        <w:t>目前，为群众提供咨询3089</w:t>
      </w:r>
      <w:bookmarkStart w:id="1" w:name="_GoBack"/>
      <w:bookmarkEnd w:id="1"/>
      <w:r>
        <w:rPr>
          <w:rFonts w:hint="eastAsia" w:ascii="仿宋_GB2312" w:hAnsi="仿宋" w:eastAsia="仿宋_GB2312" w:cs="仿宋"/>
          <w:szCs w:val="32"/>
        </w:rPr>
        <w:t>件，受理2432件，及时回访，群众对中心窗口服务满意率达90%，被群众称为“维权的好帮手”。</w:t>
      </w:r>
      <w:r>
        <w:rPr>
          <w:rFonts w:hint="eastAsia" w:ascii="仿宋_GB2312" w:hAnsi="仿宋" w:eastAsia="仿宋_GB2312" w:cs="仿宋"/>
          <w:b/>
          <w:bCs/>
          <w:szCs w:val="32"/>
        </w:rPr>
        <w:t>二是</w:t>
      </w:r>
      <w:r>
        <w:rPr>
          <w:rFonts w:hint="eastAsia" w:ascii="仿宋_GB2312" w:hAnsi="仿宋" w:eastAsia="仿宋_GB2312" w:cs="仿宋"/>
          <w:szCs w:val="32"/>
        </w:rPr>
        <w:t>发挥镇街公共法律服务工作站和社区（村）公共法律服务工作室作用，提升行政效能，三级公共法律服务组织共向群众提供咨询3718件，受理总件数2634件，咨询总人数18000余人，宣传159场次，发放法律资料23000余本，受教育人数24000余人。</w:t>
      </w:r>
    </w:p>
    <w:p>
      <w:pPr>
        <w:pStyle w:val="2"/>
        <w:shd w:val="clear" w:color="auto" w:fill="FFFFFF"/>
        <w:spacing w:before="0" w:beforeAutospacing="0" w:after="0" w:afterAutospacing="0" w:line="560" w:lineRule="exact"/>
        <w:jc w:val="both"/>
        <w:rPr>
          <w:rFonts w:ascii="仿宋_GB2312" w:hAnsi="仿宋" w:eastAsia="仿宋_GB2312" w:cs="仿宋"/>
          <w:b w:val="0"/>
          <w:bCs w:val="0"/>
          <w:kern w:val="2"/>
          <w:sz w:val="32"/>
          <w:szCs w:val="32"/>
        </w:rPr>
      </w:pPr>
      <w:r>
        <w:rPr>
          <w:rFonts w:hint="eastAsia" w:ascii="仿宋_GB2312" w:hAnsi="仿宋" w:eastAsia="仿宋_GB2312" w:cs="仿宋"/>
          <w:b w:val="0"/>
          <w:bCs w:val="0"/>
          <w:kern w:val="2"/>
          <w:sz w:val="32"/>
          <w:szCs w:val="32"/>
        </w:rPr>
        <w:t xml:space="preserve">    </w:t>
      </w:r>
      <w:r>
        <w:rPr>
          <w:rFonts w:hint="eastAsia" w:ascii="仿宋_GB2312" w:hAnsi="仿宋" w:eastAsia="仿宋_GB2312" w:cs="仿宋"/>
          <w:kern w:val="2"/>
          <w:sz w:val="32"/>
          <w:szCs w:val="32"/>
        </w:rPr>
        <w:t>3.加强执业纪律教育，强化法律服务行业监管。</w:t>
      </w:r>
      <w:r>
        <w:rPr>
          <w:rFonts w:hint="eastAsia" w:ascii="仿宋_GB2312" w:hAnsi="仿宋" w:eastAsia="仿宋_GB2312" w:cs="仿宋"/>
          <w:b w:val="0"/>
          <w:bCs w:val="0"/>
          <w:kern w:val="2"/>
          <w:sz w:val="32"/>
          <w:szCs w:val="32"/>
        </w:rPr>
        <w:t>开展法律服务行业自主监管工作，发文并召集公证律师法律服务工作者召开推进会专项部署，在两节一会前对全区法律服务单位逐一检查走访，稳控社会矛盾。</w:t>
      </w:r>
    </w:p>
    <w:p>
      <w:pPr>
        <w:pStyle w:val="2"/>
        <w:shd w:val="clear" w:color="auto" w:fill="FFFFFF"/>
        <w:spacing w:before="0" w:beforeAutospacing="0" w:after="0" w:afterAutospacing="0" w:line="560" w:lineRule="exact"/>
        <w:ind w:firstLine="643" w:firstLineChars="200"/>
        <w:jc w:val="both"/>
        <w:rPr>
          <w:rFonts w:ascii="仿宋_GB2312" w:hAnsi="仿宋" w:eastAsia="仿宋_GB2312" w:cs="仿宋"/>
          <w:b w:val="0"/>
          <w:bCs w:val="0"/>
          <w:sz w:val="32"/>
          <w:szCs w:val="32"/>
        </w:rPr>
      </w:pPr>
      <w:r>
        <w:rPr>
          <w:rFonts w:hint="eastAsia" w:ascii="仿宋_GB2312" w:hAnsi="仿宋" w:eastAsia="仿宋_GB2312" w:cs="仿宋"/>
          <w:sz w:val="32"/>
          <w:szCs w:val="32"/>
        </w:rPr>
        <w:t>4.加强公证体制改革。</w:t>
      </w:r>
      <w:r>
        <w:rPr>
          <w:rFonts w:hint="eastAsia" w:ascii="仿宋_GB2312" w:hAnsi="仿宋" w:eastAsia="仿宋_GB2312" w:cs="仿宋"/>
          <w:b w:val="0"/>
          <w:bCs w:val="0"/>
          <w:sz w:val="32"/>
          <w:szCs w:val="32"/>
        </w:rPr>
        <w:t>年初分管领导赴南方学习先进经验，多次召开公证工作会议，并反复征求公证员意见，九月拿出公证体制改革方案与编办、财政等部门沟通，并向分管区长汇报工作，争取支持。目前，我们已经确立我区公证处为事业单位，公证事业体制改革任务全面完成。</w:t>
      </w:r>
    </w:p>
    <w:p>
      <w:pPr>
        <w:spacing w:line="560" w:lineRule="exact"/>
        <w:ind w:firstLine="643" w:firstLineChars="200"/>
        <w:rPr>
          <w:rFonts w:ascii="仿宋_GB2312" w:hAnsi="仿宋" w:eastAsia="仿宋_GB2312" w:cs="仿宋"/>
          <w:szCs w:val="32"/>
        </w:rPr>
      </w:pPr>
      <w:r>
        <w:rPr>
          <w:rFonts w:hint="eastAsia" w:ascii="仿宋_GB2312" w:hAnsi="仿宋" w:eastAsia="仿宋_GB2312" w:cs="仿宋"/>
          <w:b/>
          <w:bCs/>
          <w:szCs w:val="32"/>
        </w:rPr>
        <w:t>5.全面推进法律顾问制度建设。</w:t>
      </w:r>
      <w:r>
        <w:rPr>
          <w:rFonts w:hint="eastAsia" w:ascii="仿宋_GB2312" w:hAnsi="仿宋" w:eastAsia="仿宋_GB2312" w:cs="仿宋"/>
          <w:kern w:val="0"/>
          <w:szCs w:val="32"/>
        </w:rPr>
        <w:t>认真落实阎政办关于《阎良区普遍建立法律顾问制度的意见》，</w:t>
      </w:r>
      <w:r>
        <w:rPr>
          <w:rFonts w:hint="eastAsia" w:ascii="仿宋_GB2312" w:hAnsi="仿宋" w:eastAsia="仿宋_GB2312" w:cs="仿宋"/>
          <w:szCs w:val="32"/>
        </w:rPr>
        <w:t>积极推进各政府机关、企事业单位全面落实建立法律顾问制度，全区机关部门实现法律顾问全覆盖，39个事企业聘请了法律顾问，并给103个村、社区指派了法律顾问。</w:t>
      </w:r>
    </w:p>
    <w:p>
      <w:pPr>
        <w:spacing w:line="560" w:lineRule="exact"/>
        <w:ind w:firstLine="643" w:firstLineChars="200"/>
        <w:rPr>
          <w:rFonts w:ascii="仿宋_GB2312" w:hAnsi="仿宋" w:eastAsia="仿宋_GB2312" w:cs="仿宋"/>
          <w:b/>
          <w:bCs/>
          <w:szCs w:val="32"/>
        </w:rPr>
      </w:pPr>
      <w:r>
        <w:rPr>
          <w:rFonts w:hint="eastAsia" w:ascii="仿宋_GB2312" w:hAnsi="仿宋" w:eastAsia="仿宋_GB2312" w:cs="仿宋"/>
          <w:b/>
          <w:bCs/>
          <w:kern w:val="0"/>
          <w:szCs w:val="32"/>
        </w:rPr>
        <w:t>6.不断扩展法律援助范围，努力维护社会公平正义。一是</w:t>
      </w:r>
      <w:r>
        <w:rPr>
          <w:rFonts w:hint="eastAsia" w:ascii="仿宋_GB2312" w:hAnsi="仿宋" w:eastAsia="仿宋_GB2312" w:cs="仿宋"/>
          <w:szCs w:val="32"/>
        </w:rPr>
        <w:t>扎实推行“六心、十不准”办案承诺制，打造“五星级”示范服务窗口，主动承担政府中心工作，介入农民工讨薪、信访维稳等工作，共承办群体性农民工法律援助案件30期，涉及农民工340人次。</w:t>
      </w:r>
      <w:r>
        <w:rPr>
          <w:rFonts w:hint="eastAsia" w:ascii="仿宋_GB2312" w:hAnsi="仿宋" w:eastAsia="仿宋_GB2312" w:cs="仿宋"/>
          <w:b/>
          <w:bCs/>
          <w:szCs w:val="32"/>
        </w:rPr>
        <w:t>二是</w:t>
      </w:r>
      <w:r>
        <w:rPr>
          <w:rFonts w:hint="eastAsia" w:ascii="仿宋_GB2312" w:hAnsi="仿宋" w:eastAsia="仿宋_GB2312" w:cs="仿宋"/>
          <w:szCs w:val="32"/>
        </w:rPr>
        <w:t>制作了区法律援助公益广告，利用电视台、户外电子显示屏，政府机关、商场等电视系统滚动播出；利用173辆出租车的“LED”屏，宣传“12348”法律服务热线电话。</w:t>
      </w:r>
      <w:r>
        <w:rPr>
          <w:rFonts w:hint="eastAsia" w:ascii="仿宋_GB2312" w:hAnsi="仿宋" w:eastAsia="仿宋_GB2312" w:cs="仿宋"/>
          <w:b/>
          <w:bCs/>
          <w:szCs w:val="32"/>
        </w:rPr>
        <w:t>三是</w:t>
      </w:r>
      <w:r>
        <w:rPr>
          <w:rFonts w:hint="eastAsia" w:ascii="仿宋_GB2312" w:hAnsi="仿宋" w:eastAsia="仿宋_GB2312" w:cs="仿宋"/>
          <w:szCs w:val="32"/>
        </w:rPr>
        <w:t>组织18个工作站和20余名志愿者在千禧广场开展了“争做五星级服务员 法律援助在行动”宣传服务活动，发放宣传资料5000余份，现场受理案件3件；举办“助推精准扶贫  法律援助在行动”专题培训，各村、社区共110余人参加培训；举办农民工、失业就业人员法律培训15场，培训1000余人；在区政府公众信息网“在线访谈栏目”，在线解答网友咨询；建立集电脑版、手机版、微信版为一体的法律咨询系统。</w:t>
      </w:r>
      <w:r>
        <w:rPr>
          <w:rFonts w:hint="eastAsia" w:ascii="仿宋_GB2312" w:hAnsi="仿宋" w:eastAsia="仿宋_GB2312" w:cs="仿宋"/>
          <w:b/>
          <w:bCs/>
          <w:szCs w:val="32"/>
        </w:rPr>
        <w:t>四是</w:t>
      </w:r>
      <w:r>
        <w:rPr>
          <w:rFonts w:hint="eastAsia" w:ascii="仿宋_GB2312" w:hAnsi="仿宋" w:eastAsia="仿宋_GB2312" w:cs="仿宋"/>
          <w:szCs w:val="32"/>
        </w:rPr>
        <w:t>开展法律援助典型优秀案例评选，评选典型案例10个、优秀案例10个；聘请11位法律援助监督员，出台《阎良区法律援助监督管理办法》，开展每案必查、每案必访、每案必跟服务活动，全年旁听法律援助案件23件，评查法律援助案件80件。</w:t>
      </w:r>
      <w:r>
        <w:rPr>
          <w:rFonts w:hint="eastAsia" w:ascii="仿宋_GB2312" w:hAnsi="仿宋" w:eastAsia="仿宋_GB2312" w:cs="仿宋"/>
          <w:b/>
          <w:bCs/>
          <w:szCs w:val="32"/>
        </w:rPr>
        <w:t>五是</w:t>
      </w:r>
      <w:r>
        <w:rPr>
          <w:rFonts w:hint="eastAsia" w:ascii="仿宋_GB2312" w:hAnsi="仿宋" w:eastAsia="仿宋_GB2312" w:cs="仿宋"/>
          <w:szCs w:val="32"/>
        </w:rPr>
        <w:t>落实法律援助在法援、看守所律师值班制度，严格考勤纪律；努力做好刑事案件速裁工作完成案件82件；全面贯彻能援则援、应援尽援的原则。全年共办理法律援助案件778件，接待群众来电来访咨询3251人次。</w:t>
      </w:r>
      <w:r>
        <w:rPr>
          <w:rFonts w:hint="eastAsia" w:ascii="仿宋_GB2312" w:hAnsi="仿宋" w:eastAsia="仿宋_GB2312" w:cs="仿宋"/>
          <w:b/>
          <w:bCs/>
          <w:szCs w:val="32"/>
        </w:rPr>
        <w:t>区148法律服务所被陕西省司法厅评为法律援助工作先进集体，区法律援助中心被西安市老龄委评为先进单位。</w:t>
      </w:r>
    </w:p>
    <w:p>
      <w:pPr>
        <w:spacing w:line="560" w:lineRule="exact"/>
        <w:ind w:firstLine="640" w:firstLineChars="200"/>
        <w:rPr>
          <w:rFonts w:ascii="楷体_GB2312" w:hAnsi="楷体" w:eastAsia="楷体_GB2312" w:cs="楷体"/>
          <w:bCs/>
          <w:szCs w:val="32"/>
        </w:rPr>
      </w:pPr>
      <w:r>
        <w:rPr>
          <w:rFonts w:hint="eastAsia" w:ascii="楷体_GB2312" w:hAnsi="楷体" w:eastAsia="楷体_GB2312" w:cs="楷体"/>
          <w:bCs/>
          <w:szCs w:val="32"/>
        </w:rPr>
        <w:t>（四</w:t>
      </w:r>
      <w:r>
        <w:rPr>
          <w:rFonts w:hint="eastAsia" w:ascii="楷体_GB2312" w:hAnsi="楷体" w:eastAsia="楷体_GB2312" w:cs="楷体"/>
          <w:bCs/>
          <w:kern w:val="0"/>
          <w:szCs w:val="32"/>
        </w:rPr>
        <w:t>）加强司法行政队伍建设，不断提升人民群众满意度</w:t>
      </w:r>
    </w:p>
    <w:p>
      <w:pPr>
        <w:spacing w:line="560" w:lineRule="exact"/>
        <w:ind w:firstLine="643" w:firstLineChars="200"/>
        <w:rPr>
          <w:rFonts w:ascii="仿宋_GB2312" w:hAnsi="仿宋" w:eastAsia="仿宋_GB2312" w:cs="仿宋"/>
          <w:szCs w:val="32"/>
        </w:rPr>
      </w:pPr>
      <w:r>
        <w:rPr>
          <w:rFonts w:hint="eastAsia" w:ascii="仿宋_GB2312" w:hAnsi="仿宋" w:eastAsia="仿宋_GB2312" w:cs="仿宋"/>
          <w:b/>
          <w:bCs/>
          <w:szCs w:val="32"/>
        </w:rPr>
        <w:t>1.争取上级支持，积极配合上级调研活动。</w:t>
      </w:r>
      <w:r>
        <w:rPr>
          <w:rFonts w:hint="eastAsia" w:ascii="仿宋_GB2312" w:hAnsi="仿宋" w:eastAsia="仿宋_GB2312" w:cs="仿宋"/>
          <w:szCs w:val="32"/>
        </w:rPr>
        <w:t>争取上级中省政法专项资金107.2万元，为推动司法行政工作提供了经费保障。3月，省司法厅副厅长马志强、市司法局副局长刘伯雅等一行6人对阎良区司法行政工作进行督导调研。调研组先后走访了北屯司法所、新华路司法所、李浩村调委会、区司法局新办公楼、区行业性专业性人民调解委员会等站点，马厅长对我区人民调解“2336”工作机制、北屯司法所绘制的矛盾纠纷、重点人员民情地图等主动工作、服务于民的创新做法给予充分肯定。4月，市司法局副局长张兴平一行5人来阎良调研督导社区矫正工作。通过现场查看、翻阅资料、听取汇报等形式，详细了解我区社区矫正工作运行情况。张兴平副局长指出：我区社区矫正工作扎实、成效显著，希望在以后的工作中能一如既往的克服困难，再创佳绩。</w:t>
      </w:r>
    </w:p>
    <w:p>
      <w:pPr>
        <w:shd w:val="clear" w:color="auto" w:fill="FFFFFF"/>
        <w:spacing w:line="560" w:lineRule="exact"/>
        <w:ind w:firstLine="630" w:firstLineChars="196"/>
        <w:rPr>
          <w:rFonts w:ascii="仿宋_GB2312" w:hAnsi="仿宋" w:eastAsia="仿宋_GB2312" w:cs="仿宋"/>
          <w:snapToGrid w:val="0"/>
          <w:szCs w:val="32"/>
        </w:rPr>
      </w:pPr>
      <w:r>
        <w:rPr>
          <w:rFonts w:hint="eastAsia" w:ascii="仿宋_GB2312" w:hAnsi="仿宋" w:eastAsia="仿宋_GB2312" w:cs="仿宋"/>
          <w:b/>
          <w:bCs/>
          <w:snapToGrid w:val="0"/>
          <w:szCs w:val="32"/>
        </w:rPr>
        <w:t>2.司法所规范化建设再上新台阶。</w:t>
      </w:r>
      <w:r>
        <w:rPr>
          <w:rFonts w:hint="eastAsia" w:ascii="仿宋_GB2312" w:hAnsi="仿宋" w:eastAsia="仿宋_GB2312" w:cs="仿宋"/>
          <w:snapToGrid w:val="0"/>
          <w:szCs w:val="32"/>
        </w:rPr>
        <w:t>全面开展“五星级司法所”创建活动，对司法所的标识、标牌、制度、台账等统一规范，所容所貌焕然一新。</w:t>
      </w:r>
    </w:p>
    <w:p>
      <w:pPr>
        <w:shd w:val="clear" w:color="auto" w:fill="FFFFFF"/>
        <w:spacing w:line="560" w:lineRule="exact"/>
        <w:ind w:firstLine="630" w:firstLineChars="196"/>
        <w:rPr>
          <w:rFonts w:ascii="仿宋_GB2312" w:hAnsi="华文仿宋" w:eastAsia="仿宋_GB2312" w:cs="华文仿宋"/>
          <w:szCs w:val="32"/>
        </w:rPr>
      </w:pPr>
      <w:r>
        <w:rPr>
          <w:rFonts w:hint="eastAsia" w:ascii="仿宋_GB2312" w:hAnsi="仿宋" w:eastAsia="仿宋_GB2312" w:cs="仿宋"/>
          <w:b/>
          <w:bCs/>
          <w:snapToGrid w:val="0"/>
          <w:szCs w:val="32"/>
        </w:rPr>
        <w:t>3.</w:t>
      </w:r>
      <w:r>
        <w:rPr>
          <w:rFonts w:hint="eastAsia" w:ascii="仿宋_GB2312" w:hAnsi="仿宋" w:eastAsia="仿宋_GB2312" w:cs="仿宋"/>
          <w:b/>
          <w:bCs/>
          <w:szCs w:val="32"/>
        </w:rPr>
        <w:t>忠诚履行司法行政职责，努力提升司法队伍人民满意度。</w:t>
      </w:r>
      <w:r>
        <w:rPr>
          <w:rFonts w:hint="eastAsia" w:ascii="仿宋_GB2312" w:hAnsi="仿宋" w:eastAsia="仿宋_GB2312" w:cs="仿宋"/>
          <w:szCs w:val="32"/>
        </w:rPr>
        <w:t>通过在集市开展免费法律咨询、进社区开展法制讲座、发放满意度调查表、宣传车走村入户等多种形式，广泛宣传法治阎良及平安阎良建设，努力提升“两率一度”，司法行政队伍满意率位列全市前列。11月市司法局副局长段元生进行了专项督导检查，并对我局开展“一升”工作给予了充分的肯定。</w:t>
      </w:r>
    </w:p>
    <w:p>
      <w:pPr>
        <w:spacing w:line="560" w:lineRule="exact"/>
        <w:ind w:firstLine="640" w:firstLineChars="200"/>
        <w:rPr>
          <w:rFonts w:ascii="黑体" w:hAnsi="华文仿宋" w:eastAsia="黑体" w:cs="华文仿宋"/>
          <w:szCs w:val="32"/>
        </w:rPr>
      </w:pPr>
      <w:r>
        <w:rPr>
          <w:rFonts w:hint="eastAsia" w:ascii="黑体" w:hAnsi="黑体" w:eastAsia="黑体" w:cs="黑体"/>
          <w:szCs w:val="32"/>
        </w:rPr>
        <w:t>五、部门决算收支情况说明</w:t>
      </w:r>
    </w:p>
    <w:p>
      <w:pPr>
        <w:spacing w:line="560" w:lineRule="exact"/>
        <w:ind w:firstLine="640" w:firstLineChars="200"/>
        <w:rPr>
          <w:rFonts w:ascii="楷体_GB2312" w:hAnsi="楷体_GB2312" w:eastAsia="楷体_GB2312" w:cs="楷体_GB2312"/>
          <w:bCs/>
          <w:szCs w:val="32"/>
        </w:rPr>
      </w:pPr>
      <w:r>
        <w:rPr>
          <w:rFonts w:hint="eastAsia" w:ascii="楷体_GB2312" w:hAnsi="楷体_GB2312" w:eastAsia="楷体_GB2312" w:cs="楷体_GB2312"/>
          <w:bCs/>
          <w:szCs w:val="32"/>
        </w:rPr>
        <w:t>（一）2017年度收入支出总体情况说明</w:t>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1.本年度收入支出总体情况</w:t>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（1）2017年度本年收入合计446.79万元，较上年增加115.57 万元，主要原因是工资普调，目标奖增加。</w:t>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（2）2017年度本年支出合计438.11万元，比上年减少2.11万元，主要原因是项目经费减少。</w:t>
      </w:r>
    </w:p>
    <w:p>
      <w:pPr>
        <w:pStyle w:val="5"/>
        <w:numPr>
          <w:ilvl w:val="0"/>
          <w:numId w:val="2"/>
        </w:numPr>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本年收入构成情况（并用图表进行辅助说明）收入构成如下图</w:t>
      </w:r>
    </w:p>
    <w:p>
      <w:pPr>
        <w:pStyle w:val="5"/>
        <w:spacing w:before="0" w:beforeAutospacing="0" w:after="0" w:afterAutospacing="0" w:line="560" w:lineRule="exact"/>
        <w:rPr>
          <w:rFonts w:ascii="仿宋_GB2312" w:hAnsi="华文仿宋" w:eastAsia="仿宋_GB2312" w:cs="华文仿宋"/>
          <w:sz w:val="32"/>
          <w:szCs w:val="32"/>
        </w:rPr>
      </w:pPr>
      <w:r>
        <w:rPr>
          <w:rFonts w:hint="eastAsia" w:ascii="仿宋_GB2312" w:eastAsia="仿宋_GB2312"/>
          <w:sz w:val="32"/>
          <w:szCs w:val="32"/>
        </w:rPr>
        <w:drawing>
          <wp:anchor distT="0" distB="0" distL="114300" distR="114300" simplePos="0" relativeHeight="251660288" behindDoc="0" locked="0" layoutInCell="1" allowOverlap="1">
            <wp:simplePos x="0" y="0"/>
            <wp:positionH relativeFrom="column">
              <wp:posOffset>15875</wp:posOffset>
            </wp:positionH>
            <wp:positionV relativeFrom="paragraph">
              <wp:posOffset>495300</wp:posOffset>
            </wp:positionV>
            <wp:extent cx="5047615" cy="2192020"/>
            <wp:effectExtent l="5080" t="4445" r="14605" b="13335"/>
            <wp:wrapSquare wrapText="bothSides"/>
            <wp:docPr id="1028"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2017年本年收入合计446.79万元。其中:</w:t>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财政拨款446.79万元，占总收入的100%，包括一般公共预算财政拨款446.79万元、政府性基金预算财政拨款0万元。</w:t>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事业收入0万元，是事业单位开展专业业务活动及其辅助活动取得的收入，占总收入的0%。</w:t>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经营收入0万元，是事业单位开展专业业务活动及其辅助活动之外开展非独立核算经营活动取得的收入，占总收入的0%，主要是0收入0万元。</w:t>
      </w:r>
    </w:p>
    <w:p>
      <w:pPr>
        <w:ind w:firstLine="640" w:firstLineChars="200"/>
        <w:rPr>
          <w:rFonts w:ascii="仿宋_GB2312" w:hAnsi="仿宋" w:eastAsia="仿宋_GB2312" w:cs="仿宋"/>
          <w:szCs w:val="32"/>
        </w:rPr>
      </w:pPr>
      <w:r>
        <w:rPr>
          <w:rFonts w:hint="eastAsia" w:ascii="仿宋_GB2312" w:hAnsi="仿宋" w:eastAsia="仿宋_GB2312" w:cs="仿宋"/>
          <w:szCs w:val="32"/>
        </w:rPr>
        <w:t>其他收入0万元，是取得的除财政拨款收入等以外的各项收入，占总收入的0%，主要是0收入0万元、捐赠收入0万元，存款利息收入0万元。</w:t>
      </w:r>
    </w:p>
    <w:p>
      <w:pPr>
        <w:ind w:firstLine="640" w:firstLineChars="200"/>
        <w:rPr>
          <w:rFonts w:ascii="仿宋_GB2312" w:hAnsi="仿宋" w:eastAsia="仿宋_GB2312" w:cs="仿宋"/>
          <w:szCs w:val="32"/>
        </w:rPr>
      </w:pPr>
      <w:r>
        <w:rPr>
          <w:rFonts w:hint="eastAsia" w:ascii="仿宋_GB2312" w:hAnsi="仿宋" w:eastAsia="仿宋_GB2312" w:cs="仿宋"/>
          <w:szCs w:val="32"/>
        </w:rPr>
        <w:t>3.本年支出构成情况（并用图表进行辅助说明）支出构成如下图：</w:t>
      </w:r>
    </w:p>
    <w:p>
      <w:pPr>
        <w:pStyle w:val="5"/>
        <w:shd w:val="clear" w:color="auto" w:fill="FFFFFF"/>
        <w:spacing w:line="560" w:lineRule="exact"/>
        <w:ind w:firstLine="640" w:firstLineChars="200"/>
        <w:rPr>
          <w:rFonts w:ascii="仿宋_GB2312" w:hAnsi="华文仿宋" w:eastAsia="仿宋_GB2312" w:cs="华文仿宋"/>
          <w:sz w:val="32"/>
          <w:szCs w:val="32"/>
        </w:rPr>
      </w:pPr>
      <w:r>
        <w:rPr>
          <w:rFonts w:hint="eastAsia" w:ascii="仿宋_GB2312" w:eastAsia="仿宋_GB2312"/>
          <w:sz w:val="32"/>
          <w:szCs w:val="32"/>
        </w:rPr>
        <w:drawing>
          <wp:anchor distT="0" distB="0" distL="114300" distR="114300" simplePos="0" relativeHeight="251661312" behindDoc="0" locked="0" layoutInCell="1" allowOverlap="1">
            <wp:simplePos x="0" y="0"/>
            <wp:positionH relativeFrom="column">
              <wp:posOffset>226060</wp:posOffset>
            </wp:positionH>
            <wp:positionV relativeFrom="paragraph">
              <wp:posOffset>601980</wp:posOffset>
            </wp:positionV>
            <wp:extent cx="5271135" cy="2363470"/>
            <wp:effectExtent l="4445" t="4445" r="20320" b="13335"/>
            <wp:wrapSquare wrapText="bothSides"/>
            <wp:docPr id="1029"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ascii="仿宋_GB2312" w:eastAsia="仿宋_GB2312"/>
          <w:sz w:val="32"/>
          <w:szCs w:val="32"/>
        </w:rPr>
        <w:t>2017年本年支出合计438.11万元。其中:</w:t>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（1）基本支出279.57万元，占总支出的63.8%，是为保障机构正常运转、完成日常工作任务而发生的各项支出，包括人员经费214.10万元和公用经费65.47万元。</w:t>
      </w:r>
    </w:p>
    <w:p>
      <w:pPr>
        <w:pStyle w:val="5"/>
        <w:spacing w:before="0" w:beforeAutospacing="0" w:after="0" w:afterAutospacing="0" w:line="560"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2）项目支出158.54万元，占总支出的36.2%，是为完成特定的工作任务或事业发展目标，在基本支出之外发生的支出。主要包括一般行政管理事务28万元；基层司法业务17万元；普法宣传业务6万元；律师公证管理15.1万元；法律援助业务22.50万元；其他司法支出69.94万元。</w:t>
      </w:r>
    </w:p>
    <w:p>
      <w:pPr>
        <w:pStyle w:val="5"/>
        <w:spacing w:line="56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（二）2017年度财政拨款收入支出总体情况说明</w:t>
      </w:r>
    </w:p>
    <w:p>
      <w:pPr>
        <w:pStyle w:val="5"/>
        <w:numPr>
          <w:ilvl w:val="0"/>
          <w:numId w:val="3"/>
        </w:numPr>
        <w:spacing w:before="0" w:beforeAutospacing="0" w:after="0" w:afterAutospacing="0" w:line="560" w:lineRule="exact"/>
        <w:ind w:firstLine="640" w:firstLineChars="200"/>
        <w:rPr>
          <w:rFonts w:ascii="仿宋_GB2312" w:eastAsia="仿宋_GB2312"/>
          <w:sz w:val="32"/>
          <w:szCs w:val="32"/>
        </w:rPr>
      </w:pPr>
      <w:r>
        <w:rPr>
          <w:rFonts w:hint="eastAsia" w:ascii="仿宋_GB2312" w:hAnsi="华文仿宋" w:eastAsia="仿宋_GB2312" w:cs="华文仿宋"/>
          <w:sz w:val="32"/>
          <w:szCs w:val="32"/>
        </w:rPr>
        <w:t>财政拨款收入支出总体情况</w:t>
      </w:r>
    </w:p>
    <w:p>
      <w:pPr>
        <w:ind w:firstLine="640" w:firstLineChars="200"/>
        <w:rPr>
          <w:rFonts w:ascii="仿宋_GB2312" w:hAnsi="仿宋" w:eastAsia="仿宋_GB2312" w:cs="仿宋"/>
          <w:szCs w:val="32"/>
        </w:rPr>
      </w:pPr>
      <w:r>
        <w:rPr>
          <w:rFonts w:hint="eastAsia" w:ascii="仿宋_GB2312" w:hAnsi="仿宋" w:eastAsia="仿宋_GB2312" w:cs="仿宋"/>
          <w:szCs w:val="32"/>
        </w:rPr>
        <w:t>2017年财政拨款收入446.79万元，比上一年增加115.57 万元，主要原因是工资普调，目标奖增加。2017年财政拨款支出438.11万元，比上年减少2.11万元，主要原因是项目经费减少比上年增加。</w:t>
      </w:r>
    </w:p>
    <w:p>
      <w:pPr>
        <w:ind w:firstLine="640" w:firstLineChars="200"/>
        <w:rPr>
          <w:rFonts w:ascii="仿宋_GB2312" w:hAnsi="仿宋" w:eastAsia="仿宋_GB2312" w:cs="仿宋"/>
          <w:szCs w:val="32"/>
        </w:rPr>
      </w:pPr>
      <w:r>
        <w:rPr>
          <w:rFonts w:hint="eastAsia" w:ascii="仿宋_GB2312" w:hAnsi="仿宋" w:eastAsia="仿宋_GB2312" w:cs="仿宋"/>
          <w:szCs w:val="32"/>
        </w:rPr>
        <w:t>2.一般公共预算财政拨款支出情况</w:t>
      </w:r>
    </w:p>
    <w:p>
      <w:pPr>
        <w:ind w:firstLine="640" w:firstLineChars="200"/>
        <w:rPr>
          <w:rFonts w:ascii="仿宋_GB2312" w:hAnsi="仿宋" w:eastAsia="仿宋_GB2312" w:cs="仿宋"/>
          <w:szCs w:val="32"/>
        </w:rPr>
      </w:pPr>
      <w:r>
        <w:rPr>
          <w:rFonts w:hint="eastAsia" w:ascii="仿宋_GB2312" w:hAnsi="仿宋" w:eastAsia="仿宋_GB2312" w:cs="仿宋"/>
          <w:szCs w:val="32"/>
        </w:rPr>
        <w:t>2017年度一般公共预算财政拨款支出438.11万元，按支出功能科目分，包括:</w:t>
      </w:r>
    </w:p>
    <w:p>
      <w:pPr>
        <w:pStyle w:val="5"/>
        <w:numPr>
          <w:ilvl w:val="0"/>
          <w:numId w:val="4"/>
        </w:numPr>
        <w:shd w:val="clear" w:color="auto" w:fill="FFFFFF"/>
        <w:spacing w:before="0" w:beforeAutospacing="0" w:after="0" w:afterAutospacing="0" w:line="560" w:lineRule="exact"/>
        <w:ind w:firstLine="585"/>
        <w:rPr>
          <w:rFonts w:ascii="仿宋_GB2312" w:eastAsia="仿宋_GB2312"/>
          <w:color w:val="000000"/>
          <w:sz w:val="32"/>
          <w:szCs w:val="32"/>
        </w:rPr>
      </w:pPr>
      <w:r>
        <w:rPr>
          <w:rFonts w:hint="eastAsia" w:ascii="仿宋_GB2312" w:eastAsia="仿宋_GB2312"/>
          <w:sz w:val="32"/>
          <w:szCs w:val="32"/>
        </w:rPr>
        <w:t>行政运行182.17万元，是反映行政单位（包括实行公务员管理的事业单位）的基本</w:t>
      </w:r>
      <w:r>
        <w:rPr>
          <w:rFonts w:hint="eastAsia" w:ascii="仿宋_GB2312" w:eastAsia="仿宋_GB2312"/>
          <w:color w:val="000000"/>
          <w:sz w:val="32"/>
          <w:szCs w:val="32"/>
        </w:rPr>
        <w:t>运行支出。</w:t>
      </w:r>
    </w:p>
    <w:p>
      <w:pPr>
        <w:pStyle w:val="5"/>
        <w:numPr>
          <w:ilvl w:val="0"/>
          <w:numId w:val="4"/>
        </w:numPr>
        <w:shd w:val="clear" w:color="auto" w:fill="FFFFFF"/>
        <w:spacing w:before="0" w:beforeAutospacing="0" w:after="0" w:afterAutospacing="0" w:line="560" w:lineRule="exact"/>
        <w:ind w:firstLine="585"/>
        <w:rPr>
          <w:rFonts w:ascii="仿宋_GB2312" w:eastAsia="仿宋_GB2312"/>
          <w:sz w:val="32"/>
          <w:szCs w:val="32"/>
        </w:rPr>
      </w:pPr>
      <w:r>
        <w:rPr>
          <w:rFonts w:hint="eastAsia" w:ascii="仿宋_GB2312" w:eastAsia="仿宋_GB2312"/>
          <w:color w:val="000000"/>
          <w:sz w:val="32"/>
          <w:szCs w:val="32"/>
        </w:rPr>
        <w:t>一般行政管理事务28万元.</w:t>
      </w:r>
    </w:p>
    <w:p>
      <w:pPr>
        <w:pStyle w:val="5"/>
        <w:numPr>
          <w:ilvl w:val="0"/>
          <w:numId w:val="4"/>
        </w:numPr>
        <w:shd w:val="clear" w:color="auto" w:fill="FFFFFF"/>
        <w:spacing w:before="0" w:beforeAutospacing="0" w:after="0" w:afterAutospacing="0" w:line="560" w:lineRule="exact"/>
        <w:ind w:firstLine="585"/>
        <w:rPr>
          <w:rFonts w:ascii="仿宋_GB2312" w:eastAsia="仿宋_GB2312"/>
          <w:sz w:val="32"/>
          <w:szCs w:val="32"/>
        </w:rPr>
      </w:pPr>
      <w:r>
        <w:rPr>
          <w:rFonts w:hint="eastAsia" w:ascii="仿宋_GB2312" w:eastAsia="仿宋_GB2312"/>
          <w:sz w:val="32"/>
          <w:szCs w:val="32"/>
        </w:rPr>
        <w:t>基层司法业务17万元。</w:t>
      </w:r>
    </w:p>
    <w:p>
      <w:pPr>
        <w:pStyle w:val="5"/>
        <w:numPr>
          <w:ilvl w:val="0"/>
          <w:numId w:val="4"/>
        </w:numPr>
        <w:shd w:val="clear" w:color="auto" w:fill="FFFFFF"/>
        <w:spacing w:before="0" w:beforeAutospacing="0" w:after="0" w:afterAutospacing="0" w:line="560" w:lineRule="exact"/>
        <w:ind w:firstLine="585"/>
        <w:rPr>
          <w:rFonts w:ascii="仿宋_GB2312" w:eastAsia="仿宋_GB2312"/>
          <w:sz w:val="32"/>
          <w:szCs w:val="32"/>
        </w:rPr>
      </w:pPr>
      <w:r>
        <w:rPr>
          <w:rFonts w:hint="eastAsia" w:ascii="仿宋_GB2312" w:eastAsia="仿宋_GB2312"/>
          <w:sz w:val="32"/>
          <w:szCs w:val="32"/>
        </w:rPr>
        <w:t>普法宣传6万元。</w:t>
      </w:r>
    </w:p>
    <w:p>
      <w:pPr>
        <w:pStyle w:val="5"/>
        <w:numPr>
          <w:ilvl w:val="0"/>
          <w:numId w:val="4"/>
        </w:numPr>
        <w:shd w:val="clear" w:color="auto" w:fill="FFFFFF"/>
        <w:spacing w:before="0" w:beforeAutospacing="0" w:after="0" w:afterAutospacing="0" w:line="560" w:lineRule="exact"/>
        <w:ind w:firstLine="585"/>
        <w:rPr>
          <w:rFonts w:ascii="仿宋_GB2312" w:eastAsia="仿宋_GB2312"/>
          <w:sz w:val="32"/>
          <w:szCs w:val="32"/>
        </w:rPr>
      </w:pPr>
      <w:r>
        <w:rPr>
          <w:rFonts w:hint="eastAsia" w:ascii="仿宋_GB2312" w:eastAsia="仿宋_GB2312"/>
          <w:sz w:val="32"/>
          <w:szCs w:val="32"/>
        </w:rPr>
        <w:t>律师公证管理91.11万元。</w:t>
      </w:r>
    </w:p>
    <w:p>
      <w:pPr>
        <w:pStyle w:val="5"/>
        <w:numPr>
          <w:ilvl w:val="0"/>
          <w:numId w:val="4"/>
        </w:numPr>
        <w:shd w:val="clear" w:color="auto" w:fill="FFFFFF"/>
        <w:spacing w:before="0" w:beforeAutospacing="0" w:after="0" w:afterAutospacing="0" w:line="560" w:lineRule="exact"/>
        <w:ind w:firstLine="585"/>
        <w:rPr>
          <w:rFonts w:ascii="仿宋_GB2312" w:eastAsia="仿宋_GB2312"/>
          <w:sz w:val="32"/>
          <w:szCs w:val="32"/>
        </w:rPr>
      </w:pPr>
      <w:r>
        <w:rPr>
          <w:rFonts w:hint="eastAsia" w:ascii="仿宋_GB2312" w:eastAsia="仿宋_GB2312"/>
          <w:sz w:val="32"/>
          <w:szCs w:val="32"/>
        </w:rPr>
        <w:t>法律援助27万元。</w:t>
      </w:r>
    </w:p>
    <w:p>
      <w:pPr>
        <w:pStyle w:val="5"/>
        <w:numPr>
          <w:ilvl w:val="0"/>
          <w:numId w:val="4"/>
        </w:numPr>
        <w:shd w:val="clear" w:color="auto" w:fill="FFFFFF"/>
        <w:spacing w:before="0" w:beforeAutospacing="0" w:after="0" w:afterAutospacing="0" w:line="560" w:lineRule="exact"/>
        <w:ind w:firstLine="585"/>
        <w:rPr>
          <w:rFonts w:ascii="仿宋_GB2312" w:eastAsia="仿宋_GB2312"/>
          <w:sz w:val="32"/>
          <w:szCs w:val="32"/>
        </w:rPr>
      </w:pPr>
      <w:r>
        <w:rPr>
          <w:rFonts w:hint="eastAsia" w:ascii="仿宋_GB2312" w:eastAsia="仿宋_GB2312"/>
          <w:sz w:val="32"/>
          <w:szCs w:val="32"/>
        </w:rPr>
        <w:t>社区矫正4.12万元。</w:t>
      </w:r>
    </w:p>
    <w:p>
      <w:pPr>
        <w:pStyle w:val="5"/>
        <w:numPr>
          <w:ilvl w:val="0"/>
          <w:numId w:val="4"/>
        </w:numPr>
        <w:shd w:val="clear" w:color="auto" w:fill="FFFFFF"/>
        <w:spacing w:before="0" w:beforeAutospacing="0" w:after="0" w:afterAutospacing="0" w:line="560" w:lineRule="exact"/>
        <w:ind w:firstLine="585"/>
        <w:rPr>
          <w:rFonts w:ascii="仿宋_GB2312" w:eastAsia="仿宋_GB2312"/>
          <w:sz w:val="32"/>
          <w:szCs w:val="32"/>
        </w:rPr>
      </w:pPr>
      <w:r>
        <w:rPr>
          <w:rFonts w:hint="eastAsia" w:ascii="仿宋_GB2312" w:eastAsia="仿宋_GB2312"/>
          <w:sz w:val="32"/>
          <w:szCs w:val="32"/>
        </w:rPr>
        <w:t>事业运行21.39万元。</w:t>
      </w:r>
    </w:p>
    <w:p>
      <w:pPr>
        <w:pStyle w:val="5"/>
        <w:numPr>
          <w:ilvl w:val="0"/>
          <w:numId w:val="4"/>
        </w:numPr>
        <w:shd w:val="clear" w:color="auto" w:fill="FFFFFF"/>
        <w:spacing w:before="0" w:beforeAutospacing="0" w:after="0" w:afterAutospacing="0" w:line="560" w:lineRule="exact"/>
        <w:ind w:firstLine="585"/>
        <w:rPr>
          <w:rFonts w:ascii="仿宋_GB2312" w:eastAsia="仿宋_GB2312"/>
          <w:sz w:val="32"/>
          <w:szCs w:val="32"/>
        </w:rPr>
      </w:pPr>
      <w:r>
        <w:rPr>
          <w:rFonts w:hint="eastAsia" w:ascii="仿宋_GB2312" w:eastAsia="仿宋_GB2312"/>
          <w:sz w:val="32"/>
          <w:szCs w:val="32"/>
        </w:rPr>
        <w:t>其他司法支出70万元。</w:t>
      </w:r>
    </w:p>
    <w:p>
      <w:pPr>
        <w:pStyle w:val="5"/>
        <w:tabs>
          <w:tab w:val="left" w:pos="863"/>
        </w:tabs>
        <w:spacing w:before="0" w:beforeAutospacing="0" w:after="0" w:afterAutospacing="0" w:line="560" w:lineRule="exact"/>
        <w:ind w:firstLine="640" w:firstLineChars="200"/>
        <w:rPr>
          <w:rFonts w:ascii="仿宋_GB2312" w:eastAsia="仿宋_GB2312"/>
          <w:sz w:val="32"/>
          <w:szCs w:val="32"/>
        </w:rPr>
      </w:pPr>
      <w:r>
        <w:rPr>
          <w:rFonts w:hint="eastAsia" w:ascii="仿宋_GB2312" w:hAnsi="华文仿宋" w:eastAsia="仿宋_GB2312" w:cs="华文仿宋"/>
          <w:sz w:val="32"/>
          <w:szCs w:val="32"/>
        </w:rPr>
        <w:t>3.一般公共预算财政拨款基本支出决算情况</w:t>
      </w:r>
    </w:p>
    <w:p>
      <w:pPr>
        <w:pStyle w:val="5"/>
        <w:spacing w:before="0" w:beforeAutospacing="0" w:after="0" w:afterAutospacing="0" w:line="560" w:lineRule="exact"/>
        <w:ind w:firstLine="640" w:firstLineChars="200"/>
        <w:rPr>
          <w:rFonts w:ascii="仿宋_GB2312" w:eastAsia="仿宋_GB2312"/>
          <w:sz w:val="32"/>
          <w:szCs w:val="32"/>
        </w:rPr>
      </w:pPr>
      <w:r>
        <w:rPr>
          <w:rFonts w:hint="eastAsia" w:ascii="仿宋_GB2312" w:eastAsia="仿宋_GB2312"/>
          <w:sz w:val="32"/>
          <w:szCs w:val="32"/>
        </w:rPr>
        <w:t>2017年度一般公共预算财政拨款基本支出279.57万元，其中：人员经费214.10万元，公用经费65.47万元，用于保障机构正常运转和日常工作需要。</w:t>
      </w:r>
    </w:p>
    <w:p>
      <w:pPr>
        <w:pStyle w:val="5"/>
        <w:spacing w:before="0" w:beforeAutospacing="0" w:after="0" w:afterAutospacing="0" w:line="560" w:lineRule="exact"/>
        <w:ind w:firstLine="640" w:firstLineChars="200"/>
        <w:rPr>
          <w:rFonts w:ascii="仿宋_GB2312" w:eastAsia="仿宋_GB2312"/>
          <w:sz w:val="32"/>
          <w:szCs w:val="32"/>
        </w:rPr>
      </w:pPr>
      <w:r>
        <w:rPr>
          <w:rFonts w:hint="eastAsia" w:ascii="仿宋_GB2312" w:eastAsia="仿宋_GB2312"/>
          <w:sz w:val="32"/>
          <w:szCs w:val="32"/>
        </w:rPr>
        <w:t>4.政府性基金财政拨款收支情况</w:t>
      </w:r>
    </w:p>
    <w:p>
      <w:pPr>
        <w:pStyle w:val="5"/>
        <w:spacing w:before="0" w:beforeAutospacing="0" w:after="0" w:afterAutospacing="0" w:line="560" w:lineRule="exact"/>
        <w:ind w:firstLine="640" w:firstLineChars="200"/>
        <w:rPr>
          <w:rFonts w:ascii="仿宋_GB2312" w:eastAsia="仿宋_GB2312"/>
          <w:sz w:val="32"/>
          <w:szCs w:val="32"/>
        </w:rPr>
      </w:pPr>
      <w:r>
        <w:rPr>
          <w:rFonts w:hint="eastAsia" w:ascii="仿宋_GB2312" w:eastAsia="仿宋_GB2312"/>
          <w:sz w:val="32"/>
          <w:szCs w:val="32"/>
        </w:rPr>
        <w:t>本部门无政府性基金决算收支，并已公开空表。</w:t>
      </w:r>
    </w:p>
    <w:p>
      <w:pPr>
        <w:pStyle w:val="5"/>
        <w:spacing w:before="0" w:beforeAutospacing="0" w:after="0" w:afterAutospacing="0" w:line="560" w:lineRule="exact"/>
        <w:ind w:firstLine="640" w:firstLineChars="200"/>
        <w:rPr>
          <w:rFonts w:ascii="仿宋_GB2312" w:eastAsia="仿宋_GB2312"/>
          <w:sz w:val="32"/>
          <w:szCs w:val="32"/>
        </w:rPr>
      </w:pPr>
      <w:r>
        <w:rPr>
          <w:rFonts w:hint="eastAsia" w:ascii="仿宋_GB2312" w:eastAsia="仿宋_GB2312"/>
          <w:sz w:val="32"/>
          <w:szCs w:val="32"/>
        </w:rPr>
        <w:t>5.国有资本经营财政拨款收支情况</w:t>
      </w:r>
    </w:p>
    <w:p>
      <w:pPr>
        <w:spacing w:line="560" w:lineRule="exact"/>
        <w:ind w:firstLine="640" w:firstLineChars="200"/>
        <w:rPr>
          <w:rFonts w:ascii="仿宋_GB2312" w:hAnsi="宋体" w:eastAsia="仿宋_GB2312" w:cs="宋体"/>
          <w:kern w:val="0"/>
          <w:szCs w:val="32"/>
        </w:rPr>
      </w:pPr>
      <w:r>
        <w:rPr>
          <w:rFonts w:hint="eastAsia" w:ascii="仿宋_GB2312" w:hAnsi="宋体" w:eastAsia="仿宋_GB2312" w:cs="宋体"/>
          <w:kern w:val="0"/>
          <w:szCs w:val="32"/>
        </w:rPr>
        <w:t>本部门无国有资本经营决算拨款收支。</w:t>
      </w:r>
    </w:p>
    <w:p>
      <w:pPr>
        <w:pStyle w:val="5"/>
        <w:spacing w:before="0" w:beforeAutospacing="0" w:after="0" w:afterAutospacing="0" w:line="560" w:lineRule="exact"/>
        <w:ind w:firstLine="640" w:firstLineChars="200"/>
        <w:rPr>
          <w:rFonts w:ascii="仿宋_GB2312" w:eastAsia="仿宋_GB2312"/>
          <w:sz w:val="32"/>
          <w:szCs w:val="32"/>
        </w:rPr>
      </w:pPr>
      <w:r>
        <w:rPr>
          <w:rFonts w:hint="eastAsia" w:ascii="仿宋_GB2312" w:eastAsia="仿宋_GB2312"/>
          <w:sz w:val="32"/>
          <w:szCs w:val="32"/>
        </w:rPr>
        <w:t>6.政府采购支出情况</w:t>
      </w:r>
    </w:p>
    <w:p>
      <w:pPr>
        <w:spacing w:line="560" w:lineRule="exact"/>
        <w:ind w:firstLine="640" w:firstLineChars="200"/>
        <w:rPr>
          <w:rFonts w:ascii="仿宋_GB2312" w:hAnsi="宋体" w:eastAsia="仿宋_GB2312" w:cs="宋体"/>
          <w:kern w:val="0"/>
          <w:szCs w:val="32"/>
        </w:rPr>
      </w:pPr>
      <w:r>
        <w:rPr>
          <w:rFonts w:hint="eastAsia" w:ascii="仿宋_GB2312" w:hAnsi="宋体" w:eastAsia="仿宋_GB2312" w:cs="宋体"/>
          <w:kern w:val="0"/>
          <w:szCs w:val="32"/>
        </w:rPr>
        <w:t>本部门2017年无政府采购支出。</w:t>
      </w:r>
    </w:p>
    <w:p>
      <w:pPr>
        <w:spacing w:line="56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(三)2017年“三公”经费、培训费及会议费支出情况</w:t>
      </w:r>
    </w:p>
    <w:p>
      <w:pPr>
        <w:pStyle w:val="5"/>
        <w:spacing w:before="0" w:beforeAutospacing="0" w:after="0" w:afterAutospacing="0" w:line="560" w:lineRule="exact"/>
        <w:ind w:firstLine="640" w:firstLineChars="200"/>
        <w:rPr>
          <w:rFonts w:ascii="仿宋_GB2312" w:hAnsi="楷体_GB2312" w:eastAsia="仿宋_GB2312" w:cs="楷体_GB2312"/>
          <w:sz w:val="32"/>
          <w:szCs w:val="32"/>
        </w:rPr>
      </w:pPr>
      <w:r>
        <w:rPr>
          <w:rFonts w:hint="eastAsia" w:ascii="仿宋_GB2312" w:hAnsi="楷体_GB2312" w:eastAsia="仿宋_GB2312" w:cs="楷体_GB2312"/>
          <w:sz w:val="32"/>
          <w:szCs w:val="32"/>
        </w:rPr>
        <w:t>1.“三公”经费财政拨款支出总体情况说明</w:t>
      </w:r>
    </w:p>
    <w:p>
      <w:pPr>
        <w:pStyle w:val="5"/>
        <w:spacing w:before="0" w:beforeAutospacing="0" w:after="0" w:afterAutospacing="0" w:line="560" w:lineRule="exact"/>
        <w:ind w:firstLine="640" w:firstLineChars="200"/>
        <w:rPr>
          <w:rFonts w:ascii="仿宋_GB2312" w:eastAsia="仿宋_GB2312"/>
          <w:sz w:val="32"/>
          <w:szCs w:val="32"/>
        </w:rPr>
      </w:pPr>
      <w:r>
        <w:rPr>
          <w:rFonts w:hint="eastAsia" w:ascii="仿宋_GB2312" w:eastAsia="仿宋_GB2312"/>
          <w:sz w:val="32"/>
          <w:szCs w:val="32"/>
        </w:rPr>
        <w:t>2017年度一般公共预算财政拨款安排的“三公经费”支出5.08万元，其中，因公出国（境）费用0万元，公务用车购置及运行维护费4.38万元，公务接待费0.7万元。2017年度“三公经费”支出比2016年减少6.49万元，下降56.1%,其中：</w:t>
      </w:r>
    </w:p>
    <w:p>
      <w:pPr>
        <w:pStyle w:val="5"/>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2017年我单位因公出国实际支出0万元，无因公出国境团组。与2016年</w:t>
      </w:r>
      <w:r>
        <w:rPr>
          <w:rFonts w:hint="eastAsia" w:ascii="仿宋_GB2312" w:eastAsia="仿宋_GB2312"/>
          <w:sz w:val="32"/>
          <w:szCs w:val="32"/>
        </w:rPr>
        <w:t>同比持平</w:t>
      </w:r>
      <w:r>
        <w:rPr>
          <w:rFonts w:hint="eastAsia" w:ascii="仿宋_GB2312" w:eastAsia="仿宋_GB2312"/>
          <w:color w:val="000000"/>
          <w:sz w:val="32"/>
          <w:szCs w:val="32"/>
        </w:rPr>
        <w:t>。</w:t>
      </w:r>
    </w:p>
    <w:p>
      <w:pPr>
        <w:widowControl/>
        <w:spacing w:line="560" w:lineRule="exact"/>
        <w:ind w:firstLine="640" w:firstLineChars="200"/>
        <w:rPr>
          <w:rFonts w:ascii="仿宋_GB2312" w:eastAsia="仿宋_GB2312"/>
          <w:color w:val="000000"/>
          <w:szCs w:val="32"/>
        </w:rPr>
      </w:pPr>
      <w:r>
        <w:rPr>
          <w:rFonts w:hint="eastAsia" w:ascii="仿宋_GB2312" w:eastAsia="仿宋_GB2312"/>
          <w:color w:val="000000"/>
          <w:szCs w:val="32"/>
        </w:rPr>
        <w:t>公务接待费用支出0.7万元，其中：“六四”安保维稳、市局社区矫正检查、法律援助宣传等。较2016年</w:t>
      </w:r>
      <w:r>
        <w:rPr>
          <w:rFonts w:hint="eastAsia" w:ascii="仿宋_GB2312" w:eastAsia="仿宋_GB2312"/>
          <w:szCs w:val="32"/>
        </w:rPr>
        <w:t>下降（增长）</w:t>
      </w:r>
      <w:r>
        <w:rPr>
          <w:rFonts w:hint="eastAsia" w:ascii="仿宋_GB2312" w:eastAsia="仿宋_GB2312"/>
          <w:color w:val="000000"/>
          <w:szCs w:val="32"/>
        </w:rPr>
        <w:t>13.6%，累计接待5批次、132人。</w:t>
      </w:r>
      <w:r>
        <w:rPr>
          <w:rFonts w:hint="eastAsia" w:ascii="仿宋_GB2312" w:eastAsia="仿宋_GB2312"/>
          <w:szCs w:val="32"/>
        </w:rPr>
        <w:t>下降（增长）</w:t>
      </w:r>
      <w:r>
        <w:rPr>
          <w:rFonts w:hint="eastAsia" w:ascii="仿宋_GB2312" w:eastAsia="仿宋_GB2312"/>
          <w:color w:val="000000"/>
          <w:szCs w:val="32"/>
        </w:rPr>
        <w:t>原因严格遵守八项规定。</w:t>
      </w:r>
    </w:p>
    <w:p>
      <w:pPr>
        <w:widowControl/>
        <w:spacing w:line="560" w:lineRule="exact"/>
        <w:ind w:firstLine="640" w:firstLineChars="200"/>
        <w:rPr>
          <w:rFonts w:ascii="仿宋_GB2312" w:eastAsia="仿宋_GB2312"/>
          <w:szCs w:val="32"/>
        </w:rPr>
      </w:pPr>
      <w:r>
        <w:rPr>
          <w:rFonts w:hint="eastAsia" w:ascii="仿宋_GB2312" w:eastAsia="仿宋_GB2312"/>
          <w:color w:val="000000"/>
          <w:szCs w:val="32"/>
        </w:rPr>
        <w:t>2017年购置车辆0台，经费支出0万元；2017年公务用车运行维护支出4.38万元，较2016年</w:t>
      </w:r>
      <w:r>
        <w:rPr>
          <w:rFonts w:hint="eastAsia" w:ascii="仿宋_GB2312" w:eastAsia="仿宋_GB2312"/>
          <w:szCs w:val="32"/>
        </w:rPr>
        <w:t>下降</w:t>
      </w:r>
      <w:r>
        <w:rPr>
          <w:rFonts w:hint="eastAsia" w:ascii="仿宋_GB2312" w:eastAsia="仿宋_GB2312"/>
          <w:color w:val="000000"/>
          <w:szCs w:val="32"/>
        </w:rPr>
        <w:t>59.3%，原因严格遵守八项规定，规范车辆运行。</w:t>
      </w:r>
    </w:p>
    <w:p>
      <w:pPr>
        <w:widowControl/>
        <w:spacing w:line="560" w:lineRule="exact"/>
        <w:ind w:firstLine="640" w:firstLineChars="200"/>
        <w:rPr>
          <w:rFonts w:ascii="仿宋_GB2312" w:eastAsia="仿宋_GB2312"/>
          <w:szCs w:val="32"/>
        </w:rPr>
      </w:pPr>
      <w:r>
        <w:rPr>
          <w:rFonts w:hint="eastAsia" w:ascii="仿宋_GB2312" w:eastAsia="仿宋_GB2312"/>
          <w:szCs w:val="32"/>
        </w:rPr>
        <w:t>2.培训费支出决算情况</w:t>
      </w:r>
    </w:p>
    <w:p>
      <w:pPr>
        <w:ind w:firstLine="640" w:firstLineChars="200"/>
        <w:rPr>
          <w:rFonts w:ascii="仿宋_GB2312" w:eastAsia="仿宋_GB2312"/>
          <w:color w:val="000000"/>
          <w:szCs w:val="32"/>
        </w:rPr>
      </w:pPr>
      <w:r>
        <w:rPr>
          <w:rFonts w:hint="eastAsia" w:ascii="仿宋_GB2312" w:eastAsia="仿宋_GB2312"/>
          <w:color w:val="000000"/>
          <w:szCs w:val="32"/>
        </w:rPr>
        <w:t>培训费支出0.42万元，主要是干部网络培训和厦门培训支出，较2016年增加0.42万元，增长原因组织部干部教育培训及外出学习培训。</w:t>
      </w:r>
    </w:p>
    <w:p>
      <w:pPr>
        <w:rPr>
          <w:rFonts w:ascii="仿宋_GB2312" w:eastAsia="仿宋_GB2312"/>
          <w:color w:val="000000"/>
          <w:szCs w:val="32"/>
        </w:rPr>
      </w:pPr>
      <w:r>
        <w:rPr>
          <w:rFonts w:hint="eastAsia" w:ascii="仿宋_GB2312" w:eastAsia="仿宋_GB2312"/>
          <w:color w:val="000000"/>
          <w:szCs w:val="32"/>
        </w:rPr>
        <w:t>会议费支出决算情况</w:t>
      </w:r>
    </w:p>
    <w:p>
      <w:pPr>
        <w:ind w:firstLine="640" w:firstLineChars="200"/>
        <w:rPr>
          <w:rFonts w:ascii="仿宋_GB2312" w:eastAsia="仿宋_GB2312"/>
          <w:color w:val="000000"/>
          <w:szCs w:val="32"/>
        </w:rPr>
      </w:pPr>
      <w:r>
        <w:rPr>
          <w:rFonts w:hint="eastAsia" w:ascii="仿宋_GB2312" w:eastAsia="仿宋_GB2312"/>
          <w:color w:val="000000"/>
          <w:szCs w:val="32"/>
        </w:rPr>
        <w:t>会议费支出0万元，与2016年同比持平</w:t>
      </w:r>
    </w:p>
    <w:p>
      <w:pPr>
        <w:spacing w:line="560" w:lineRule="exact"/>
        <w:ind w:firstLine="640" w:firstLineChars="200"/>
        <w:rPr>
          <w:rFonts w:ascii="黑体" w:hAnsi="华文仿宋" w:eastAsia="黑体" w:cs="华文仿宋"/>
          <w:szCs w:val="32"/>
        </w:rPr>
      </w:pPr>
      <w:r>
        <w:rPr>
          <w:rFonts w:hint="eastAsia" w:ascii="黑体" w:hAnsi="黑体" w:eastAsia="黑体" w:cs="黑体"/>
          <w:szCs w:val="32"/>
        </w:rPr>
        <w:t>六、2017年度部门绩效管理情况说明</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2017年本部门对专项业务经费项目开展了绩效自评，涉及一般公共预算当年拨款 446.79万元。）</w:t>
      </w:r>
    </w:p>
    <w:p>
      <w:pPr>
        <w:pStyle w:val="5"/>
        <w:spacing w:before="0" w:beforeAutospacing="0" w:after="0" w:afterAutospacing="0"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七、2017年其他重要事项情况说明</w:t>
      </w:r>
    </w:p>
    <w:p>
      <w:pPr>
        <w:pStyle w:val="5"/>
        <w:numPr>
          <w:ilvl w:val="0"/>
          <w:numId w:val="5"/>
        </w:numPr>
        <w:spacing w:before="0" w:beforeAutospacing="0" w:after="0" w:afterAutospacing="0" w:line="560" w:lineRule="exact"/>
        <w:ind w:firstLine="640" w:firstLineChars="20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机关运行经费支出情况</w:t>
      </w:r>
    </w:p>
    <w:p>
      <w:pPr>
        <w:pStyle w:val="5"/>
        <w:spacing w:before="0" w:beforeAutospacing="0" w:after="0" w:afterAutospacing="0" w:line="560" w:lineRule="exact"/>
        <w:ind w:firstLine="640" w:firstLineChars="200"/>
        <w:rPr>
          <w:rFonts w:ascii="仿宋_GB2312" w:eastAsia="仿宋_GB2312"/>
          <w:sz w:val="32"/>
          <w:szCs w:val="32"/>
        </w:rPr>
      </w:pPr>
      <w:r>
        <w:rPr>
          <w:rFonts w:hint="eastAsia" w:ascii="仿宋_GB2312" w:eastAsia="仿宋_GB2312"/>
          <w:sz w:val="32"/>
          <w:szCs w:val="32"/>
        </w:rPr>
        <w:t>2017年本部门机关运行经费支出182.17万元，用于维持机关日常运转所必需的公用支出。其中：行政单位1户，合计28万元，占机关运行经费的15.4%；2017年机关运行经费支出比2016年同口径减少67.99万元，下降27.2%，主要原因是公共法律服务中心人员增加知识费用加大。</w:t>
      </w:r>
    </w:p>
    <w:p>
      <w:pPr>
        <w:spacing w:line="560" w:lineRule="exact"/>
        <w:ind w:firstLine="640" w:firstLineChars="200"/>
        <w:rPr>
          <w:rFonts w:ascii="楷体_GB2312" w:hAnsi="楷体_GB2312" w:eastAsia="楷体_GB2312" w:cs="楷体_GB2312"/>
          <w:bCs/>
          <w:szCs w:val="32"/>
        </w:rPr>
      </w:pPr>
      <w:r>
        <w:rPr>
          <w:rFonts w:hint="eastAsia" w:ascii="楷体_GB2312" w:hAnsi="楷体_GB2312" w:eastAsia="楷体_GB2312" w:cs="楷体_GB2312"/>
          <w:bCs/>
          <w:szCs w:val="32"/>
        </w:rPr>
        <w:t>（二）国有资产占用及购置情况说明</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截至2017年末，本部门共有车辆2辆，其中，一般公务用车0辆、一般执法执勤用车1辆、特种专业技术用车1辆、其他用车0辆，其他用车主要是……；单价50万元以上的通用设备0台（套）；单价100万元以上的通用设备0台（套）。2017年当年购置车辆0辆；购置单价50万元以上的设备0台（套）；购置单价100万元以上的通用设备0台（套）。</w:t>
      </w:r>
    </w:p>
    <w:p>
      <w:pPr>
        <w:spacing w:line="560" w:lineRule="exact"/>
        <w:ind w:firstLine="640" w:firstLineChars="200"/>
        <w:rPr>
          <w:rFonts w:ascii="黑体" w:hAnsi="黑体" w:eastAsia="黑体" w:cs="黑体"/>
          <w:szCs w:val="32"/>
        </w:rPr>
      </w:pPr>
      <w:r>
        <w:rPr>
          <w:rFonts w:hint="eastAsia" w:ascii="黑体" w:hAnsi="黑体" w:eastAsia="黑体" w:cs="黑体"/>
          <w:szCs w:val="32"/>
        </w:rPr>
        <w:t>八、专业名词解释</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1．基本支出：指为保障机构正常运转、完成日常工作任务而发生的各项支出。</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2．项目支出：指单位为完成特定的行政工作任务或事业发展目标所发生的各项支出。</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3．“三公”经费：指部门使用一般公共预算财政拨款安排的因公出国（境）费、公务用车购置及运行费和公务接待费支出。</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4．机关运行经费：指行政单位和参照公务员法管理的事业单位使用一般公共预算财政拨款安排的日常公用经费支出。</w:t>
      </w:r>
    </w:p>
    <w:p>
      <w:pPr>
        <w:spacing w:line="560" w:lineRule="exact"/>
        <w:ind w:right="275" w:rightChars="86" w:firstLine="640" w:firstLineChars="200"/>
        <w:rPr>
          <w:rFonts w:ascii="仿宋_GB2312" w:hAnsi="华文仿宋" w:eastAsia="仿宋_GB2312" w:cs="华文仿宋"/>
          <w:szCs w:val="32"/>
        </w:rPr>
      </w:pPr>
      <w:r>
        <w:rPr>
          <w:rFonts w:hint="eastAsia" w:ascii="仿宋_GB2312" w:hAnsi="华文仿宋" w:eastAsia="仿宋_GB2312" w:cs="华文仿宋"/>
          <w:szCs w:val="32"/>
        </w:rPr>
        <w:t>……</w:t>
      </w:r>
      <w:r>
        <w:rPr>
          <w:rFonts w:hint="eastAsia" w:ascii="仿宋_GB2312" w:hAnsi="华文仿宋" w:eastAsia="仿宋_GB2312" w:cs="华文仿宋"/>
          <w:szCs w:val="32"/>
        </w:rPr>
        <w:tab/>
      </w:r>
    </w:p>
    <w:p>
      <w:pPr>
        <w:pStyle w:val="5"/>
        <w:shd w:val="clear" w:color="auto" w:fill="FFFFFF"/>
        <w:spacing w:before="0" w:beforeAutospacing="0" w:after="0" w:afterAutospacing="0" w:line="560" w:lineRule="exact"/>
        <w:ind w:firstLine="585"/>
        <w:rPr>
          <w:rStyle w:val="8"/>
          <w:rFonts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九、2017年部门决算公开报表</w:t>
      </w:r>
    </w:p>
    <w:p>
      <w:pPr>
        <w:spacing w:line="560" w:lineRule="exact"/>
        <w:ind w:firstLine="640" w:firstLineChars="200"/>
        <w:rPr>
          <w:rFonts w:ascii="仿宋_GB2312" w:hAnsi="仿宋_GB2312" w:eastAsia="仿宋_GB2312"/>
          <w:szCs w:val="32"/>
        </w:rPr>
      </w:pPr>
      <w:r>
        <w:rPr>
          <w:rFonts w:hint="eastAsia" w:ascii="仿宋_GB2312" w:hAnsi="仿宋_GB2312" w:eastAsia="仿宋_GB2312"/>
          <w:szCs w:val="32"/>
        </w:rPr>
        <w:t>1.公开01表-部门决算收支总表</w:t>
      </w:r>
    </w:p>
    <w:p>
      <w:pPr>
        <w:spacing w:line="560" w:lineRule="exact"/>
        <w:ind w:firstLine="640" w:firstLineChars="200"/>
        <w:rPr>
          <w:rFonts w:ascii="仿宋_GB2312" w:hAnsi="仿宋_GB2312" w:eastAsia="仿宋_GB2312"/>
          <w:szCs w:val="32"/>
        </w:rPr>
      </w:pPr>
      <w:r>
        <w:rPr>
          <w:rFonts w:hint="eastAsia" w:ascii="仿宋_GB2312" w:hAnsi="仿宋_GB2312" w:eastAsia="仿宋_GB2312"/>
          <w:szCs w:val="32"/>
        </w:rPr>
        <w:t>2.公开02表-部门决算收入总表</w:t>
      </w:r>
    </w:p>
    <w:p>
      <w:pPr>
        <w:spacing w:line="560" w:lineRule="exact"/>
        <w:ind w:firstLine="640" w:firstLineChars="200"/>
        <w:rPr>
          <w:rFonts w:ascii="仿宋_GB2312" w:hAnsi="仿宋_GB2312" w:eastAsia="仿宋_GB2312"/>
          <w:szCs w:val="32"/>
        </w:rPr>
      </w:pPr>
      <w:r>
        <w:rPr>
          <w:rFonts w:hint="eastAsia" w:ascii="仿宋_GB2312" w:hAnsi="仿宋_GB2312" w:eastAsia="仿宋_GB2312"/>
          <w:szCs w:val="32"/>
        </w:rPr>
        <w:t>3.公开03表-部门决算支出总表</w:t>
      </w:r>
    </w:p>
    <w:p>
      <w:pPr>
        <w:spacing w:line="560" w:lineRule="exact"/>
        <w:ind w:firstLine="640" w:firstLineChars="200"/>
        <w:rPr>
          <w:rFonts w:ascii="仿宋_GB2312" w:hAnsi="仿宋_GB2312" w:eastAsia="仿宋_GB2312"/>
          <w:szCs w:val="32"/>
        </w:rPr>
      </w:pPr>
      <w:r>
        <w:rPr>
          <w:rFonts w:hint="eastAsia" w:ascii="仿宋_GB2312" w:hAnsi="仿宋_GB2312" w:eastAsia="仿宋_GB2312"/>
          <w:szCs w:val="32"/>
        </w:rPr>
        <w:t>4.公开04表-部门决算财政拨款收支总表</w:t>
      </w:r>
    </w:p>
    <w:p>
      <w:pPr>
        <w:spacing w:line="560" w:lineRule="exact"/>
        <w:ind w:firstLine="640" w:firstLineChars="200"/>
        <w:rPr>
          <w:rFonts w:ascii="仿宋_GB2312" w:hAnsi="仿宋_GB2312" w:eastAsia="仿宋_GB2312"/>
          <w:szCs w:val="32"/>
        </w:rPr>
      </w:pPr>
      <w:r>
        <w:rPr>
          <w:rFonts w:hint="eastAsia" w:ascii="仿宋_GB2312" w:hAnsi="仿宋_GB2312" w:eastAsia="仿宋_GB2312"/>
          <w:szCs w:val="32"/>
        </w:rPr>
        <w:t>5.公开05表-部门决算一般公共预算财政拨款支出明细表</w:t>
      </w:r>
    </w:p>
    <w:p>
      <w:pPr>
        <w:spacing w:line="560" w:lineRule="exact"/>
        <w:ind w:firstLine="640" w:firstLineChars="200"/>
        <w:rPr>
          <w:rFonts w:ascii="仿宋_GB2312" w:hAnsi="仿宋_GB2312" w:eastAsia="仿宋_GB2312"/>
          <w:szCs w:val="32"/>
        </w:rPr>
      </w:pPr>
      <w:r>
        <w:rPr>
          <w:rFonts w:hint="eastAsia" w:ascii="仿宋_GB2312" w:hAnsi="仿宋_GB2312" w:eastAsia="仿宋_GB2312"/>
          <w:szCs w:val="32"/>
        </w:rPr>
        <w:t>6.公开06表-部门决算一般公共预算财政拨款基本支出表</w:t>
      </w:r>
    </w:p>
    <w:p>
      <w:pPr>
        <w:spacing w:line="560" w:lineRule="exact"/>
        <w:ind w:firstLine="640" w:firstLineChars="200"/>
        <w:rPr>
          <w:rFonts w:ascii="仿宋_GB2312" w:hAnsi="仿宋_GB2312" w:eastAsia="仿宋_GB2312"/>
          <w:szCs w:val="32"/>
        </w:rPr>
      </w:pPr>
      <w:r>
        <w:rPr>
          <w:rFonts w:hint="eastAsia" w:ascii="仿宋_GB2312" w:hAnsi="仿宋_GB2312" w:eastAsia="仿宋_GB2312"/>
          <w:szCs w:val="32"/>
        </w:rPr>
        <w:t>7.公开07表-部门决算一般公共预算财政拨款“三公”经费支出表</w:t>
      </w:r>
    </w:p>
    <w:p>
      <w:pPr>
        <w:spacing w:line="560" w:lineRule="exact"/>
        <w:ind w:firstLine="640" w:firstLineChars="200"/>
        <w:rPr>
          <w:rFonts w:ascii="仿宋_GB2312" w:hAnsi="仿宋_GB2312" w:eastAsia="仿宋_GB2312"/>
          <w:szCs w:val="32"/>
        </w:rPr>
      </w:pPr>
      <w:r>
        <w:rPr>
          <w:rFonts w:hint="eastAsia" w:ascii="仿宋_GB2312" w:hAnsi="仿宋_GB2312" w:eastAsia="仿宋_GB2312"/>
          <w:szCs w:val="32"/>
        </w:rPr>
        <w:t>8.公开08表-部门决算政府性基金收支表</w:t>
      </w:r>
    </w:p>
    <w:p>
      <w:pPr>
        <w:spacing w:line="560" w:lineRule="exact"/>
        <w:ind w:firstLine="640" w:firstLineChars="200"/>
        <w:rPr>
          <w:rFonts w:ascii="仿宋_GB2312" w:hAnsi="华文仿宋" w:eastAsia="仿宋_GB2312" w:cs="华文仿宋"/>
          <w:szCs w:val="32"/>
        </w:rPr>
      </w:pPr>
      <w:r>
        <w:rPr>
          <w:rFonts w:hint="eastAsia" w:ascii="仿宋_GB2312" w:hAnsi="仿宋_GB2312" w:eastAsia="仿宋_GB2312"/>
          <w:szCs w:val="32"/>
        </w:rPr>
        <w:t>9.公开09表-政府采购决算表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宋体"/>
    <w:panose1 w:val="00000000000000000000"/>
    <w:charset w:val="86"/>
    <w:family w:val="script"/>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77D933"/>
    <w:multiLevelType w:val="singleLevel"/>
    <w:tmpl w:val="A477D933"/>
    <w:lvl w:ilvl="0" w:tentative="0">
      <w:start w:val="1"/>
      <w:numFmt w:val="decimal"/>
      <w:suff w:val="nothing"/>
      <w:lvlText w:val="(%1）"/>
      <w:lvlJc w:val="left"/>
    </w:lvl>
  </w:abstractNum>
  <w:abstractNum w:abstractNumId="1">
    <w:nsid w:val="E69F6BBF"/>
    <w:multiLevelType w:val="singleLevel"/>
    <w:tmpl w:val="E69F6BBF"/>
    <w:lvl w:ilvl="0" w:tentative="0">
      <w:start w:val="1"/>
      <w:numFmt w:val="chineseCounting"/>
      <w:suff w:val="nothing"/>
      <w:lvlText w:val="（%1）"/>
      <w:lvlJc w:val="left"/>
      <w:rPr>
        <w:rFonts w:hint="eastAsia"/>
      </w:rPr>
    </w:lvl>
  </w:abstractNum>
  <w:abstractNum w:abstractNumId="2">
    <w:nsid w:val="F0DA7668"/>
    <w:multiLevelType w:val="singleLevel"/>
    <w:tmpl w:val="F0DA7668"/>
    <w:lvl w:ilvl="0" w:tentative="0">
      <w:start w:val="1"/>
      <w:numFmt w:val="decimal"/>
      <w:suff w:val="nothing"/>
      <w:lvlText w:val="%1．"/>
      <w:lvlJc w:val="left"/>
    </w:lvl>
  </w:abstractNum>
  <w:abstractNum w:abstractNumId="3">
    <w:nsid w:val="1889EBAF"/>
    <w:multiLevelType w:val="singleLevel"/>
    <w:tmpl w:val="1889EBAF"/>
    <w:lvl w:ilvl="0" w:tentative="0">
      <w:start w:val="1"/>
      <w:numFmt w:val="chineseCounting"/>
      <w:suff w:val="nothing"/>
      <w:lvlText w:val="%1、"/>
      <w:lvlJc w:val="left"/>
      <w:rPr>
        <w:rFonts w:hint="eastAsia"/>
      </w:rPr>
    </w:lvl>
  </w:abstractNum>
  <w:abstractNum w:abstractNumId="4">
    <w:nsid w:val="79D016B3"/>
    <w:multiLevelType w:val="singleLevel"/>
    <w:tmpl w:val="79D016B3"/>
    <w:lvl w:ilvl="0" w:tentative="0">
      <w:start w:val="2"/>
      <w:numFmt w:val="decimal"/>
      <w:lvlText w:val="%1."/>
      <w:lvlJc w:val="left"/>
      <w:pPr>
        <w:tabs>
          <w:tab w:val="left" w:pos="312"/>
        </w:tabs>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M3NmI3ZTE1ZTYyNTljN2NjOTVmNGFiZmYyMDkyMWEifQ=="/>
  </w:docVars>
  <w:rsids>
    <w:rsidRoot w:val="00101E02"/>
    <w:rsid w:val="0007784B"/>
    <w:rsid w:val="00101E02"/>
    <w:rsid w:val="003C701B"/>
    <w:rsid w:val="003E3DDC"/>
    <w:rsid w:val="0083637E"/>
    <w:rsid w:val="009E31CA"/>
    <w:rsid w:val="00AB59A5"/>
    <w:rsid w:val="00B55CD7"/>
    <w:rsid w:val="00CB6BB4"/>
    <w:rsid w:val="00D84412"/>
    <w:rsid w:val="00D9518E"/>
    <w:rsid w:val="00DA0E9C"/>
    <w:rsid w:val="00E53BB4"/>
    <w:rsid w:val="00F2538C"/>
    <w:rsid w:val="015D58FD"/>
    <w:rsid w:val="01C746C6"/>
    <w:rsid w:val="0A0E1646"/>
    <w:rsid w:val="0B987143"/>
    <w:rsid w:val="0F91623C"/>
    <w:rsid w:val="11DF0C76"/>
    <w:rsid w:val="12D71B21"/>
    <w:rsid w:val="13403F7B"/>
    <w:rsid w:val="13717B01"/>
    <w:rsid w:val="13903D3C"/>
    <w:rsid w:val="139A1695"/>
    <w:rsid w:val="13F104AF"/>
    <w:rsid w:val="16F036FB"/>
    <w:rsid w:val="177C13FC"/>
    <w:rsid w:val="17C304C4"/>
    <w:rsid w:val="19754D95"/>
    <w:rsid w:val="1A3031D1"/>
    <w:rsid w:val="1C287AD1"/>
    <w:rsid w:val="1C603356"/>
    <w:rsid w:val="20252480"/>
    <w:rsid w:val="21FD5768"/>
    <w:rsid w:val="231827EB"/>
    <w:rsid w:val="23F77372"/>
    <w:rsid w:val="25C23EBD"/>
    <w:rsid w:val="27E56A64"/>
    <w:rsid w:val="28DE08C7"/>
    <w:rsid w:val="299C7739"/>
    <w:rsid w:val="2AB117E3"/>
    <w:rsid w:val="2BBD0981"/>
    <w:rsid w:val="2E6318DB"/>
    <w:rsid w:val="2E935187"/>
    <w:rsid w:val="30D01F98"/>
    <w:rsid w:val="3159166E"/>
    <w:rsid w:val="316F0D5B"/>
    <w:rsid w:val="318A6845"/>
    <w:rsid w:val="333A389B"/>
    <w:rsid w:val="33F331F0"/>
    <w:rsid w:val="348A2841"/>
    <w:rsid w:val="34D34BD3"/>
    <w:rsid w:val="3548736E"/>
    <w:rsid w:val="39C8759B"/>
    <w:rsid w:val="3CE71EDF"/>
    <w:rsid w:val="3D105F10"/>
    <w:rsid w:val="3DF939EF"/>
    <w:rsid w:val="3F7C3B40"/>
    <w:rsid w:val="41EC1ECC"/>
    <w:rsid w:val="42BA0293"/>
    <w:rsid w:val="42E42C48"/>
    <w:rsid w:val="44575D8D"/>
    <w:rsid w:val="451D08F1"/>
    <w:rsid w:val="45312867"/>
    <w:rsid w:val="46D32B07"/>
    <w:rsid w:val="47716614"/>
    <w:rsid w:val="480A4649"/>
    <w:rsid w:val="4AAE3AC3"/>
    <w:rsid w:val="4C4A388C"/>
    <w:rsid w:val="4D000161"/>
    <w:rsid w:val="4D4D18C4"/>
    <w:rsid w:val="4DF92132"/>
    <w:rsid w:val="4F104EB8"/>
    <w:rsid w:val="4F3B1704"/>
    <w:rsid w:val="4FFC73B1"/>
    <w:rsid w:val="52D21252"/>
    <w:rsid w:val="53646FB6"/>
    <w:rsid w:val="55443B7F"/>
    <w:rsid w:val="55700C69"/>
    <w:rsid w:val="558B6160"/>
    <w:rsid w:val="577F59FB"/>
    <w:rsid w:val="57BC2E39"/>
    <w:rsid w:val="5A7C307C"/>
    <w:rsid w:val="5B483308"/>
    <w:rsid w:val="5C5E4D31"/>
    <w:rsid w:val="5E440D48"/>
    <w:rsid w:val="60CA1F9A"/>
    <w:rsid w:val="62572A73"/>
    <w:rsid w:val="638069EF"/>
    <w:rsid w:val="63EF275F"/>
    <w:rsid w:val="63FB1E6F"/>
    <w:rsid w:val="66975563"/>
    <w:rsid w:val="69CB374A"/>
    <w:rsid w:val="6A59679C"/>
    <w:rsid w:val="6A923491"/>
    <w:rsid w:val="6BDA4F19"/>
    <w:rsid w:val="6D853865"/>
    <w:rsid w:val="6E32792F"/>
    <w:rsid w:val="6E360631"/>
    <w:rsid w:val="6E6F3391"/>
    <w:rsid w:val="6E7D78BF"/>
    <w:rsid w:val="6F811B87"/>
    <w:rsid w:val="6FB37F70"/>
    <w:rsid w:val="701632E7"/>
    <w:rsid w:val="70944706"/>
    <w:rsid w:val="71762FB2"/>
    <w:rsid w:val="72896775"/>
    <w:rsid w:val="73F448A4"/>
    <w:rsid w:val="74983629"/>
    <w:rsid w:val="75DF75A3"/>
    <w:rsid w:val="762A720C"/>
    <w:rsid w:val="76675A76"/>
    <w:rsid w:val="774C581B"/>
    <w:rsid w:val="796E7003"/>
    <w:rsid w:val="79C8501E"/>
    <w:rsid w:val="79D548F1"/>
    <w:rsid w:val="7A6B5A95"/>
    <w:rsid w:val="7B642AAB"/>
    <w:rsid w:val="7B800A50"/>
    <w:rsid w:val="7CA51292"/>
    <w:rsid w:val="7E3F28BC"/>
    <w:rsid w:val="7E7B6A31"/>
    <w:rsid w:val="7F051C0A"/>
    <w:rsid w:val="7F1A1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方正仿宋简体" w:cs="Times New Roman"/>
      <w:kern w:val="2"/>
      <w:sz w:val="32"/>
      <w:lang w:val="en-US" w:eastAsia="zh-CN" w:bidi="ar-SA"/>
    </w:rPr>
  </w:style>
  <w:style w:type="paragraph" w:styleId="2">
    <w:name w:val="heading 3"/>
    <w:basedOn w:val="1"/>
    <w:next w:val="1"/>
    <w:autoRedefine/>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Administrator\&#26700;&#38754;\Book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Administrator\&#26700;&#38754;\Book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administrator\my%20documents\tencent%20files\799325374\filerecv\book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spPr>
              <a:solidFill>
                <a:schemeClr val="accent2"/>
              </a:solidFill>
              <a:ln>
                <a:noFill/>
              </a:ln>
              <a:effectLst/>
            </c:spPr>
          </c:dPt>
          <c:dPt>
            <c:idx val="1"/>
            <c:bubble3D val="0"/>
            <c:spPr>
              <a:solidFill>
                <a:schemeClr val="accent4"/>
              </a:solidFill>
              <a:ln>
                <a:noFill/>
              </a:ln>
              <a:effectLst/>
            </c:spPr>
          </c:dPt>
          <c:dLbls>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[Book1.xls]Sheet1!$A$1:$A$2</c:f>
              <c:strCache>
                <c:ptCount val="2"/>
                <c:pt idx="0">
                  <c:v>事业编</c:v>
                </c:pt>
                <c:pt idx="1">
                  <c:v>行政编</c:v>
                </c:pt>
              </c:strCache>
            </c:strRef>
          </c:cat>
          <c:val>
            <c:numRef>
              <c:f>[Book1.xls]Sheet1!$B$1:$B$2</c:f>
              <c:numCache>
                <c:formatCode>General</c:formatCode>
                <c:ptCount val="2"/>
                <c:pt idx="0">
                  <c:v>11</c:v>
                </c:pt>
                <c:pt idx="1">
                  <c:v>11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832429827731599"/>
          <c:y val="0.329124126813541"/>
          <c:w val="0.162269606071558"/>
          <c:h val="0.232939279957012"/>
        </c:manualLayout>
      </c:layout>
      <c:overlay val="0"/>
      <c:spPr>
        <a:solidFill>
          <a:srgbClr val="FFFFFF"/>
        </a:solidFill>
        <a:ln>
          <a:solidFill>
            <a:srgbClr val="000000"/>
          </a:solidFill>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pieChart>
        <c:varyColors val="1"/>
        <c:ser>
          <c:idx val="0"/>
          <c:order val="0"/>
          <c:explosion val="0"/>
          <c:dPt>
            <c:idx val="0"/>
            <c:bubble3D val="0"/>
            <c:spPr>
              <a:solidFill>
                <a:schemeClr val="accent2"/>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[Book1.xls]Sheet1!$A$1</c:f>
              <c:strCache>
                <c:ptCount val="1"/>
                <c:pt idx="0">
                  <c:v>财政拨款</c:v>
                </c:pt>
              </c:strCache>
            </c:strRef>
          </c:cat>
          <c:val>
            <c:numRef>
              <c:f>[Book1.xls]Sheet1!$B$1</c:f>
              <c:numCache>
                <c:formatCode>General</c:formatCode>
                <c:ptCount val="1"/>
                <c:pt idx="0">
                  <c:v>446.79</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794075144508671"/>
          <c:y val="0.401723334885887"/>
          <c:w val="0.19990366088632"/>
          <c:h val="0.127852817885422"/>
        </c:manualLayout>
      </c:layout>
      <c:overlay val="0"/>
      <c:spPr>
        <a:solidFill>
          <a:srgbClr val="FFFFFF"/>
        </a:solidFill>
        <a:ln>
          <a:solidFill>
            <a:srgbClr val="000000"/>
          </a:solidFill>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Lbls>
            <c:dLbl>
              <c:idx val="0"/>
              <c:layout/>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1"/>
              <c:showBubbleSize val="0"/>
              <c:extLst>
                <c:ext xmlns:c15="http://schemas.microsoft.com/office/drawing/2012/chart" uri="{CE6537A1-D6FC-4f65-9D91-7224C49458BB}"/>
              </c:extLst>
            </c:dLbl>
            <c:dLbl>
              <c:idx val="1"/>
              <c:layout/>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[book1.xls]Sheet1!$A$1:$A$2</c:f>
              <c:strCache>
                <c:ptCount val="2"/>
                <c:pt idx="0">
                  <c:v>基本支出</c:v>
                </c:pt>
                <c:pt idx="1">
                  <c:v>项目支出</c:v>
                </c:pt>
              </c:strCache>
            </c:strRef>
          </c:cat>
          <c:val>
            <c:numRef>
              <c:f>[book1.xls]Sheet1!$B$1:$B$2</c:f>
              <c:numCache>
                <c:formatCode>General</c:formatCode>
                <c:ptCount val="2"/>
                <c:pt idx="0">
                  <c:v>279.57</c:v>
                </c:pt>
                <c:pt idx="1">
                  <c:v>158.54</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r"/>
      <c:layout>
        <c:manualLayout>
          <c:xMode val="edge"/>
          <c:yMode val="edge"/>
          <c:x val="0.813275508974822"/>
          <c:y val="0.340408382590005"/>
          <c:w val="0.181423924828334"/>
          <c:h val="0.221655024180548"/>
        </c:manualLayout>
      </c:layout>
      <c:overlay val="0"/>
      <c:spPr>
        <a:solidFill>
          <a:srgbClr val="FFFFFF"/>
        </a:solidFill>
        <a:ln>
          <a:solidFill>
            <a:srgbClr val="000000"/>
          </a:solid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15</Pages>
  <Words>1102</Words>
  <Characters>6286</Characters>
  <Lines>52</Lines>
  <Paragraphs>14</Paragraphs>
  <TotalTime>34</TotalTime>
  <ScaleCrop>false</ScaleCrop>
  <LinksUpToDate>false</LinksUpToDate>
  <CharactersWithSpaces>7374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2018-08-30T07:57:00Z</dcterms:created>
  <dc:creator>微软用户</dc:creator>
  <cp:lastModifiedBy>zhouqin</cp:lastModifiedBy>
  <cp:lastPrinted>2018-09-21T01:46:00Z</cp:lastPrinted>
  <dcterms:modified xsi:type="dcterms:W3CDTF">2024-01-19T07:03:40Z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5C37BFC3008E4B5290CB93AC22475A48_12</vt:lpwstr>
  </property>
</Properties>
</file>