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snapToGrid w:val="0"/>
        <w:spacing w:afterLines="20" w:line="576" w:lineRule="exact"/>
        <w:jc w:val="center"/>
        <w:rPr>
          <w:rFonts w:ascii="方正小标宋简体" w:eastAsia="方正小标宋简体"/>
          <w:spacing w:val="30"/>
          <w:sz w:val="44"/>
          <w:szCs w:val="44"/>
        </w:rPr>
      </w:pPr>
    </w:p>
    <w:p>
      <w:pPr>
        <w:jc w:val="center"/>
        <w:rPr>
          <w:rFonts w:ascii="宋体" w:hAnsi="宋体" w:cs="宋体"/>
          <w:b/>
          <w:bCs/>
          <w:sz w:val="44"/>
          <w:szCs w:val="44"/>
        </w:rPr>
      </w:pPr>
    </w:p>
    <w:p>
      <w:pPr>
        <w:spacing w:line="440" w:lineRule="exact"/>
        <w:jc w:val="center"/>
        <w:rPr>
          <w:rFonts w:ascii="宋体" w:hAnsi="宋体" w:cs="宋体"/>
          <w:b/>
          <w:bCs/>
          <w:sz w:val="44"/>
          <w:szCs w:val="44"/>
        </w:rPr>
      </w:pPr>
    </w:p>
    <w:p>
      <w:pPr>
        <w:pStyle w:val="5"/>
        <w:shd w:val="clear" w:color="auto" w:fill="FFFFFF"/>
        <w:spacing w:before="0" w:beforeAutospacing="0" w:after="0" w:afterAutospacing="0"/>
        <w:jc w:val="center"/>
        <w:rPr>
          <w:rStyle w:val="9"/>
          <w:sz w:val="36"/>
          <w:szCs w:val="36"/>
        </w:rPr>
      </w:pPr>
    </w:p>
    <w:p>
      <w:pPr>
        <w:pStyle w:val="5"/>
        <w:shd w:val="clear" w:color="auto" w:fill="FFFFFF"/>
        <w:spacing w:before="0" w:beforeAutospacing="0" w:after="0" w:afterAutospacing="0" w:line="520" w:lineRule="exact"/>
        <w:jc w:val="center"/>
        <w:rPr>
          <w:rStyle w:val="9"/>
          <w:rFonts w:ascii="方正小标宋简体" w:hAnsi="方正小标宋简体" w:eastAsia="方正小标宋简体" w:cs="方正小标宋简体"/>
          <w:color w:val="000000"/>
          <w:sz w:val="44"/>
          <w:szCs w:val="44"/>
        </w:rPr>
      </w:pPr>
      <w:r>
        <w:rPr>
          <w:rStyle w:val="9"/>
          <w:rFonts w:hint="eastAsia" w:ascii="方正小标宋简体" w:hAnsi="方正小标宋简体" w:eastAsia="方正小标宋简体" w:cs="方正小标宋简体"/>
          <w:color w:val="000000"/>
          <w:sz w:val="44"/>
          <w:szCs w:val="44"/>
        </w:rPr>
        <w:t>中共西安市阎良区委政法委员会</w:t>
      </w:r>
    </w:p>
    <w:p>
      <w:pPr>
        <w:pStyle w:val="5"/>
        <w:shd w:val="clear" w:color="auto" w:fill="FFFFFF"/>
        <w:spacing w:before="0" w:beforeAutospacing="0" w:after="0" w:afterAutospacing="0" w:line="520" w:lineRule="exact"/>
        <w:jc w:val="center"/>
        <w:rPr>
          <w:rStyle w:val="9"/>
          <w:rFonts w:ascii="方正小标宋简体" w:hAnsi="方正小标宋简体" w:eastAsia="方正小标宋简体" w:cs="方正小标宋简体"/>
          <w:b w:val="0"/>
          <w:bCs w:val="0"/>
          <w:color w:val="000000"/>
          <w:sz w:val="44"/>
          <w:szCs w:val="44"/>
        </w:rPr>
      </w:pPr>
      <w:r>
        <w:rPr>
          <w:rStyle w:val="9"/>
          <w:rFonts w:hint="eastAsia" w:ascii="方正小标宋简体" w:hAnsi="方正小标宋简体" w:eastAsia="方正小标宋简体" w:cs="方正小标宋简体"/>
          <w:color w:val="000000"/>
          <w:sz w:val="44"/>
          <w:szCs w:val="44"/>
        </w:rPr>
        <w:t>2019年度部门决算</w:t>
      </w: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088" w:firstLineChars="650"/>
        <w:rPr>
          <w:rFonts w:asciiTheme="minorEastAsia" w:hAnsiTheme="minorEastAsia" w:eastAsiaTheme="minorEastAsia" w:cstheme="minorEastAsia"/>
          <w:b/>
          <w:bCs/>
          <w:szCs w:val="32"/>
        </w:rPr>
      </w:pPr>
      <w:r>
        <w:rPr>
          <w:rFonts w:hint="eastAsia" w:asciiTheme="minorEastAsia" w:hAnsiTheme="minorEastAsia" w:eastAsiaTheme="minorEastAsia" w:cstheme="minorEastAsia"/>
          <w:b/>
          <w:bCs/>
          <w:szCs w:val="32"/>
        </w:rPr>
        <w:t>保密审查情况：已审查</w:t>
      </w:r>
    </w:p>
    <w:p>
      <w:pPr>
        <w:spacing w:line="400" w:lineRule="exact"/>
        <w:jc w:val="center"/>
        <w:rPr>
          <w:rFonts w:asciiTheme="minorEastAsia" w:hAnsiTheme="minorEastAsia" w:eastAsiaTheme="minorEastAsia" w:cstheme="minorEastAsia"/>
          <w:b/>
          <w:bCs/>
          <w:szCs w:val="32"/>
        </w:rPr>
      </w:pPr>
    </w:p>
    <w:p>
      <w:pPr>
        <w:spacing w:line="400" w:lineRule="exact"/>
        <w:ind w:firstLine="2088" w:firstLineChars="650"/>
        <w:rPr>
          <w:rFonts w:ascii="宋体" w:hAnsi="宋体" w:cs="宋体" w:eastAsiaTheme="minorEastAsia"/>
          <w:b/>
          <w:bCs/>
          <w:szCs w:val="32"/>
        </w:rPr>
      </w:pPr>
      <w:r>
        <w:rPr>
          <w:rFonts w:hint="eastAsia" w:asciiTheme="minorEastAsia" w:hAnsiTheme="minorEastAsia" w:eastAsiaTheme="minorEastAsia" w:cstheme="minorEastAsia"/>
          <w:b/>
          <w:bCs/>
          <w:szCs w:val="32"/>
        </w:rPr>
        <w:t>部门主要负责人审签情况：已审签</w:t>
      </w:r>
    </w:p>
    <w:p>
      <w:pPr>
        <w:jc w:val="center"/>
        <w:rPr>
          <w:rFonts w:ascii="黑体" w:hAnsi="宋体" w:eastAsia="黑体"/>
          <w:b/>
          <w:color w:val="000000"/>
          <w:kern w:val="0"/>
          <w:sz w:val="56"/>
          <w:szCs w:val="56"/>
        </w:rPr>
      </w:pPr>
    </w:p>
    <w:p>
      <w:pPr>
        <w:jc w:val="center"/>
        <w:rPr>
          <w:rFonts w:ascii="黑体" w:hAnsi="宋体" w:eastAsia="黑体"/>
          <w:b/>
          <w:color w:val="000000"/>
          <w:kern w:val="0"/>
          <w:sz w:val="56"/>
          <w:szCs w:val="56"/>
        </w:rPr>
      </w:pPr>
    </w:p>
    <w:p>
      <w:pPr>
        <w:jc w:val="center"/>
        <w:rPr>
          <w:rFonts w:ascii="黑体" w:hAnsi="宋体" w:eastAsia="黑体"/>
          <w:bCs/>
          <w:color w:val="000000"/>
          <w:kern w:val="0"/>
          <w:sz w:val="36"/>
          <w:szCs w:val="36"/>
        </w:rPr>
      </w:pPr>
      <w:r>
        <w:rPr>
          <w:rFonts w:ascii="黑体" w:hAnsi="宋体" w:eastAsia="黑体"/>
          <w:bCs/>
          <w:color w:val="000000"/>
          <w:kern w:val="0"/>
          <w:sz w:val="36"/>
          <w:szCs w:val="36"/>
        </w:rPr>
        <w:t>目录</w:t>
      </w:r>
    </w:p>
    <w:p>
      <w:pPr>
        <w:jc w:val="center"/>
        <w:rPr>
          <w:rFonts w:ascii="黑体" w:hAnsi="宋体" w:eastAsia="黑体"/>
          <w:bCs/>
          <w:color w:val="000000"/>
          <w:kern w:val="0"/>
          <w:sz w:val="36"/>
          <w:szCs w:val="36"/>
        </w:rPr>
      </w:pPr>
    </w:p>
    <w:p>
      <w:pPr>
        <w:widowControl/>
        <w:jc w:val="center"/>
      </w:pPr>
      <w:r>
        <w:rPr>
          <w:rFonts w:hint="eastAsia" w:ascii="黑体" w:hAnsi="宋体" w:eastAsia="黑体"/>
          <w:color w:val="000000"/>
          <w:kern w:val="0"/>
          <w:szCs w:val="32"/>
        </w:rPr>
        <w:t>第一部分 部门概况</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pPr>
        <w:widowControl/>
        <w:jc w:val="center"/>
      </w:pPr>
      <w:r>
        <w:rPr>
          <w:rFonts w:hint="eastAsia" w:ascii="黑体" w:hAnsi="宋体" w:eastAsia="黑体"/>
          <w:color w:val="000000"/>
          <w:kern w:val="0"/>
          <w:szCs w:val="32"/>
        </w:rPr>
        <w:t>第二部分  2019年度部门决算表</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一、收入支出决算总表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二、收入决算总表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三、支出决算总表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四、财政拨款收入支出决算总表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五、一般公共预算财政拨款支出决算表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六、一般公共预算财政拨款基本支出决算表    </w:t>
      </w:r>
    </w:p>
    <w:p>
      <w:pPr>
        <w:widowControl/>
        <w:ind w:left="640" w:hanging="640" w:hangingChars="20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七、一般公共预算财政拨款“三公”经费及会议费、培训费支出决算表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pPr>
        <w:widowControl/>
        <w:jc w:val="center"/>
      </w:pPr>
      <w:r>
        <w:rPr>
          <w:rFonts w:hint="eastAsia" w:ascii="黑体" w:hAnsi="宋体" w:eastAsia="黑体"/>
          <w:color w:val="000000"/>
          <w:kern w:val="0"/>
          <w:szCs w:val="32"/>
        </w:rPr>
        <w:t>第三部分 2019年度部门决算情况说明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pPr>
        <w:widowControl/>
        <w:jc w:val="left"/>
        <w:rPr>
          <w:rFonts w:ascii="楷体" w:hAnsi="楷体" w:eastAsia="楷体" w:cs="楷体"/>
        </w:rPr>
      </w:pPr>
      <w:r>
        <w:rPr>
          <w:rFonts w:hint="eastAsia" w:ascii="仿宋" w:hAnsi="仿宋" w:eastAsia="仿宋" w:cs="楷体"/>
          <w:color w:val="000000"/>
          <w:kern w:val="0"/>
          <w:szCs w:val="32"/>
        </w:rPr>
        <w:t>四、财政拨款收入支出决算总体情况说明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 十一、其他重要事项说明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pPr>
        <w:jc w:val="center"/>
        <w:rPr>
          <w:rFonts w:ascii="黑体" w:hAnsi="宋体" w:eastAsia="黑体"/>
          <w:color w:val="000000"/>
          <w:kern w:val="0"/>
          <w:szCs w:val="32"/>
        </w:rPr>
      </w:pPr>
      <w:r>
        <w:rPr>
          <w:rFonts w:hint="eastAsia" w:ascii="黑体" w:hAnsi="宋体" w:eastAsia="黑体"/>
          <w:color w:val="000000"/>
          <w:kern w:val="0"/>
          <w:szCs w:val="32"/>
        </w:rPr>
        <w:t>第四部分 专业名词解释</w:t>
      </w:r>
    </w:p>
    <w:p>
      <w:pPr>
        <w:rPr>
          <w:rFonts w:ascii="黑体" w:hAnsi="宋体" w:eastAsia="黑体"/>
          <w:color w:val="000000"/>
          <w:kern w:val="0"/>
          <w:szCs w:val="32"/>
        </w:rPr>
      </w:pPr>
    </w:p>
    <w:p>
      <w:pPr>
        <w:rPr>
          <w:rFonts w:ascii="黑体" w:hAnsi="宋体" w:eastAsia="黑体"/>
          <w:color w:val="000000"/>
          <w:kern w:val="0"/>
          <w:szCs w:val="32"/>
        </w:rPr>
      </w:pPr>
    </w:p>
    <w:p>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w:t>
      </w:r>
      <w:r>
        <w:rPr>
          <w:rFonts w:ascii="黑体" w:hAnsi="宋体" w:eastAsia="黑体"/>
          <w:color w:val="000000"/>
          <w:kern w:val="0"/>
          <w:sz w:val="44"/>
          <w:szCs w:val="44"/>
        </w:rPr>
        <w:t>概况</w:t>
      </w:r>
    </w:p>
    <w:p>
      <w:pPr>
        <w:pStyle w:val="5"/>
        <w:spacing w:before="0" w:beforeAutospacing="0" w:after="0" w:afterAutospacing="0" w:line="560" w:lineRule="exact"/>
        <w:ind w:firstLine="640" w:firstLineChars="200"/>
        <w:rPr>
          <w:rFonts w:ascii="黑体" w:hAnsi="Times New Roman" w:eastAsia="黑体" w:cs="楷体"/>
          <w:bCs/>
          <w:color w:val="000000"/>
          <w:sz w:val="32"/>
          <w:szCs w:val="32"/>
        </w:rPr>
      </w:pPr>
      <w:r>
        <w:rPr>
          <w:rFonts w:hint="eastAsia" w:ascii="黑体" w:hAnsi="Times New Roman" w:eastAsia="黑体" w:cs="楷体"/>
          <w:bCs/>
          <w:color w:val="000000"/>
          <w:sz w:val="32"/>
          <w:szCs w:val="32"/>
        </w:rPr>
        <w:t>一、部门主要职责及内设机构</w:t>
      </w:r>
    </w:p>
    <w:p>
      <w:pPr>
        <w:spacing w:line="560" w:lineRule="exact"/>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根据《中共西安市阎良区委办公室关于印发中共西安市阎良区委政法委员会职能配置内设机构和人员编制规定的通知》（阎办字【</w:t>
      </w:r>
      <w:r>
        <w:rPr>
          <w:rFonts w:ascii="仿宋_GB2312" w:hAnsi="仿宋_GB2312" w:eastAsia="仿宋_GB2312" w:cs="仿宋_GB2312"/>
          <w:szCs w:val="32"/>
        </w:rPr>
        <w:t>2019</w:t>
      </w:r>
      <w:r>
        <w:rPr>
          <w:rFonts w:hint="eastAsia" w:ascii="仿宋_GB2312" w:hAnsi="仿宋_GB2312" w:eastAsia="仿宋_GB2312" w:cs="仿宋_GB2312"/>
          <w:szCs w:val="32"/>
        </w:rPr>
        <w:t>】</w:t>
      </w:r>
      <w:r>
        <w:rPr>
          <w:rFonts w:ascii="仿宋_GB2312" w:hAnsi="仿宋_GB2312" w:eastAsia="仿宋_GB2312" w:cs="仿宋_GB2312"/>
          <w:szCs w:val="32"/>
        </w:rPr>
        <w:t>40</w:t>
      </w:r>
      <w:r>
        <w:rPr>
          <w:rFonts w:hint="eastAsia" w:ascii="仿宋_GB2312" w:hAnsi="仿宋_GB2312" w:eastAsia="仿宋_GB2312" w:cs="仿宋_GB2312"/>
          <w:szCs w:val="32"/>
        </w:rPr>
        <w:t>号），中共西安市阎良区委政法委员会是区委领导和管理政法工作的职能部门，是区委工作机关，为正处级，贯彻落实党中央、省委、市委、和区委对政法工作的方针政策和决策部署。</w:t>
      </w:r>
    </w:p>
    <w:p>
      <w:pPr>
        <w:widowControl/>
        <w:spacing w:line="560" w:lineRule="exact"/>
        <w:ind w:firstLine="643" w:firstLineChars="200"/>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（一）主要职责</w:t>
      </w:r>
    </w:p>
    <w:p>
      <w:pPr>
        <w:spacing w:line="560" w:lineRule="exact"/>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一）贯彻落实习近平新时代中国特色社会主义思想，坚持党对政法工作的绝对领导，坚决维护习近平总书记核心地位，坚决维护党中央权威和集中统一领导，坚决执行党的路线方针政策和决策部署，贯彻执行《中国共产党政法工作条例》。</w:t>
      </w:r>
    </w:p>
    <w:p>
      <w:pPr>
        <w:spacing w:line="560" w:lineRule="exact"/>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（二）拟订全区政法工作规划和年度工作计划并组织实施。组织开展全区政法领域重大实践和理论问题调查研究，统筹推进政法改革工作。</w:t>
      </w:r>
    </w:p>
    <w:p>
      <w:pPr>
        <w:spacing w:line="560" w:lineRule="exact"/>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三）组织、协调、指导维护社会稳定工作，了解掌握和分析研判全区社会稳定形势；组织完善维稳工作机制，负责全区社会稳定风险评估工作，指导政法各部门处理影响全区社会稳定的重大事项，牵头负责协调应对和妥善处置重大突发事件，协调处理群体性事件。</w:t>
      </w:r>
    </w:p>
    <w:p>
      <w:pPr>
        <w:spacing w:line="560" w:lineRule="exact"/>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（四）分析研判全区社会治安形势并提出对策建议；加</w:t>
      </w:r>
    </w:p>
    <w:p>
      <w:pPr>
        <w:spacing w:line="560" w:lineRule="exact"/>
        <w:rPr>
          <w:rFonts w:ascii="仿宋_GB2312" w:hAnsi="仿宋_GB2312" w:eastAsia="仿宋_GB2312" w:cs="仿宋_GB2312"/>
          <w:szCs w:val="32"/>
        </w:rPr>
      </w:pPr>
      <w:r>
        <w:rPr>
          <w:rFonts w:hint="eastAsia" w:ascii="仿宋_GB2312" w:hAnsi="仿宋_GB2312" w:eastAsia="仿宋_GB2312" w:cs="仿宋_GB2312"/>
          <w:szCs w:val="32"/>
        </w:rPr>
        <w:t>强对社会治安综合治理工作的督导检查，协调指导全区推进治安问题排查整治和社会治安防控体系建设，统筹协调推进社会治安综合治理工作，提升社会公众安全感。</w:t>
      </w:r>
    </w:p>
    <w:p>
      <w:pPr>
        <w:spacing w:line="560" w:lineRule="exact"/>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（五）了解掌握邪教发展动向，组织开展涉邪教问题调查研充，提出对策和建议；协调指导全区反邪教相关工作，统筹部署开展重大斗争活动。</w:t>
      </w:r>
    </w:p>
    <w:p>
      <w:pPr>
        <w:spacing w:line="560" w:lineRule="exact"/>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（六）协调推进全区基层社会综合治理体系建设，完善基层综治维稳机制，协调指导推动社会治安综合治理信息化建设，组织推进全区矛盾纠纷多元化解工作。</w:t>
      </w:r>
    </w:p>
    <w:p>
      <w:pPr>
        <w:spacing w:line="560" w:lineRule="exact"/>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七）监督和支持区级政法单位依法行使职权，检查区级政法单位执行党的路线方针政策和国家法律法规的情况，指导和协调政法单位密切配合，完善与纪检监察机关工作衔接和协作配合机制，推进严格执法、公正司法。</w:t>
      </w:r>
    </w:p>
    <w:p>
      <w:pPr>
        <w:spacing w:line="560" w:lineRule="exact"/>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（八）指导推动政法系统党的建设和政法队伍建设，协助组织部门加强政法单位领导班子和干部队伍建设，指导全区政法系统人才队伍建设，承担全区政法系统干部教育培训工作。</w:t>
      </w:r>
    </w:p>
    <w:p>
      <w:pPr>
        <w:spacing w:line="560" w:lineRule="exact"/>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（九）落实区委全面依法治区领导机构的决策部署，分析研判全区政治安全形势和法治建设情况，并提出意见建议，指导和协调区级政法单位维护政治安全工作和执法司法相关工作。</w:t>
      </w:r>
    </w:p>
    <w:p>
      <w:pPr>
        <w:spacing w:line="560" w:lineRule="exact"/>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十）了解掌握和分析全区政法舆情动态并提出对策建议，加强涉及政法系统重大舆情的风险评估和监测报送，指导和协调政法单位和有关部门做好舆论引导工作，统筹指导全区政法宣传工作，做好政法系统先进典型培育和评选推荐工作。</w:t>
      </w:r>
    </w:p>
    <w:p>
      <w:pPr>
        <w:spacing w:line="560" w:lineRule="exact"/>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（十一）统一全区政法单位思想和行动，研究和协调区级政法单位之间、区级政法单位与部门、街道之间有关重大事项。统一管理区委平安建设工作办公室。</w:t>
      </w:r>
    </w:p>
    <w:p>
      <w:pPr>
        <w:spacing w:line="560" w:lineRule="exact"/>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（十二）组织推动区级政法各部门开展党风廉政建设，协助区纪委监委查处违纪违法行为。</w:t>
      </w:r>
    </w:p>
    <w:p>
      <w:pPr>
        <w:spacing w:line="560" w:lineRule="exact"/>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（十三）负责本机关安全生产管理工作。</w:t>
      </w:r>
    </w:p>
    <w:p>
      <w:pPr>
        <w:spacing w:line="560" w:lineRule="exact"/>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（十四）承办区委交办的其他事项。</w:t>
      </w:r>
    </w:p>
    <w:p>
      <w:pPr>
        <w:widowControl/>
        <w:spacing w:line="560" w:lineRule="exact"/>
        <w:ind w:firstLine="643" w:firstLineChars="200"/>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（二）内设机构</w:t>
      </w:r>
    </w:p>
    <w:p>
      <w:pPr>
        <w:widowControl/>
        <w:spacing w:line="560" w:lineRule="exact"/>
        <w:ind w:firstLine="640" w:firstLineChars="200"/>
        <w:jc w:val="left"/>
        <w:rPr>
          <w:rFonts w:ascii="楷体" w:hAnsi="楷体" w:eastAsia="楷体" w:cs="楷体"/>
          <w:b/>
          <w:bCs/>
          <w:color w:val="000000"/>
          <w:kern w:val="0"/>
          <w:szCs w:val="32"/>
        </w:rPr>
      </w:pPr>
      <w:r>
        <w:rPr>
          <w:rFonts w:hint="eastAsia" w:ascii="仿宋_GB2312" w:hAnsi="华文仿宋" w:eastAsia="仿宋_GB2312" w:cs="华文仿宋"/>
          <w:szCs w:val="32"/>
        </w:rPr>
        <w:t>中共西安市阎良区委政法委员会下设</w:t>
      </w:r>
      <w:r>
        <w:rPr>
          <w:rFonts w:ascii="仿宋_GB2312" w:hAnsi="华文仿宋" w:eastAsia="仿宋_GB2312" w:cs="华文仿宋"/>
          <w:szCs w:val="32"/>
        </w:rPr>
        <w:t>3</w:t>
      </w:r>
      <w:r>
        <w:rPr>
          <w:rFonts w:hint="eastAsia" w:ascii="仿宋_GB2312" w:hAnsi="华文仿宋" w:eastAsia="仿宋_GB2312" w:cs="华文仿宋"/>
          <w:szCs w:val="32"/>
        </w:rPr>
        <w:t>个科室：</w:t>
      </w:r>
      <w:r>
        <w:rPr>
          <w:rFonts w:hint="eastAsia" w:ascii="仿宋_GB2312" w:hAnsi="仿宋_GB2312" w:eastAsia="仿宋_GB2312" w:cs="仿宋_GB2312"/>
          <w:szCs w:val="32"/>
        </w:rPr>
        <w:t>办公室、综治科、维稳科</w:t>
      </w:r>
      <w:r>
        <w:rPr>
          <w:rFonts w:hint="eastAsia" w:ascii="仿宋_GB2312" w:hAnsi="华文仿宋" w:eastAsia="仿宋_GB2312" w:cs="华文仿宋"/>
          <w:szCs w:val="32"/>
        </w:rPr>
        <w:t>。</w:t>
      </w:r>
    </w:p>
    <w:p>
      <w:pPr>
        <w:widowControl/>
        <w:spacing w:line="560" w:lineRule="exact"/>
        <w:ind w:firstLine="640" w:firstLineChars="200"/>
        <w:jc w:val="left"/>
      </w:pPr>
      <w:r>
        <w:rPr>
          <w:rFonts w:ascii="黑体" w:hAnsi="宋体" w:eastAsia="黑体"/>
          <w:color w:val="000000"/>
          <w:kern w:val="0"/>
          <w:szCs w:val="32"/>
        </w:rPr>
        <w:t>二、</w:t>
      </w:r>
      <w:r>
        <w:rPr>
          <w:rFonts w:hint="eastAsia" w:ascii="黑体" w:hAnsi="宋体" w:eastAsia="黑体"/>
          <w:color w:val="000000"/>
          <w:kern w:val="0"/>
          <w:szCs w:val="32"/>
        </w:rPr>
        <w:t>部门决算单位构成</w:t>
      </w:r>
    </w:p>
    <w:p>
      <w:pPr>
        <w:spacing w:line="560" w:lineRule="exact"/>
        <w:ind w:firstLine="640" w:firstLineChars="200"/>
        <w:rPr>
          <w:rFonts w:ascii="仿宋_GB2312" w:hAnsi="华文仿宋" w:eastAsia="仿宋_GB2312" w:cs="华文仿宋"/>
          <w:szCs w:val="32"/>
        </w:rPr>
      </w:pPr>
      <w:r>
        <w:rPr>
          <w:rFonts w:hint="eastAsia" w:ascii="仿宋_GB2312" w:hAnsi="仿宋_GB2312" w:eastAsia="仿宋_GB2312" w:cs="仿宋_GB2312"/>
          <w:szCs w:val="32"/>
        </w:rPr>
        <w:t>纳入2019年度本部门决算编制范围的单位共1个，</w:t>
      </w:r>
      <w:r>
        <w:rPr>
          <w:rFonts w:hint="eastAsia" w:ascii="仿宋_GB2312" w:hAnsi="华文仿宋" w:eastAsia="仿宋_GB2312" w:cs="华文仿宋"/>
          <w:szCs w:val="32"/>
        </w:rPr>
        <w:t>决算包括部门本级（机关）决算，无二级决算单位：</w:t>
      </w:r>
    </w:p>
    <w:tbl>
      <w:tblPr>
        <w:tblStyle w:val="7"/>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黑体" w:hAnsi="黑体" w:eastAsia="黑体"/>
                <w:szCs w:val="32"/>
              </w:rPr>
            </w:pPr>
            <w:r>
              <w:rPr>
                <w:rFonts w:hint="eastAsia" w:ascii="黑体" w:hAnsi="黑体" w:eastAsia="黑体"/>
                <w:szCs w:val="32"/>
              </w:rPr>
              <w:t>序号</w:t>
            </w:r>
          </w:p>
        </w:tc>
        <w:tc>
          <w:tcPr>
            <w:tcW w:w="7278" w:type="dxa"/>
            <w:vAlign w:val="center"/>
          </w:tcPr>
          <w:p>
            <w:pPr>
              <w:jc w:val="center"/>
              <w:rPr>
                <w:rFonts w:ascii="黑体" w:hAnsi="黑体" w:eastAsia="黑体"/>
                <w:szCs w:val="32"/>
              </w:rPr>
            </w:pPr>
            <w:r>
              <w:rPr>
                <w:rFonts w:hint="eastAsia" w:ascii="黑体" w:hAnsi="黑体" w:eastAsia="黑体"/>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rPr>
              <w:t>1</w:t>
            </w:r>
          </w:p>
        </w:tc>
        <w:tc>
          <w:tcPr>
            <w:tcW w:w="7278"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rPr>
              <w:t>中共西安市阎良区委政法委本级（机关）</w:t>
            </w:r>
          </w:p>
        </w:tc>
      </w:tr>
    </w:tbl>
    <w:p>
      <w:pPr>
        <w:ind w:firstLine="640"/>
        <w:rPr>
          <w:rFonts w:ascii="黑体" w:hAnsi="黑体" w:eastAsia="黑体"/>
          <w:b/>
          <w:bCs/>
          <w:szCs w:val="32"/>
        </w:rPr>
      </w:pPr>
      <w:r>
        <w:rPr>
          <w:rFonts w:hint="eastAsia" w:ascii="黑体" w:hAnsi="黑体" w:eastAsia="黑体"/>
          <w:b/>
          <w:bCs/>
          <w:szCs w:val="32"/>
        </w:rPr>
        <w:t>三、部门人员情况</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截止</w:t>
      </w:r>
      <w:r>
        <w:rPr>
          <w:rFonts w:ascii="仿宋_GB2312" w:hAnsi="华文仿宋" w:eastAsia="仿宋_GB2312" w:cs="华文仿宋"/>
          <w:szCs w:val="32"/>
        </w:rPr>
        <w:t>20</w:t>
      </w:r>
      <w:r>
        <w:rPr>
          <w:rFonts w:hint="eastAsia" w:ascii="仿宋_GB2312" w:hAnsi="华文仿宋" w:eastAsia="仿宋_GB2312" w:cs="华文仿宋"/>
          <w:szCs w:val="32"/>
        </w:rPr>
        <w:t>19年底，本部门人员编制9人，其中行政编制9人；实有人员8人，其中行政8人。单位管理的退休人员</w:t>
      </w:r>
      <w:r>
        <w:rPr>
          <w:rFonts w:ascii="仿宋_GB2312" w:hAnsi="华文仿宋" w:eastAsia="仿宋_GB2312" w:cs="华文仿宋"/>
          <w:szCs w:val="32"/>
        </w:rPr>
        <w:t>5</w:t>
      </w:r>
      <w:r>
        <w:rPr>
          <w:rFonts w:hint="eastAsia" w:ascii="仿宋_GB2312" w:hAnsi="华文仿宋" w:eastAsia="仿宋_GB2312" w:cs="华文仿宋"/>
          <w:szCs w:val="32"/>
        </w:rPr>
        <w:t>人。</w:t>
      </w:r>
    </w:p>
    <w:p>
      <w:pPr>
        <w:spacing w:line="560" w:lineRule="exact"/>
        <w:ind w:firstLine="640" w:firstLineChars="200"/>
        <w:rPr>
          <w:rFonts w:ascii="仿宋_GB2312" w:hAnsi="华文仿宋" w:eastAsia="仿宋_GB2312" w:cs="华文仿宋"/>
          <w:szCs w:val="32"/>
        </w:rPr>
      </w:pPr>
      <w:r>
        <w:drawing>
          <wp:anchor distT="0" distB="0" distL="114300" distR="114300" simplePos="0" relativeHeight="251659264" behindDoc="0" locked="0" layoutInCell="1" allowOverlap="1">
            <wp:simplePos x="0" y="0"/>
            <wp:positionH relativeFrom="column">
              <wp:posOffset>420370</wp:posOffset>
            </wp:positionH>
            <wp:positionV relativeFrom="paragraph">
              <wp:posOffset>8890</wp:posOffset>
            </wp:positionV>
            <wp:extent cx="4572000" cy="1762760"/>
            <wp:effectExtent l="4445" t="4445" r="14605" b="23495"/>
            <wp:wrapNone/>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anchor>
        </w:drawing>
      </w:r>
    </w:p>
    <w:p>
      <w:pPr>
        <w:spacing w:line="560" w:lineRule="exact"/>
        <w:ind w:firstLine="640" w:firstLineChars="200"/>
        <w:rPr>
          <w:rFonts w:ascii="仿宋_GB2312" w:hAnsi="华文仿宋" w:eastAsia="仿宋_GB2312" w:cs="华文仿宋"/>
          <w:szCs w:val="32"/>
        </w:rPr>
      </w:pPr>
    </w:p>
    <w:p>
      <w:pPr>
        <w:spacing w:line="560" w:lineRule="exact"/>
        <w:ind w:firstLine="640" w:firstLineChars="200"/>
        <w:rPr>
          <w:rFonts w:ascii="仿宋_GB2312" w:hAnsi="华文仿宋" w:eastAsia="仿宋_GB2312" w:cs="华文仿宋"/>
          <w:szCs w:val="32"/>
        </w:rPr>
      </w:pPr>
    </w:p>
    <w:p>
      <w:pPr>
        <w:spacing w:line="560" w:lineRule="exact"/>
        <w:ind w:firstLine="641"/>
        <w:rPr>
          <w:rFonts w:ascii="仿宋_GB2312" w:hAnsi="仿宋_GB2312" w:eastAsia="仿宋_GB2312" w:cs="仿宋_GB2312"/>
          <w:szCs w:val="32"/>
        </w:rPr>
      </w:pPr>
    </w:p>
    <w:p>
      <w:pPr>
        <w:spacing w:line="560" w:lineRule="exact"/>
        <w:ind w:firstLine="641"/>
        <w:rPr>
          <w:rFonts w:ascii="仿宋_GB2312" w:hAnsi="仿宋_GB2312" w:eastAsia="仿宋_GB2312" w:cs="仿宋_GB2312"/>
          <w:szCs w:val="32"/>
        </w:rPr>
      </w:pPr>
    </w:p>
    <w:p>
      <w:pPr>
        <w:widowControl/>
        <w:jc w:val="center"/>
        <w:rPr>
          <w:sz w:val="44"/>
          <w:szCs w:val="44"/>
        </w:rPr>
      </w:pPr>
      <w:r>
        <w:rPr>
          <w:rFonts w:ascii="黑体" w:hAnsi="宋体" w:eastAsia="黑体"/>
          <w:color w:val="000000"/>
          <w:kern w:val="0"/>
          <w:sz w:val="44"/>
          <w:szCs w:val="44"/>
        </w:rPr>
        <w:t>第二部分 2019年度部门决算表</w:t>
      </w:r>
    </w:p>
    <w:tbl>
      <w:tblPr>
        <w:tblStyle w:val="6"/>
        <w:tblpPr w:leftFromText="180" w:rightFromText="180" w:vertAnchor="text" w:horzAnchor="page" w:tblpX="1508" w:tblpY="1123"/>
        <w:tblOverlap w:val="never"/>
        <w:tblW w:w="9210" w:type="dxa"/>
        <w:tblInd w:w="0" w:type="dxa"/>
        <w:tblLayout w:type="fixed"/>
        <w:tblCellMar>
          <w:top w:w="0" w:type="dxa"/>
          <w:left w:w="0" w:type="dxa"/>
          <w:bottom w:w="0" w:type="dxa"/>
          <w:right w:w="0" w:type="dxa"/>
        </w:tblCellMar>
      </w:tblPr>
      <w:tblGrid>
        <w:gridCol w:w="570"/>
        <w:gridCol w:w="6240"/>
        <w:gridCol w:w="660"/>
        <w:gridCol w:w="1740"/>
      </w:tblGrid>
      <w:tr>
        <w:tblPrEx>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序号</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内容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kern w:val="0"/>
                <w:sz w:val="24"/>
              </w:rPr>
            </w:pPr>
            <w:r>
              <w:rPr>
                <w:rFonts w:hint="eastAsia" w:ascii="黑体" w:hAnsi="宋体" w:eastAsia="黑体"/>
                <w:color w:val="000000"/>
                <w:kern w:val="0"/>
                <w:sz w:val="24"/>
              </w:rPr>
              <w:t>是否</w:t>
            </w:r>
          </w:p>
          <w:p>
            <w:pPr>
              <w:widowControl/>
              <w:jc w:val="center"/>
              <w:textAlignment w:val="center"/>
              <w:rPr>
                <w:rFonts w:ascii="黑体" w:hAnsi="宋体" w:eastAsia="黑体"/>
                <w:color w:val="000000"/>
                <w:sz w:val="24"/>
              </w:rPr>
            </w:pPr>
            <w:r>
              <w:rPr>
                <w:rFonts w:hint="eastAsia" w:ascii="黑体" w:hAnsi="宋体" w:eastAsia="黑体"/>
                <w:color w:val="000000"/>
                <w:kern w:val="0"/>
                <w:sz w:val="24"/>
              </w:rPr>
              <w:t>空表</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表格为空的理由</w:t>
            </w: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表1</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表2</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表3</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表4</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表5</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宋体" w:hAnsi="宋体" w:cs="宋体"/>
                <w:color w:val="000000"/>
                <w:kern w:val="0"/>
                <w:sz w:val="21"/>
                <w:szCs w:val="21"/>
              </w:rPr>
            </w:pPr>
            <w:r>
              <w:rPr>
                <w:rFonts w:hint="eastAsia" w:ascii="宋体" w:hAnsi="宋体" w:cs="宋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表6</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一般公共预算财政拨款基本支出决算表 （按经济分类科目）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表7</w:t>
            </w:r>
          </w:p>
        </w:tc>
        <w:tc>
          <w:tcPr>
            <w:tcW w:w="62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1"/>
                <w:szCs w:val="21"/>
              </w:rPr>
            </w:pPr>
            <w:r>
              <w:rPr>
                <w:rFonts w:hint="eastAsia" w:ascii="宋体" w:hAnsi="宋体" w:cs="宋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10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表8</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sz w:val="21"/>
                <w:szCs w:val="21"/>
              </w:rPr>
            </w:pPr>
            <w:r>
              <w:rPr>
                <w:rFonts w:hint="eastAsia" w:ascii="宋体" w:hAnsi="宋体" w:cs="宋体"/>
                <w:color w:val="000000"/>
                <w:kern w:val="0"/>
                <w:sz w:val="21"/>
                <w:szCs w:val="21"/>
              </w:rPr>
              <w:t>政府性基金预算财政拨款收入支出决算表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是</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00" w:lineRule="exact"/>
              <w:rPr>
                <w:rFonts w:ascii="宋体" w:hAnsi="宋体" w:cs="宋体"/>
                <w:color w:val="000000"/>
                <w:kern w:val="0"/>
                <w:sz w:val="21"/>
                <w:szCs w:val="21"/>
              </w:rPr>
            </w:pPr>
            <w:r>
              <w:rPr>
                <w:rFonts w:hint="eastAsia" w:ascii="宋体" w:hAnsi="宋体" w:cs="宋体"/>
                <w:color w:val="000000"/>
                <w:kern w:val="0"/>
                <w:sz w:val="18"/>
                <w:szCs w:val="18"/>
              </w:rPr>
              <w:t>本单位无政府性基</w:t>
            </w:r>
            <w:r>
              <w:rPr>
                <w:rFonts w:hint="eastAsia" w:ascii="宋体" w:hAnsi="宋体" w:cs="宋体"/>
                <w:color w:val="000000"/>
                <w:kern w:val="0"/>
                <w:sz w:val="21"/>
                <w:szCs w:val="21"/>
              </w:rPr>
              <w:t>金预算</w:t>
            </w:r>
          </w:p>
        </w:tc>
      </w:tr>
    </w:tbl>
    <w:p>
      <w:pPr>
        <w:widowControl/>
        <w:rPr>
          <w:rFonts w:ascii="黑体" w:hAnsi="宋体" w:eastAsia="黑体"/>
          <w:color w:val="000000"/>
          <w:kern w:val="0"/>
          <w:sz w:val="44"/>
          <w:szCs w:val="44"/>
        </w:rPr>
      </w:pPr>
    </w:p>
    <w:p>
      <w:pPr>
        <w:widowControl/>
        <w:rPr>
          <w:rFonts w:ascii="黑体" w:hAnsi="宋体" w:eastAsia="黑体"/>
          <w:color w:val="000000"/>
          <w:kern w:val="0"/>
          <w:sz w:val="44"/>
          <w:szCs w:val="44"/>
        </w:rPr>
      </w:pPr>
    </w:p>
    <w:p>
      <w:pPr>
        <w:widowControl/>
        <w:jc w:val="center"/>
        <w:textAlignment w:val="center"/>
        <w:rPr>
          <w:rFonts w:ascii="宋体" w:hAnsi="宋体" w:cs="宋体"/>
          <w:b/>
          <w:color w:val="000000"/>
          <w:kern w:val="0"/>
          <w:sz w:val="40"/>
          <w:szCs w:val="40"/>
        </w:rPr>
      </w:pPr>
      <w:r>
        <w:rPr>
          <w:rFonts w:hint="eastAsia" w:ascii="宋体" w:hAnsi="宋体" w:cs="宋体"/>
          <w:b/>
          <w:color w:val="000000"/>
          <w:kern w:val="0"/>
          <w:sz w:val="40"/>
          <w:szCs w:val="40"/>
        </w:rPr>
        <w:br w:type="page"/>
      </w:r>
    </w:p>
    <w:p>
      <w:pPr>
        <w:jc w:val="center"/>
        <w:rPr>
          <w:rFonts w:ascii="宋体" w:hAnsi="宋体" w:eastAsia="宋体" w:cs="宋体"/>
          <w:b/>
          <w:bCs/>
          <w:szCs w:val="32"/>
        </w:rPr>
      </w:pPr>
      <w:r>
        <w:rPr>
          <w:rFonts w:hint="eastAsia" w:ascii="宋体" w:hAnsi="宋体" w:eastAsia="宋体" w:cs="宋体"/>
          <w:b/>
          <w:bCs/>
          <w:szCs w:val="32"/>
        </w:rPr>
        <w:t>收入支出决算总表</w:t>
      </w:r>
    </w:p>
    <w:p>
      <w:pPr>
        <w:jc w:val="right"/>
        <w:rPr>
          <w:rFonts w:ascii="宋体" w:hAnsi="宋体" w:eastAsia="宋体" w:cs="宋体"/>
          <w:b/>
          <w:bCs/>
          <w:sz w:val="21"/>
          <w:szCs w:val="21"/>
        </w:rPr>
      </w:pPr>
      <w:r>
        <w:rPr>
          <w:rFonts w:hint="eastAsia" w:ascii="宋体" w:hAnsi="宋体" w:eastAsia="宋体" w:cs="宋体"/>
          <w:b/>
          <w:bCs/>
          <w:sz w:val="21"/>
          <w:szCs w:val="21"/>
        </w:rPr>
        <w:t>公开01表</w:t>
      </w:r>
    </w:p>
    <w:p>
      <w:pPr>
        <w:rPr>
          <w:rFonts w:ascii="宋体" w:hAnsi="宋体" w:eastAsia="宋体" w:cs="宋体"/>
          <w:b/>
          <w:bCs/>
          <w:sz w:val="21"/>
          <w:szCs w:val="21"/>
        </w:rPr>
      </w:pPr>
    </w:p>
    <w:p>
      <w:pPr>
        <w:rPr>
          <w:rFonts w:ascii="宋体" w:hAnsi="宋体" w:eastAsia="宋体" w:cs="宋体"/>
          <w:b/>
          <w:bCs/>
          <w:sz w:val="21"/>
          <w:szCs w:val="21"/>
        </w:rPr>
      </w:pPr>
      <w:r>
        <w:rPr>
          <w:rFonts w:hint="eastAsia" w:ascii="宋体" w:hAnsi="宋体" w:eastAsia="宋体" w:cs="宋体"/>
          <w:b/>
          <w:bCs/>
          <w:sz w:val="21"/>
          <w:szCs w:val="21"/>
        </w:rPr>
        <w:t>编制部门：中共西安市阎良区委员会政法委员会（本级）金额单位：万元</w:t>
      </w:r>
    </w:p>
    <w:p>
      <w:pPr>
        <w:rPr>
          <w:rFonts w:ascii="宋体" w:hAnsi="宋体" w:eastAsia="宋体" w:cs="宋体"/>
          <w:b/>
          <w:bCs/>
          <w:sz w:val="21"/>
          <w:szCs w:val="21"/>
        </w:rPr>
      </w:pPr>
    </w:p>
    <w:tbl>
      <w:tblPr>
        <w:tblStyle w:val="6"/>
        <w:tblW w:w="8884" w:type="dxa"/>
        <w:tblInd w:w="0" w:type="dxa"/>
        <w:tblLayout w:type="fixed"/>
        <w:tblCellMar>
          <w:top w:w="15" w:type="dxa"/>
          <w:left w:w="15" w:type="dxa"/>
          <w:bottom w:w="15" w:type="dxa"/>
          <w:right w:w="15" w:type="dxa"/>
        </w:tblCellMar>
      </w:tblPr>
      <w:tblGrid>
        <w:gridCol w:w="3388"/>
        <w:gridCol w:w="1080"/>
        <w:gridCol w:w="3090"/>
        <w:gridCol w:w="1326"/>
      </w:tblGrid>
      <w:tr>
        <w:tblPrEx>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    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    出</w:t>
            </w:r>
          </w:p>
        </w:tc>
      </w:tr>
      <w:tr>
        <w:tblPrEx>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1、一般公共预算财政拨款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447.19</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424.44</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2、政府性基金预算财政拨款</w:t>
            </w:r>
          </w:p>
        </w:tc>
        <w:tc>
          <w:tcPr>
            <w:tcW w:w="108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2、外交支出</w:t>
            </w:r>
          </w:p>
        </w:tc>
        <w:tc>
          <w:tcPr>
            <w:tcW w:w="1326"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 xml:space="preserve">3、国有资本经营预算财政拨款 </w:t>
            </w:r>
          </w:p>
        </w:tc>
        <w:tc>
          <w:tcPr>
            <w:tcW w:w="108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3、国防支出</w:t>
            </w:r>
          </w:p>
        </w:tc>
        <w:tc>
          <w:tcPr>
            <w:tcW w:w="1326"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4、上级补助收入</w:t>
            </w:r>
          </w:p>
        </w:tc>
        <w:tc>
          <w:tcPr>
            <w:tcW w:w="108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4、公共安全支出</w:t>
            </w:r>
          </w:p>
        </w:tc>
        <w:tc>
          <w:tcPr>
            <w:tcW w:w="1326"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5、事业收入</w:t>
            </w:r>
          </w:p>
        </w:tc>
        <w:tc>
          <w:tcPr>
            <w:tcW w:w="108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5、教育支出</w:t>
            </w:r>
          </w:p>
        </w:tc>
        <w:tc>
          <w:tcPr>
            <w:tcW w:w="1326"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6、经营收入</w:t>
            </w:r>
          </w:p>
        </w:tc>
        <w:tc>
          <w:tcPr>
            <w:tcW w:w="1080" w:type="dxa"/>
            <w:tcBorders>
              <w:top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6、科学技术支出</w:t>
            </w:r>
          </w:p>
        </w:tc>
        <w:tc>
          <w:tcPr>
            <w:tcW w:w="1326"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7、附属单位上缴收入</w:t>
            </w:r>
          </w:p>
        </w:tc>
        <w:tc>
          <w:tcPr>
            <w:tcW w:w="1080" w:type="dxa"/>
            <w:tcBorders>
              <w:top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7、文化旅游体育与传媒支出</w:t>
            </w:r>
          </w:p>
        </w:tc>
        <w:tc>
          <w:tcPr>
            <w:tcW w:w="1326"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8、其他收入</w:t>
            </w:r>
          </w:p>
        </w:tc>
        <w:tc>
          <w:tcPr>
            <w:tcW w:w="1080" w:type="dxa"/>
            <w:tcBorders>
              <w:top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8、社会保障和就业支出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14.87</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9、卫生健康支出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3.88</w:t>
            </w:r>
          </w:p>
        </w:tc>
      </w:tr>
      <w:tr>
        <w:tblPrEx>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10、节能环保支出</w:t>
            </w:r>
          </w:p>
        </w:tc>
        <w:tc>
          <w:tcPr>
            <w:tcW w:w="1326"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11、城乡社区支出</w:t>
            </w:r>
          </w:p>
        </w:tc>
        <w:tc>
          <w:tcPr>
            <w:tcW w:w="1326"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12、农林水支出</w:t>
            </w:r>
          </w:p>
        </w:tc>
        <w:tc>
          <w:tcPr>
            <w:tcW w:w="1326"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13、交通运输支出</w:t>
            </w:r>
          </w:p>
        </w:tc>
        <w:tc>
          <w:tcPr>
            <w:tcW w:w="1326"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14、资源勘探信息等支出</w:t>
            </w:r>
          </w:p>
        </w:tc>
        <w:tc>
          <w:tcPr>
            <w:tcW w:w="1326"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15、商业服务业等支出</w:t>
            </w:r>
          </w:p>
        </w:tc>
        <w:tc>
          <w:tcPr>
            <w:tcW w:w="1326"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16、金融支出</w:t>
            </w:r>
          </w:p>
        </w:tc>
        <w:tc>
          <w:tcPr>
            <w:tcW w:w="1326"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17、援助其他地区支出</w:t>
            </w:r>
          </w:p>
        </w:tc>
        <w:tc>
          <w:tcPr>
            <w:tcW w:w="1326"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18、自然资源海洋气象等支出</w:t>
            </w:r>
          </w:p>
        </w:tc>
        <w:tc>
          <w:tcPr>
            <w:tcW w:w="1326"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19、住房保障支出</w:t>
            </w:r>
          </w:p>
        </w:tc>
        <w:tc>
          <w:tcPr>
            <w:tcW w:w="1326"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20、粮油物资储备支出</w:t>
            </w:r>
          </w:p>
        </w:tc>
        <w:tc>
          <w:tcPr>
            <w:tcW w:w="1326"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21、灾害防治及应急管理支出</w:t>
            </w:r>
          </w:p>
        </w:tc>
        <w:tc>
          <w:tcPr>
            <w:tcW w:w="1326"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0.00</w:t>
            </w:r>
          </w:p>
        </w:tc>
      </w:tr>
      <w:tr>
        <w:tblPrEx>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080" w:type="dxa"/>
            <w:tcBorders>
              <w:top w:val="single" w:color="000000" w:sz="4" w:space="0"/>
              <w:left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sz w:val="21"/>
                <w:szCs w:val="21"/>
              </w:rPr>
              <w:t>447.19</w:t>
            </w:r>
          </w:p>
        </w:tc>
        <w:tc>
          <w:tcPr>
            <w:tcW w:w="309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326" w:type="dxa"/>
            <w:tcBorders>
              <w:top w:val="single" w:color="000000" w:sz="4" w:space="0"/>
              <w:left w:val="single" w:color="000000" w:sz="4" w:space="0"/>
              <w:right w:val="single" w:color="000000" w:sz="4" w:space="0"/>
            </w:tcBorders>
            <w:vAlign w:val="center"/>
          </w:tcPr>
          <w:p>
            <w:pPr>
              <w:rPr>
                <w:rFonts w:ascii="宋体" w:hAnsi="宋体" w:eastAsia="宋体" w:cs="宋体"/>
                <w:b/>
                <w:color w:val="000000"/>
                <w:sz w:val="21"/>
                <w:szCs w:val="21"/>
              </w:rPr>
            </w:pPr>
            <w:r>
              <w:rPr>
                <w:rFonts w:hint="eastAsia" w:ascii="宋体" w:hAnsi="宋体" w:eastAsia="宋体" w:cs="宋体"/>
                <w:b/>
                <w:color w:val="000000"/>
                <w:sz w:val="21"/>
                <w:szCs w:val="21"/>
              </w:rPr>
              <w:t>443.19</w:t>
            </w:r>
          </w:p>
        </w:tc>
      </w:tr>
      <w:tr>
        <w:tblPrEx>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r>
              <w:rPr>
                <w:rFonts w:hint="eastAsia" w:ascii="宋体" w:hAnsi="宋体" w:eastAsia="宋体" w:cs="宋体"/>
                <w:bCs/>
                <w:color w:val="000000"/>
                <w:sz w:val="21"/>
                <w:szCs w:val="21"/>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 xml:space="preserve">结余分配 </w:t>
            </w:r>
          </w:p>
        </w:tc>
        <w:tc>
          <w:tcPr>
            <w:tcW w:w="1326"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b/>
                <w:color w:val="000000"/>
                <w:sz w:val="21"/>
                <w:szCs w:val="21"/>
              </w:rPr>
            </w:pPr>
            <w:r>
              <w:rPr>
                <w:rFonts w:hint="eastAsia" w:ascii="宋体" w:hAnsi="宋体" w:eastAsia="宋体" w:cs="宋体"/>
                <w:b/>
                <w:color w:val="000000"/>
                <w:sz w:val="21"/>
                <w:szCs w:val="21"/>
              </w:rPr>
              <w:t>0.00</w:t>
            </w:r>
          </w:p>
        </w:tc>
      </w:tr>
      <w:tr>
        <w:tblPrEx>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r>
              <w:rPr>
                <w:rFonts w:hint="eastAsia" w:ascii="宋体" w:hAnsi="宋体" w:eastAsia="宋体" w:cs="宋体"/>
                <w:bCs/>
                <w:color w:val="000000"/>
                <w:sz w:val="21"/>
                <w:szCs w:val="21"/>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r>
              <w:rPr>
                <w:rFonts w:hint="eastAsia" w:ascii="宋体" w:hAnsi="宋体" w:eastAsia="宋体" w:cs="宋体"/>
                <w:b/>
                <w:color w:val="000000"/>
                <w:sz w:val="21"/>
                <w:szCs w:val="21"/>
              </w:rPr>
              <w:t>4.00</w:t>
            </w:r>
          </w:p>
        </w:tc>
      </w:tr>
      <w:tr>
        <w:tblPrEx>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447.19</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r>
              <w:rPr>
                <w:rFonts w:hint="eastAsia" w:ascii="宋体" w:hAnsi="宋体" w:eastAsia="宋体" w:cs="宋体"/>
                <w:b/>
                <w:color w:val="000000"/>
                <w:sz w:val="21"/>
                <w:szCs w:val="21"/>
              </w:rPr>
              <w:t>447.19</w:t>
            </w:r>
          </w:p>
        </w:tc>
      </w:tr>
    </w:tbl>
    <w:p>
      <w:pPr>
        <w:widowControl/>
        <w:ind w:left="420" w:hanging="420" w:hangingChars="200"/>
        <w:jc w:val="left"/>
        <w:rPr>
          <w:rFonts w:ascii="宋体" w:hAnsi="宋体" w:eastAsia="宋体" w:cs="宋体"/>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收入决算表</w:t>
      </w:r>
    </w:p>
    <w:p>
      <w:pPr>
        <w:rPr>
          <w:rFonts w:ascii="宋体" w:hAnsi="宋体" w:eastAsia="宋体" w:cs="宋体"/>
          <w:b/>
          <w:bCs/>
          <w:sz w:val="21"/>
          <w:szCs w:val="21"/>
        </w:rPr>
      </w:pPr>
      <w:r>
        <w:rPr>
          <w:rFonts w:hint="eastAsia" w:ascii="宋体" w:hAnsi="宋体" w:eastAsia="宋体" w:cs="宋体"/>
          <w:b/>
          <w:bCs/>
          <w:sz w:val="21"/>
          <w:szCs w:val="21"/>
        </w:rPr>
        <w:t>公开02表</w:t>
      </w:r>
    </w:p>
    <w:p>
      <w:pPr>
        <w:rPr>
          <w:rFonts w:ascii="宋体" w:hAnsi="宋体" w:eastAsia="宋体" w:cs="宋体"/>
          <w:b/>
          <w:bCs/>
          <w:sz w:val="21"/>
          <w:szCs w:val="21"/>
        </w:rPr>
      </w:pPr>
      <w:r>
        <w:rPr>
          <w:rFonts w:hint="eastAsia" w:ascii="宋体" w:hAnsi="宋体" w:eastAsia="宋体" w:cs="宋体"/>
          <w:b/>
          <w:bCs/>
          <w:sz w:val="21"/>
          <w:szCs w:val="21"/>
        </w:rPr>
        <w:t>编制部门：中共西安市阎良区委员会政法委员会（本级） 金额单位：万元</w:t>
      </w:r>
    </w:p>
    <w:tbl>
      <w:tblPr>
        <w:tblStyle w:val="6"/>
        <w:tblW w:w="8867" w:type="dxa"/>
        <w:tblInd w:w="0" w:type="dxa"/>
        <w:tblLayout w:type="fixed"/>
        <w:tblCellMar>
          <w:top w:w="15" w:type="dxa"/>
          <w:left w:w="15" w:type="dxa"/>
          <w:bottom w:w="15" w:type="dxa"/>
          <w:right w:w="15" w:type="dxa"/>
        </w:tblCellMar>
      </w:tblPr>
      <w:tblGrid>
        <w:gridCol w:w="927"/>
        <w:gridCol w:w="2469"/>
        <w:gridCol w:w="660"/>
        <w:gridCol w:w="750"/>
        <w:gridCol w:w="690"/>
        <w:gridCol w:w="630"/>
        <w:gridCol w:w="810"/>
        <w:gridCol w:w="525"/>
        <w:gridCol w:w="855"/>
        <w:gridCol w:w="551"/>
      </w:tblGrid>
      <w:tr>
        <w:tblPrEx>
          <w:tblCellMar>
            <w:top w:w="15" w:type="dxa"/>
            <w:left w:w="15" w:type="dxa"/>
            <w:bottom w:w="15" w:type="dxa"/>
            <w:right w:w="15" w:type="dxa"/>
          </w:tblCellMar>
        </w:tblPrEx>
        <w:trPr>
          <w:trHeight w:val="439" w:hRule="atLeast"/>
        </w:trPr>
        <w:tc>
          <w:tcPr>
            <w:tcW w:w="3396"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b/>
                <w:bCs/>
                <w:color w:val="000000"/>
                <w:sz w:val="21"/>
                <w:szCs w:val="21"/>
              </w:rPr>
            </w:pPr>
            <w:r>
              <w:rPr>
                <w:rFonts w:hint="eastAsia" w:ascii="宋体" w:hAnsi="宋体" w:eastAsia="宋体" w:cs="宋体"/>
                <w:b/>
                <w:bCs/>
                <w:color w:val="000000"/>
                <w:kern w:val="0"/>
                <w:sz w:val="21"/>
                <w:szCs w:val="21"/>
              </w:rPr>
              <w:t>项目</w:t>
            </w:r>
          </w:p>
        </w:tc>
        <w:tc>
          <w:tcPr>
            <w:tcW w:w="66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本年收入合计</w:t>
            </w:r>
          </w:p>
        </w:tc>
        <w:tc>
          <w:tcPr>
            <w:tcW w:w="7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财政拨款收入</w:t>
            </w:r>
          </w:p>
        </w:tc>
        <w:tc>
          <w:tcPr>
            <w:tcW w:w="6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上级补助收入</w:t>
            </w:r>
          </w:p>
        </w:tc>
        <w:tc>
          <w:tcPr>
            <w:tcW w:w="144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事业收入</w:t>
            </w:r>
          </w:p>
        </w:tc>
        <w:tc>
          <w:tcPr>
            <w:tcW w:w="5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经营</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c>
          <w:tcPr>
            <w:tcW w:w="8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附属单位上缴收入</w:t>
            </w:r>
          </w:p>
        </w:tc>
        <w:tc>
          <w:tcPr>
            <w:tcW w:w="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其他</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r>
      <w:tr>
        <w:tblPrEx>
          <w:tblCellMar>
            <w:top w:w="15" w:type="dxa"/>
            <w:left w:w="15" w:type="dxa"/>
            <w:bottom w:w="15" w:type="dxa"/>
            <w:right w:w="15" w:type="dxa"/>
          </w:tblCellMar>
        </w:tblPrEx>
        <w:trPr>
          <w:trHeight w:val="1125" w:hRule="atLeast"/>
        </w:trPr>
        <w:tc>
          <w:tcPr>
            <w:tcW w:w="927"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2469"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科目</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名称</w:t>
            </w:r>
          </w:p>
        </w:tc>
        <w:tc>
          <w:tcPr>
            <w:tcW w:w="66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6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6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小计</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其中：教育收费</w:t>
            </w:r>
          </w:p>
          <w:p>
            <w:pPr>
              <w:ind w:firstLine="843" w:firstLineChars="400"/>
              <w:rPr>
                <w:rFonts w:ascii="宋体" w:hAnsi="宋体" w:eastAsia="宋体" w:cs="宋体"/>
                <w:b/>
                <w:color w:val="000000"/>
                <w:sz w:val="21"/>
                <w:szCs w:val="21"/>
              </w:rPr>
            </w:pPr>
            <w:r>
              <w:rPr>
                <w:rFonts w:hint="eastAsia" w:ascii="宋体" w:hAnsi="宋体" w:eastAsia="宋体" w:cs="宋体"/>
                <w:b/>
                <w:color w:val="000000"/>
                <w:sz w:val="21"/>
                <w:szCs w:val="21"/>
              </w:rPr>
              <w:t>收</w:t>
            </w:r>
          </w:p>
        </w:tc>
        <w:tc>
          <w:tcPr>
            <w:tcW w:w="5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55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9" w:hRule="atLeast"/>
        </w:trPr>
        <w:tc>
          <w:tcPr>
            <w:tcW w:w="339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660" w:type="dxa"/>
            <w:tcBorders>
              <w:top w:val="single" w:color="000000" w:sz="4" w:space="0"/>
              <w:left w:val="single" w:color="000000" w:sz="4" w:space="0"/>
              <w:bottom w:val="single" w:color="000000" w:sz="4" w:space="0"/>
              <w:right w:val="single" w:color="000000" w:sz="4" w:space="0"/>
            </w:tcBorders>
            <w:vAlign w:val="center"/>
          </w:tcPr>
          <w:p>
            <w:pPr>
              <w:tabs>
                <w:tab w:val="left" w:pos="409"/>
              </w:tabs>
              <w:jc w:val="left"/>
              <w:rPr>
                <w:rFonts w:ascii="宋体" w:hAnsi="宋体" w:eastAsia="宋体" w:cs="宋体"/>
                <w:color w:val="000000"/>
                <w:sz w:val="21"/>
                <w:szCs w:val="21"/>
              </w:rPr>
            </w:pPr>
            <w:r>
              <w:rPr>
                <w:rFonts w:hint="eastAsia" w:ascii="宋体" w:hAnsi="宋体" w:eastAsia="宋体" w:cs="宋体"/>
                <w:color w:val="000000"/>
                <w:sz w:val="21"/>
                <w:szCs w:val="21"/>
              </w:rPr>
              <w:t>447.19</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447.19</w:t>
            </w:r>
          </w:p>
        </w:tc>
        <w:tc>
          <w:tcPr>
            <w:tcW w:w="6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630" w:type="dxa"/>
            <w:tcBorders>
              <w:top w:val="single" w:color="000000" w:sz="4" w:space="0"/>
              <w:left w:val="single" w:color="000000" w:sz="4" w:space="0"/>
              <w:bottom w:val="single" w:color="000000" w:sz="4" w:space="0"/>
              <w:right w:val="single" w:color="000000" w:sz="4" w:space="0"/>
            </w:tcBorders>
          </w:tcPr>
          <w:p>
            <w:pPr>
              <w:jc w:val="right"/>
              <w:rPr>
                <w:rFonts w:ascii="ËÎÌå" w:hAnsi="ËÎÌå" w:eastAsia="ËÎÌå"/>
                <w:color w:val="000000"/>
                <w:sz w:val="22"/>
              </w:rPr>
            </w:pPr>
            <w:r>
              <w:rPr>
                <w:rFonts w:hint="eastAsia" w:ascii="宋体" w:hAnsi="宋体" w:eastAsia="宋体" w:cs="宋体"/>
                <w:color w:val="000000"/>
                <w:sz w:val="21"/>
                <w:szCs w:val="21"/>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5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5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ind w:firstLine="576"/>
              <w:jc w:val="left"/>
              <w:rPr>
                <w:rFonts w:ascii="宋体" w:hAnsi="宋体" w:eastAsia="宋体" w:cs="宋体"/>
                <w:color w:val="000000"/>
                <w:sz w:val="21"/>
                <w:szCs w:val="21"/>
              </w:rPr>
            </w:pPr>
            <w:r>
              <w:rPr>
                <w:rFonts w:hint="eastAsia" w:ascii="宋体" w:hAnsi="宋体" w:eastAsia="宋体" w:cs="宋体"/>
                <w:color w:val="000000"/>
                <w:sz w:val="21"/>
                <w:szCs w:val="21"/>
              </w:rPr>
              <w:t>201</w:t>
            </w:r>
          </w:p>
        </w:tc>
        <w:tc>
          <w:tcPr>
            <w:tcW w:w="246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一般公共服务支出</w:t>
            </w:r>
          </w:p>
        </w:tc>
        <w:tc>
          <w:tcPr>
            <w:tcW w:w="66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424.44</w:t>
            </w:r>
          </w:p>
        </w:tc>
        <w:tc>
          <w:tcPr>
            <w:tcW w:w="75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424.44</w:t>
            </w:r>
          </w:p>
        </w:tc>
        <w:tc>
          <w:tcPr>
            <w:tcW w:w="69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63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1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2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5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51"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ascii="宋体" w:hAnsi="宋体" w:eastAsia="宋体" w:cs="宋体"/>
                <w:color w:val="000000"/>
                <w:sz w:val="21"/>
                <w:szCs w:val="21"/>
              </w:rPr>
              <w:t>20131</w:t>
            </w:r>
          </w:p>
        </w:tc>
        <w:tc>
          <w:tcPr>
            <w:tcW w:w="2469"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党委办公厅（室）及相关机构事务</w:t>
            </w:r>
          </w:p>
        </w:tc>
        <w:tc>
          <w:tcPr>
            <w:tcW w:w="66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222.67</w:t>
            </w:r>
          </w:p>
        </w:tc>
        <w:tc>
          <w:tcPr>
            <w:tcW w:w="75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222.67</w:t>
            </w:r>
          </w:p>
        </w:tc>
        <w:tc>
          <w:tcPr>
            <w:tcW w:w="69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63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1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2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5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51"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ascii="宋体" w:hAnsi="宋体" w:eastAsia="宋体" w:cs="宋体"/>
                <w:color w:val="000000"/>
                <w:sz w:val="21"/>
                <w:szCs w:val="21"/>
              </w:rPr>
              <w:t>2013199</w:t>
            </w:r>
          </w:p>
        </w:tc>
        <w:tc>
          <w:tcPr>
            <w:tcW w:w="2469"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 xml:space="preserve">  其他党委办公厅（室）及相关机构事务支出</w:t>
            </w:r>
          </w:p>
        </w:tc>
        <w:tc>
          <w:tcPr>
            <w:tcW w:w="66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222.67</w:t>
            </w:r>
          </w:p>
        </w:tc>
        <w:tc>
          <w:tcPr>
            <w:tcW w:w="75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222.67</w:t>
            </w:r>
          </w:p>
        </w:tc>
        <w:tc>
          <w:tcPr>
            <w:tcW w:w="69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63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1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2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5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51"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ascii="宋体" w:hAnsi="宋体" w:eastAsia="宋体" w:cs="宋体"/>
                <w:color w:val="000000"/>
                <w:sz w:val="21"/>
                <w:szCs w:val="21"/>
              </w:rPr>
              <w:t>20136</w:t>
            </w:r>
          </w:p>
        </w:tc>
        <w:tc>
          <w:tcPr>
            <w:tcW w:w="2469"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其他共产党事务支出</w:t>
            </w:r>
          </w:p>
        </w:tc>
        <w:tc>
          <w:tcPr>
            <w:tcW w:w="66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201.77</w:t>
            </w:r>
          </w:p>
        </w:tc>
        <w:tc>
          <w:tcPr>
            <w:tcW w:w="75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201.77</w:t>
            </w:r>
          </w:p>
        </w:tc>
        <w:tc>
          <w:tcPr>
            <w:tcW w:w="69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63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1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2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5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51"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ascii="宋体" w:hAnsi="宋体" w:eastAsia="宋体" w:cs="宋体"/>
                <w:color w:val="000000"/>
                <w:sz w:val="21"/>
                <w:szCs w:val="21"/>
              </w:rPr>
              <w:t>2013601</w:t>
            </w:r>
          </w:p>
        </w:tc>
        <w:tc>
          <w:tcPr>
            <w:tcW w:w="2469"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 xml:space="preserve">  行政运行</w:t>
            </w:r>
          </w:p>
        </w:tc>
        <w:tc>
          <w:tcPr>
            <w:tcW w:w="66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176.16</w:t>
            </w:r>
          </w:p>
        </w:tc>
        <w:tc>
          <w:tcPr>
            <w:tcW w:w="75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176.16</w:t>
            </w:r>
          </w:p>
        </w:tc>
        <w:tc>
          <w:tcPr>
            <w:tcW w:w="69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63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1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2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5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51"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ascii="宋体" w:hAnsi="宋体" w:eastAsia="宋体" w:cs="宋体"/>
                <w:color w:val="000000"/>
                <w:sz w:val="21"/>
                <w:szCs w:val="21"/>
              </w:rPr>
              <w:t>2013602</w:t>
            </w:r>
          </w:p>
        </w:tc>
        <w:tc>
          <w:tcPr>
            <w:tcW w:w="2469"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 xml:space="preserve">  一般行政管理事务</w:t>
            </w:r>
          </w:p>
        </w:tc>
        <w:tc>
          <w:tcPr>
            <w:tcW w:w="66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25.61</w:t>
            </w:r>
          </w:p>
        </w:tc>
        <w:tc>
          <w:tcPr>
            <w:tcW w:w="75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25.61</w:t>
            </w:r>
          </w:p>
        </w:tc>
        <w:tc>
          <w:tcPr>
            <w:tcW w:w="69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63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1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2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5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51"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ascii="宋体" w:hAnsi="宋体" w:eastAsia="宋体" w:cs="宋体"/>
                <w:color w:val="000000"/>
                <w:sz w:val="21"/>
                <w:szCs w:val="21"/>
              </w:rPr>
              <w:t>204</w:t>
            </w:r>
          </w:p>
        </w:tc>
        <w:tc>
          <w:tcPr>
            <w:tcW w:w="2469"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公共安全支出</w:t>
            </w:r>
          </w:p>
        </w:tc>
        <w:tc>
          <w:tcPr>
            <w:tcW w:w="66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4.00</w:t>
            </w:r>
          </w:p>
        </w:tc>
        <w:tc>
          <w:tcPr>
            <w:tcW w:w="75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4.00</w:t>
            </w:r>
          </w:p>
        </w:tc>
        <w:tc>
          <w:tcPr>
            <w:tcW w:w="69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63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1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2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5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51"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ascii="宋体" w:hAnsi="宋体" w:eastAsia="宋体" w:cs="宋体"/>
                <w:color w:val="000000"/>
                <w:sz w:val="21"/>
                <w:szCs w:val="21"/>
              </w:rPr>
              <w:t>20499</w:t>
            </w:r>
          </w:p>
        </w:tc>
        <w:tc>
          <w:tcPr>
            <w:tcW w:w="2469"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其他公共安全支出</w:t>
            </w:r>
          </w:p>
        </w:tc>
        <w:tc>
          <w:tcPr>
            <w:tcW w:w="66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4.00</w:t>
            </w:r>
          </w:p>
        </w:tc>
        <w:tc>
          <w:tcPr>
            <w:tcW w:w="75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4.00</w:t>
            </w:r>
          </w:p>
        </w:tc>
        <w:tc>
          <w:tcPr>
            <w:tcW w:w="69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63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1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2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5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51"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ascii="宋体" w:hAnsi="宋体" w:eastAsia="宋体" w:cs="宋体"/>
                <w:color w:val="000000"/>
                <w:sz w:val="21"/>
                <w:szCs w:val="21"/>
              </w:rPr>
              <w:t>2049901</w:t>
            </w:r>
          </w:p>
        </w:tc>
        <w:tc>
          <w:tcPr>
            <w:tcW w:w="2469"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 xml:space="preserve">  其他公共安全支出</w:t>
            </w:r>
          </w:p>
        </w:tc>
        <w:tc>
          <w:tcPr>
            <w:tcW w:w="66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4.00</w:t>
            </w:r>
          </w:p>
        </w:tc>
        <w:tc>
          <w:tcPr>
            <w:tcW w:w="75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4.00</w:t>
            </w:r>
          </w:p>
        </w:tc>
        <w:tc>
          <w:tcPr>
            <w:tcW w:w="69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63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1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2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5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51"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ascii="宋体" w:hAnsi="宋体" w:eastAsia="宋体" w:cs="宋体"/>
                <w:color w:val="000000"/>
                <w:sz w:val="21"/>
                <w:szCs w:val="21"/>
              </w:rPr>
              <w:t>208</w:t>
            </w:r>
          </w:p>
        </w:tc>
        <w:tc>
          <w:tcPr>
            <w:tcW w:w="2469"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社会保障和就业支出</w:t>
            </w:r>
          </w:p>
        </w:tc>
        <w:tc>
          <w:tcPr>
            <w:tcW w:w="66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14.87</w:t>
            </w:r>
          </w:p>
        </w:tc>
        <w:tc>
          <w:tcPr>
            <w:tcW w:w="75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14.87</w:t>
            </w:r>
          </w:p>
        </w:tc>
        <w:tc>
          <w:tcPr>
            <w:tcW w:w="69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63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1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2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5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51"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ascii="宋体" w:hAnsi="宋体" w:eastAsia="宋体" w:cs="宋体"/>
                <w:color w:val="000000"/>
                <w:sz w:val="21"/>
                <w:szCs w:val="21"/>
              </w:rPr>
              <w:t>20805</w:t>
            </w:r>
          </w:p>
        </w:tc>
        <w:tc>
          <w:tcPr>
            <w:tcW w:w="2469"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行政事业单位离退休</w:t>
            </w:r>
          </w:p>
        </w:tc>
        <w:tc>
          <w:tcPr>
            <w:tcW w:w="66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14.87</w:t>
            </w:r>
          </w:p>
        </w:tc>
        <w:tc>
          <w:tcPr>
            <w:tcW w:w="75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14.87</w:t>
            </w:r>
          </w:p>
        </w:tc>
        <w:tc>
          <w:tcPr>
            <w:tcW w:w="69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63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1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2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5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51"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ascii="宋体" w:hAnsi="宋体" w:eastAsia="宋体" w:cs="宋体"/>
                <w:color w:val="000000"/>
                <w:sz w:val="21"/>
                <w:szCs w:val="21"/>
              </w:rPr>
              <w:t>2080505</w:t>
            </w:r>
          </w:p>
        </w:tc>
        <w:tc>
          <w:tcPr>
            <w:tcW w:w="2469"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 xml:space="preserve">  机关事业单位基本养老保险缴费支出</w:t>
            </w:r>
          </w:p>
        </w:tc>
        <w:tc>
          <w:tcPr>
            <w:tcW w:w="66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14.87</w:t>
            </w:r>
          </w:p>
        </w:tc>
        <w:tc>
          <w:tcPr>
            <w:tcW w:w="75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14.87</w:t>
            </w:r>
          </w:p>
        </w:tc>
        <w:tc>
          <w:tcPr>
            <w:tcW w:w="69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63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1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2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5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51"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ascii="宋体" w:hAnsi="宋体" w:eastAsia="宋体" w:cs="宋体"/>
                <w:color w:val="000000"/>
                <w:sz w:val="21"/>
                <w:szCs w:val="21"/>
              </w:rPr>
              <w:t>210</w:t>
            </w:r>
          </w:p>
        </w:tc>
        <w:tc>
          <w:tcPr>
            <w:tcW w:w="2469"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卫生健康支出</w:t>
            </w:r>
          </w:p>
        </w:tc>
        <w:tc>
          <w:tcPr>
            <w:tcW w:w="66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3.88</w:t>
            </w:r>
          </w:p>
        </w:tc>
        <w:tc>
          <w:tcPr>
            <w:tcW w:w="75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3.88</w:t>
            </w:r>
          </w:p>
        </w:tc>
        <w:tc>
          <w:tcPr>
            <w:tcW w:w="69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63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1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2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5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51"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ascii="宋体" w:hAnsi="宋体" w:eastAsia="宋体" w:cs="宋体"/>
                <w:color w:val="000000"/>
                <w:sz w:val="21"/>
                <w:szCs w:val="21"/>
              </w:rPr>
              <w:t>21011</w:t>
            </w:r>
          </w:p>
        </w:tc>
        <w:tc>
          <w:tcPr>
            <w:tcW w:w="2469"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行政事业单位医疗</w:t>
            </w:r>
          </w:p>
        </w:tc>
        <w:tc>
          <w:tcPr>
            <w:tcW w:w="66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3.88</w:t>
            </w:r>
          </w:p>
        </w:tc>
        <w:tc>
          <w:tcPr>
            <w:tcW w:w="75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3.88</w:t>
            </w:r>
          </w:p>
        </w:tc>
        <w:tc>
          <w:tcPr>
            <w:tcW w:w="69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63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1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2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5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51"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ascii="宋体" w:hAnsi="宋体" w:eastAsia="宋体" w:cs="宋体"/>
                <w:color w:val="000000"/>
                <w:sz w:val="21"/>
                <w:szCs w:val="21"/>
              </w:rPr>
              <w:t>2101101</w:t>
            </w:r>
          </w:p>
        </w:tc>
        <w:tc>
          <w:tcPr>
            <w:tcW w:w="2469"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 xml:space="preserve">  行政单位医疗</w:t>
            </w:r>
          </w:p>
        </w:tc>
        <w:tc>
          <w:tcPr>
            <w:tcW w:w="66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3.88</w:t>
            </w:r>
          </w:p>
        </w:tc>
        <w:tc>
          <w:tcPr>
            <w:tcW w:w="750" w:type="dxa"/>
            <w:tcBorders>
              <w:top w:val="single" w:color="000000" w:sz="4" w:space="0"/>
              <w:left w:val="single" w:color="000000" w:sz="4" w:space="0"/>
              <w:bottom w:val="single" w:color="000000" w:sz="4" w:space="0"/>
              <w:right w:val="single" w:color="000000" w:sz="4" w:space="0"/>
            </w:tcBorders>
          </w:tcPr>
          <w:p>
            <w:pPr>
              <w:tabs>
                <w:tab w:val="left" w:pos="409"/>
              </w:tabs>
              <w:jc w:val="left"/>
              <w:rPr>
                <w:rFonts w:ascii="宋体" w:hAnsi="宋体" w:eastAsia="宋体" w:cs="宋体"/>
                <w:color w:val="000000"/>
                <w:sz w:val="21"/>
                <w:szCs w:val="21"/>
              </w:rPr>
            </w:pPr>
            <w:r>
              <w:rPr>
                <w:rFonts w:ascii="宋体" w:hAnsi="宋体" w:eastAsia="宋体" w:cs="宋体"/>
                <w:color w:val="000000"/>
                <w:sz w:val="21"/>
                <w:szCs w:val="21"/>
              </w:rPr>
              <w:t>3.88</w:t>
            </w:r>
          </w:p>
        </w:tc>
        <w:tc>
          <w:tcPr>
            <w:tcW w:w="69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63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10"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2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855"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551"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46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6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46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6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注：本表反映部门本年度取得的各项收入情况。</w:t>
      </w:r>
      <w:r>
        <w:rPr>
          <w:rFonts w:hint="eastAsia" w:ascii="宋体" w:hAnsi="宋体" w:eastAsia="宋体" w:cs="宋体"/>
          <w:color w:val="000000"/>
          <w:kern w:val="0"/>
          <w:sz w:val="21"/>
          <w:szCs w:val="21"/>
        </w:rPr>
        <w:t>本表金额转换为万元时，因四舍五入可能存在尾差。</w:t>
      </w:r>
    </w:p>
    <w:p>
      <w:pPr>
        <w:jc w:val="center"/>
        <w:rPr>
          <w:rFonts w:ascii="宋体" w:hAnsi="宋体" w:eastAsia="宋体" w:cs="宋体"/>
          <w:b/>
          <w:bCs/>
          <w:sz w:val="21"/>
          <w:szCs w:val="21"/>
        </w:rPr>
      </w:pPr>
    </w:p>
    <w:p>
      <w:pPr>
        <w:jc w:val="center"/>
        <w:rPr>
          <w:rFonts w:ascii="宋体" w:hAnsi="宋体" w:eastAsia="宋体" w:cs="宋体"/>
          <w:b/>
          <w:bCs/>
          <w:sz w:val="21"/>
          <w:szCs w:val="21"/>
        </w:rPr>
      </w:pPr>
      <w:r>
        <w:rPr>
          <w:rFonts w:hint="eastAsia" w:ascii="宋体" w:hAnsi="宋体" w:eastAsia="宋体" w:cs="宋体"/>
          <w:b/>
          <w:bCs/>
          <w:sz w:val="21"/>
          <w:szCs w:val="21"/>
        </w:rPr>
        <w:t>支出决算表</w:t>
      </w:r>
    </w:p>
    <w:p>
      <w:pPr>
        <w:rPr>
          <w:rFonts w:ascii="宋体" w:hAnsi="宋体" w:eastAsia="宋体" w:cs="宋体"/>
          <w:b/>
          <w:bCs/>
          <w:sz w:val="21"/>
          <w:szCs w:val="21"/>
        </w:rPr>
      </w:pPr>
      <w:r>
        <w:rPr>
          <w:rFonts w:hint="eastAsia" w:ascii="宋体" w:hAnsi="宋体" w:eastAsia="宋体" w:cs="宋体"/>
          <w:b/>
          <w:bCs/>
          <w:sz w:val="21"/>
          <w:szCs w:val="21"/>
        </w:rPr>
        <w:t xml:space="preserve">                                          公开03表</w:t>
      </w:r>
    </w:p>
    <w:p>
      <w:pPr>
        <w:rPr>
          <w:rFonts w:ascii="宋体" w:hAnsi="宋体" w:eastAsia="宋体" w:cs="宋体"/>
          <w:b/>
          <w:bCs/>
          <w:sz w:val="21"/>
          <w:szCs w:val="21"/>
        </w:rPr>
      </w:pPr>
    </w:p>
    <w:p>
      <w:pPr>
        <w:rPr>
          <w:rFonts w:ascii="宋体" w:hAnsi="宋体" w:eastAsia="宋体" w:cs="宋体"/>
          <w:b/>
          <w:bCs/>
          <w:sz w:val="21"/>
          <w:szCs w:val="21"/>
        </w:rPr>
      </w:pPr>
      <w:r>
        <w:rPr>
          <w:rFonts w:hint="eastAsia" w:ascii="宋体" w:hAnsi="宋体" w:eastAsia="宋体" w:cs="宋体"/>
          <w:b/>
          <w:bCs/>
          <w:sz w:val="21"/>
          <w:szCs w:val="21"/>
        </w:rPr>
        <w:t>编制部门：中共西安市阎良区委员会政法委员会（本级） 金额单位：万元</w:t>
      </w:r>
    </w:p>
    <w:tbl>
      <w:tblPr>
        <w:tblStyle w:val="6"/>
        <w:tblW w:w="8896" w:type="dxa"/>
        <w:tblInd w:w="0" w:type="dxa"/>
        <w:tblLayout w:type="fixed"/>
        <w:tblCellMar>
          <w:top w:w="15" w:type="dxa"/>
          <w:left w:w="15" w:type="dxa"/>
          <w:bottom w:w="15" w:type="dxa"/>
          <w:right w:w="15" w:type="dxa"/>
        </w:tblCellMar>
      </w:tblPr>
      <w:tblGrid>
        <w:gridCol w:w="978"/>
        <w:gridCol w:w="2516"/>
        <w:gridCol w:w="800"/>
        <w:gridCol w:w="1084"/>
        <w:gridCol w:w="1066"/>
        <w:gridCol w:w="667"/>
        <w:gridCol w:w="617"/>
        <w:gridCol w:w="1168"/>
      </w:tblGrid>
      <w:tr>
        <w:tblPrEx>
          <w:tblCellMar>
            <w:top w:w="15" w:type="dxa"/>
            <w:left w:w="15" w:type="dxa"/>
            <w:bottom w:w="15" w:type="dxa"/>
            <w:right w:w="15" w:type="dxa"/>
          </w:tblCellMar>
        </w:tblPrEx>
        <w:trPr>
          <w:trHeight w:val="372" w:hRule="atLeast"/>
        </w:trPr>
        <w:tc>
          <w:tcPr>
            <w:tcW w:w="349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80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8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6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66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上缴上</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级支出</w:t>
            </w:r>
          </w:p>
        </w:tc>
        <w:tc>
          <w:tcPr>
            <w:tcW w:w="6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经营支出</w:t>
            </w:r>
          </w:p>
        </w:tc>
        <w:tc>
          <w:tcPr>
            <w:tcW w:w="116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对附属单位</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补助支出</w:t>
            </w:r>
          </w:p>
        </w:tc>
      </w:tr>
      <w:tr>
        <w:tblPrEx>
          <w:tblCellMar>
            <w:top w:w="15" w:type="dxa"/>
            <w:left w:w="15" w:type="dxa"/>
            <w:bottom w:w="15" w:type="dxa"/>
            <w:right w:w="15" w:type="dxa"/>
          </w:tblCellMar>
        </w:tblPrEx>
        <w:trPr>
          <w:trHeight w:val="702" w:hRule="atLeast"/>
        </w:trPr>
        <w:tc>
          <w:tcPr>
            <w:tcW w:w="9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25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8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6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6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6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72" w:hRule="atLeast"/>
        </w:trPr>
        <w:tc>
          <w:tcPr>
            <w:tcW w:w="349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8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443.19</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194.91</w:t>
            </w:r>
          </w:p>
        </w:tc>
        <w:tc>
          <w:tcPr>
            <w:tcW w:w="10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248.28</w:t>
            </w:r>
          </w:p>
        </w:tc>
        <w:tc>
          <w:tcPr>
            <w:tcW w:w="6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6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16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r>
      <w:tr>
        <w:tblPrEx>
          <w:tblCellMar>
            <w:top w:w="15" w:type="dxa"/>
            <w:left w:w="15" w:type="dxa"/>
            <w:bottom w:w="15" w:type="dxa"/>
            <w:right w:w="15" w:type="dxa"/>
          </w:tblCellMar>
        </w:tblPrEx>
        <w:trPr>
          <w:trHeight w:val="372" w:hRule="atLeast"/>
        </w:trPr>
        <w:tc>
          <w:tcPr>
            <w:tcW w:w="978"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201</w:t>
            </w:r>
          </w:p>
        </w:tc>
        <w:tc>
          <w:tcPr>
            <w:tcW w:w="2516"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一般公共服务支出</w:t>
            </w:r>
          </w:p>
        </w:tc>
        <w:tc>
          <w:tcPr>
            <w:tcW w:w="8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424.44</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176.16</w:t>
            </w:r>
          </w:p>
        </w:tc>
        <w:tc>
          <w:tcPr>
            <w:tcW w:w="10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248.28</w:t>
            </w:r>
          </w:p>
        </w:tc>
        <w:tc>
          <w:tcPr>
            <w:tcW w:w="6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6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16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r>
      <w:tr>
        <w:tblPrEx>
          <w:tblCellMar>
            <w:top w:w="15" w:type="dxa"/>
            <w:left w:w="15" w:type="dxa"/>
            <w:bottom w:w="15" w:type="dxa"/>
            <w:right w:w="15" w:type="dxa"/>
          </w:tblCellMar>
        </w:tblPrEx>
        <w:trPr>
          <w:trHeight w:val="372" w:hRule="atLeast"/>
        </w:trPr>
        <w:tc>
          <w:tcPr>
            <w:tcW w:w="978" w:type="dxa"/>
            <w:tcBorders>
              <w:top w:val="single" w:color="000000" w:sz="4" w:space="0"/>
              <w:left w:val="single" w:color="000000" w:sz="4" w:space="0"/>
              <w:bottom w:val="single" w:color="000000" w:sz="4" w:space="0"/>
              <w:right w:val="single" w:color="000000" w:sz="4" w:space="0"/>
            </w:tcBorders>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20131</w:t>
            </w:r>
          </w:p>
        </w:tc>
        <w:tc>
          <w:tcPr>
            <w:tcW w:w="2516"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党委办公厅（室）及相关机构事务</w:t>
            </w:r>
          </w:p>
        </w:tc>
        <w:tc>
          <w:tcPr>
            <w:tcW w:w="8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222.67</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0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222.67</w:t>
            </w:r>
          </w:p>
        </w:tc>
        <w:tc>
          <w:tcPr>
            <w:tcW w:w="6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6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16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r>
      <w:tr>
        <w:tblPrEx>
          <w:tblCellMar>
            <w:top w:w="15" w:type="dxa"/>
            <w:left w:w="15" w:type="dxa"/>
            <w:bottom w:w="15" w:type="dxa"/>
            <w:right w:w="15" w:type="dxa"/>
          </w:tblCellMar>
        </w:tblPrEx>
        <w:trPr>
          <w:trHeight w:val="372" w:hRule="atLeast"/>
        </w:trPr>
        <w:tc>
          <w:tcPr>
            <w:tcW w:w="978" w:type="dxa"/>
            <w:tcBorders>
              <w:top w:val="single" w:color="000000" w:sz="4" w:space="0"/>
              <w:left w:val="single" w:color="000000" w:sz="4" w:space="0"/>
              <w:bottom w:val="single" w:color="000000" w:sz="4" w:space="0"/>
              <w:right w:val="single" w:color="000000" w:sz="4" w:space="0"/>
            </w:tcBorders>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2013199</w:t>
            </w:r>
          </w:p>
        </w:tc>
        <w:tc>
          <w:tcPr>
            <w:tcW w:w="2516"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 xml:space="preserve">  其他党委办公厅（室）及相关机构事务支出</w:t>
            </w:r>
          </w:p>
        </w:tc>
        <w:tc>
          <w:tcPr>
            <w:tcW w:w="8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222.67</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0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222.67</w:t>
            </w:r>
          </w:p>
        </w:tc>
        <w:tc>
          <w:tcPr>
            <w:tcW w:w="6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6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16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r>
      <w:tr>
        <w:tblPrEx>
          <w:tblCellMar>
            <w:top w:w="15" w:type="dxa"/>
            <w:left w:w="15" w:type="dxa"/>
            <w:bottom w:w="15" w:type="dxa"/>
            <w:right w:w="15" w:type="dxa"/>
          </w:tblCellMar>
        </w:tblPrEx>
        <w:trPr>
          <w:trHeight w:val="372" w:hRule="atLeast"/>
        </w:trPr>
        <w:tc>
          <w:tcPr>
            <w:tcW w:w="978"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20136</w:t>
            </w:r>
          </w:p>
        </w:tc>
        <w:tc>
          <w:tcPr>
            <w:tcW w:w="2516"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其他共产党事务支出</w:t>
            </w:r>
          </w:p>
        </w:tc>
        <w:tc>
          <w:tcPr>
            <w:tcW w:w="8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201.77</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176.16</w:t>
            </w:r>
          </w:p>
        </w:tc>
        <w:tc>
          <w:tcPr>
            <w:tcW w:w="10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25.61</w:t>
            </w:r>
          </w:p>
        </w:tc>
        <w:tc>
          <w:tcPr>
            <w:tcW w:w="6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6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16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r>
      <w:tr>
        <w:tblPrEx>
          <w:tblCellMar>
            <w:top w:w="15" w:type="dxa"/>
            <w:left w:w="15" w:type="dxa"/>
            <w:bottom w:w="15" w:type="dxa"/>
            <w:right w:w="15" w:type="dxa"/>
          </w:tblCellMar>
        </w:tblPrEx>
        <w:trPr>
          <w:trHeight w:val="372" w:hRule="atLeast"/>
        </w:trPr>
        <w:tc>
          <w:tcPr>
            <w:tcW w:w="978" w:type="dxa"/>
            <w:tcBorders>
              <w:top w:val="single" w:color="000000" w:sz="4" w:space="0"/>
              <w:left w:val="single" w:color="000000" w:sz="4" w:space="0"/>
              <w:bottom w:val="single" w:color="000000" w:sz="4" w:space="0"/>
              <w:right w:val="single" w:color="000000" w:sz="4" w:space="0"/>
            </w:tcBorders>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2013601</w:t>
            </w:r>
          </w:p>
        </w:tc>
        <w:tc>
          <w:tcPr>
            <w:tcW w:w="2516"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 xml:space="preserve">  行政运行</w:t>
            </w:r>
          </w:p>
        </w:tc>
        <w:tc>
          <w:tcPr>
            <w:tcW w:w="8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176.16</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176.16</w:t>
            </w:r>
          </w:p>
        </w:tc>
        <w:tc>
          <w:tcPr>
            <w:tcW w:w="10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6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6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16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r>
      <w:tr>
        <w:tblPrEx>
          <w:tblCellMar>
            <w:top w:w="15" w:type="dxa"/>
            <w:left w:w="15" w:type="dxa"/>
            <w:bottom w:w="15" w:type="dxa"/>
            <w:right w:w="15" w:type="dxa"/>
          </w:tblCellMar>
        </w:tblPrEx>
        <w:trPr>
          <w:trHeight w:val="372" w:hRule="atLeast"/>
        </w:trPr>
        <w:tc>
          <w:tcPr>
            <w:tcW w:w="978" w:type="dxa"/>
            <w:tcBorders>
              <w:top w:val="single" w:color="000000" w:sz="4" w:space="0"/>
              <w:left w:val="single" w:color="000000" w:sz="4" w:space="0"/>
              <w:bottom w:val="single" w:color="000000" w:sz="4" w:space="0"/>
              <w:right w:val="single" w:color="000000" w:sz="4" w:space="0"/>
            </w:tcBorders>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2013602</w:t>
            </w:r>
          </w:p>
        </w:tc>
        <w:tc>
          <w:tcPr>
            <w:tcW w:w="2516"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 xml:space="preserve">  一般行政管理事务</w:t>
            </w:r>
          </w:p>
        </w:tc>
        <w:tc>
          <w:tcPr>
            <w:tcW w:w="8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25.61</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0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25.61</w:t>
            </w:r>
          </w:p>
        </w:tc>
        <w:tc>
          <w:tcPr>
            <w:tcW w:w="6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6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16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r>
      <w:tr>
        <w:tblPrEx>
          <w:tblCellMar>
            <w:top w:w="15" w:type="dxa"/>
            <w:left w:w="15" w:type="dxa"/>
            <w:bottom w:w="15" w:type="dxa"/>
            <w:right w:w="15" w:type="dxa"/>
          </w:tblCellMar>
        </w:tblPrEx>
        <w:trPr>
          <w:trHeight w:val="372" w:hRule="atLeast"/>
        </w:trPr>
        <w:tc>
          <w:tcPr>
            <w:tcW w:w="978"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208</w:t>
            </w:r>
          </w:p>
        </w:tc>
        <w:tc>
          <w:tcPr>
            <w:tcW w:w="2516"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社会保障和就业支出</w:t>
            </w:r>
          </w:p>
        </w:tc>
        <w:tc>
          <w:tcPr>
            <w:tcW w:w="8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14.87</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14.87</w:t>
            </w:r>
          </w:p>
        </w:tc>
        <w:tc>
          <w:tcPr>
            <w:tcW w:w="10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6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6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16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r>
      <w:tr>
        <w:tblPrEx>
          <w:tblCellMar>
            <w:top w:w="15" w:type="dxa"/>
            <w:left w:w="15" w:type="dxa"/>
            <w:bottom w:w="15" w:type="dxa"/>
            <w:right w:w="15" w:type="dxa"/>
          </w:tblCellMar>
        </w:tblPrEx>
        <w:trPr>
          <w:trHeight w:val="372" w:hRule="atLeast"/>
        </w:trPr>
        <w:tc>
          <w:tcPr>
            <w:tcW w:w="978" w:type="dxa"/>
            <w:tcBorders>
              <w:top w:val="single" w:color="000000" w:sz="4" w:space="0"/>
              <w:left w:val="single" w:color="000000" w:sz="4" w:space="0"/>
              <w:bottom w:val="single" w:color="000000" w:sz="4" w:space="0"/>
              <w:right w:val="single" w:color="000000" w:sz="4" w:space="0"/>
            </w:tcBorders>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20805</w:t>
            </w:r>
          </w:p>
        </w:tc>
        <w:tc>
          <w:tcPr>
            <w:tcW w:w="2516"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行政事业单位离退休</w:t>
            </w:r>
          </w:p>
        </w:tc>
        <w:tc>
          <w:tcPr>
            <w:tcW w:w="8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14.87</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14.87</w:t>
            </w:r>
          </w:p>
        </w:tc>
        <w:tc>
          <w:tcPr>
            <w:tcW w:w="10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6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6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16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r>
      <w:tr>
        <w:tblPrEx>
          <w:tblCellMar>
            <w:top w:w="15" w:type="dxa"/>
            <w:left w:w="15" w:type="dxa"/>
            <w:bottom w:w="15" w:type="dxa"/>
            <w:right w:w="15" w:type="dxa"/>
          </w:tblCellMar>
        </w:tblPrEx>
        <w:trPr>
          <w:trHeight w:val="372" w:hRule="atLeast"/>
        </w:trPr>
        <w:tc>
          <w:tcPr>
            <w:tcW w:w="978" w:type="dxa"/>
            <w:tcBorders>
              <w:top w:val="single" w:color="000000" w:sz="4" w:space="0"/>
              <w:left w:val="single" w:color="000000" w:sz="4" w:space="0"/>
              <w:bottom w:val="single" w:color="000000" w:sz="4" w:space="0"/>
              <w:right w:val="single" w:color="000000" w:sz="4" w:space="0"/>
            </w:tcBorders>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2080505</w:t>
            </w:r>
          </w:p>
        </w:tc>
        <w:tc>
          <w:tcPr>
            <w:tcW w:w="2516"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 xml:space="preserve">  机关事业单位基本养老保险缴费支出</w:t>
            </w:r>
          </w:p>
        </w:tc>
        <w:tc>
          <w:tcPr>
            <w:tcW w:w="8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14.87</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14.87</w:t>
            </w:r>
          </w:p>
        </w:tc>
        <w:tc>
          <w:tcPr>
            <w:tcW w:w="10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6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6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16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r>
      <w:tr>
        <w:tblPrEx>
          <w:tblCellMar>
            <w:top w:w="15" w:type="dxa"/>
            <w:left w:w="15" w:type="dxa"/>
            <w:bottom w:w="15" w:type="dxa"/>
            <w:right w:w="15" w:type="dxa"/>
          </w:tblCellMar>
        </w:tblPrEx>
        <w:trPr>
          <w:trHeight w:val="372" w:hRule="atLeast"/>
        </w:trPr>
        <w:tc>
          <w:tcPr>
            <w:tcW w:w="978"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210</w:t>
            </w:r>
          </w:p>
        </w:tc>
        <w:tc>
          <w:tcPr>
            <w:tcW w:w="2516"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卫生健康支出</w:t>
            </w:r>
          </w:p>
        </w:tc>
        <w:tc>
          <w:tcPr>
            <w:tcW w:w="8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3.88</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3.88</w:t>
            </w:r>
          </w:p>
        </w:tc>
        <w:tc>
          <w:tcPr>
            <w:tcW w:w="10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6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6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16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r>
      <w:tr>
        <w:tblPrEx>
          <w:tblCellMar>
            <w:top w:w="15" w:type="dxa"/>
            <w:left w:w="15" w:type="dxa"/>
            <w:bottom w:w="15" w:type="dxa"/>
            <w:right w:w="15" w:type="dxa"/>
          </w:tblCellMar>
        </w:tblPrEx>
        <w:trPr>
          <w:trHeight w:val="372" w:hRule="atLeast"/>
        </w:trPr>
        <w:tc>
          <w:tcPr>
            <w:tcW w:w="978" w:type="dxa"/>
            <w:tcBorders>
              <w:top w:val="single" w:color="000000" w:sz="4" w:space="0"/>
              <w:left w:val="single" w:color="000000" w:sz="4" w:space="0"/>
              <w:bottom w:val="single" w:color="000000" w:sz="4" w:space="0"/>
              <w:right w:val="single" w:color="000000" w:sz="4" w:space="0"/>
            </w:tcBorders>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21011</w:t>
            </w:r>
          </w:p>
        </w:tc>
        <w:tc>
          <w:tcPr>
            <w:tcW w:w="2516"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行政事业单位医疗</w:t>
            </w:r>
          </w:p>
        </w:tc>
        <w:tc>
          <w:tcPr>
            <w:tcW w:w="8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3.88</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3.88</w:t>
            </w:r>
          </w:p>
        </w:tc>
        <w:tc>
          <w:tcPr>
            <w:tcW w:w="10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6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6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16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r>
      <w:tr>
        <w:tblPrEx>
          <w:tblCellMar>
            <w:top w:w="15" w:type="dxa"/>
            <w:left w:w="15" w:type="dxa"/>
            <w:bottom w:w="15" w:type="dxa"/>
            <w:right w:w="15" w:type="dxa"/>
          </w:tblCellMar>
        </w:tblPrEx>
        <w:trPr>
          <w:trHeight w:val="372" w:hRule="atLeast"/>
        </w:trPr>
        <w:tc>
          <w:tcPr>
            <w:tcW w:w="978" w:type="dxa"/>
            <w:tcBorders>
              <w:top w:val="single" w:color="000000" w:sz="4" w:space="0"/>
              <w:left w:val="single" w:color="000000" w:sz="4" w:space="0"/>
              <w:bottom w:val="single" w:color="000000" w:sz="4" w:space="0"/>
              <w:right w:val="single" w:color="000000" w:sz="4" w:space="0"/>
            </w:tcBorders>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2101101</w:t>
            </w:r>
          </w:p>
        </w:tc>
        <w:tc>
          <w:tcPr>
            <w:tcW w:w="2516" w:type="dxa"/>
            <w:tcBorders>
              <w:top w:val="single" w:color="000000" w:sz="4" w:space="0"/>
              <w:left w:val="single" w:color="000000" w:sz="4" w:space="0"/>
              <w:bottom w:val="single" w:color="000000" w:sz="4" w:space="0"/>
              <w:right w:val="single" w:color="000000" w:sz="4" w:space="0"/>
            </w:tcBorders>
          </w:tcPr>
          <w:p>
            <w:pPr>
              <w:jc w:val="left"/>
              <w:rPr>
                <w:rFonts w:ascii="ËÎÌå" w:hAnsi="ËÎÌå" w:eastAsia="ËÎÌå"/>
                <w:color w:val="000000"/>
                <w:sz w:val="22"/>
              </w:rPr>
            </w:pPr>
            <w:r>
              <w:rPr>
                <w:rFonts w:ascii="ËÎÌå" w:hAnsi="ËÎÌå" w:eastAsia="ËÎÌå"/>
                <w:color w:val="000000"/>
                <w:sz w:val="22"/>
              </w:rPr>
              <w:t xml:space="preserve">  行政单位医疗</w:t>
            </w:r>
          </w:p>
        </w:tc>
        <w:tc>
          <w:tcPr>
            <w:tcW w:w="8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3.88</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3.88</w:t>
            </w:r>
          </w:p>
        </w:tc>
        <w:tc>
          <w:tcPr>
            <w:tcW w:w="10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6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6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16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r>
      <w:tr>
        <w:tblPrEx>
          <w:tblCellMar>
            <w:top w:w="15" w:type="dxa"/>
            <w:left w:w="15" w:type="dxa"/>
            <w:bottom w:w="15" w:type="dxa"/>
            <w:right w:w="15" w:type="dxa"/>
          </w:tblCellMar>
        </w:tblPrEx>
        <w:trPr>
          <w:trHeight w:val="372" w:hRule="atLeast"/>
        </w:trPr>
        <w:tc>
          <w:tcPr>
            <w:tcW w:w="97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1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6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7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1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6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7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1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6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7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1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6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7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1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6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7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1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6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7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1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6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7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1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6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7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1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6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7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1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6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7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1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6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jc w:val="left"/>
        <w:rPr>
          <w:rFonts w:eastAsia="宋体" w:cs="黑体"/>
          <w:sz w:val="21"/>
          <w:szCs w:val="24"/>
        </w:rPr>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财政拨款收入支出决算总表</w:t>
      </w:r>
    </w:p>
    <w:p>
      <w:pPr>
        <w:rPr>
          <w:rFonts w:ascii="宋体" w:hAnsi="宋体" w:eastAsia="宋体" w:cs="宋体"/>
          <w:b/>
          <w:bCs/>
          <w:sz w:val="21"/>
          <w:szCs w:val="21"/>
        </w:rPr>
      </w:pPr>
      <w:r>
        <w:rPr>
          <w:rFonts w:hint="eastAsia" w:ascii="宋体" w:hAnsi="宋体" w:eastAsia="宋体" w:cs="宋体"/>
          <w:b/>
          <w:bCs/>
          <w:sz w:val="21"/>
          <w:szCs w:val="21"/>
        </w:rPr>
        <w:t>公开04表</w:t>
      </w:r>
    </w:p>
    <w:p>
      <w:pPr>
        <w:rPr>
          <w:rFonts w:ascii="宋体" w:hAnsi="宋体" w:eastAsia="宋体" w:cs="宋体"/>
          <w:b/>
          <w:bCs/>
          <w:sz w:val="21"/>
          <w:szCs w:val="21"/>
        </w:rPr>
      </w:pPr>
      <w:r>
        <w:rPr>
          <w:rFonts w:hint="eastAsia" w:ascii="宋体" w:hAnsi="宋体" w:eastAsia="宋体" w:cs="宋体"/>
          <w:b/>
          <w:bCs/>
          <w:sz w:val="21"/>
          <w:szCs w:val="21"/>
        </w:rPr>
        <w:t>编制部门：中共西安市阎良区委员会政法委员会（本级） 金额单位：万元</w:t>
      </w:r>
    </w:p>
    <w:p>
      <w:pPr>
        <w:rPr>
          <w:rFonts w:ascii="宋体" w:hAnsi="宋体" w:eastAsia="宋体" w:cs="宋体"/>
          <w:b/>
          <w:bCs/>
          <w:sz w:val="21"/>
          <w:szCs w:val="21"/>
        </w:rPr>
      </w:pPr>
    </w:p>
    <w:tbl>
      <w:tblPr>
        <w:tblStyle w:val="6"/>
        <w:tblW w:w="8700" w:type="dxa"/>
        <w:tblInd w:w="0" w:type="dxa"/>
        <w:tblLayout w:type="fixed"/>
        <w:tblCellMar>
          <w:top w:w="15" w:type="dxa"/>
          <w:left w:w="15" w:type="dxa"/>
          <w:bottom w:w="15" w:type="dxa"/>
          <w:right w:w="15" w:type="dxa"/>
        </w:tblCellMar>
      </w:tblPr>
      <w:tblGrid>
        <w:gridCol w:w="1705"/>
        <w:gridCol w:w="1072"/>
        <w:gridCol w:w="2703"/>
        <w:gridCol w:w="1134"/>
        <w:gridCol w:w="1102"/>
        <w:gridCol w:w="984"/>
      </w:tblGrid>
      <w:tr>
        <w:tblPrEx>
          <w:tblCellMar>
            <w:top w:w="15" w:type="dxa"/>
            <w:left w:w="15" w:type="dxa"/>
            <w:bottom w:w="15" w:type="dxa"/>
            <w:right w:w="15" w:type="dxa"/>
          </w:tblCellMar>
        </w:tblPrEx>
        <w:trPr>
          <w:trHeight w:val="367" w:hRule="atLeast"/>
        </w:trPr>
        <w:tc>
          <w:tcPr>
            <w:tcW w:w="2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92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CellMar>
            <w:top w:w="15" w:type="dxa"/>
            <w:left w:w="15" w:type="dxa"/>
            <w:bottom w:w="15" w:type="dxa"/>
            <w:right w:w="15" w:type="dxa"/>
          </w:tblCellMar>
        </w:tblPrEx>
        <w:trPr>
          <w:trHeight w:val="1020"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447.19</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1、一般公共服务支出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424.44</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424.44</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2、政府性基金预算财政拨款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2、外交支出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3、国有资本经营预算收入</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3、国防支出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4、公共安全支出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5、教育支出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6、科学技术支出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7、</w:t>
            </w:r>
            <w:r>
              <w:rPr>
                <w:rFonts w:hint="eastAsia" w:ascii="宋体" w:hAnsi="宋体" w:eastAsia="宋体" w:cs="宋体"/>
                <w:color w:val="000000"/>
                <w:spacing w:val="-11"/>
                <w:w w:val="98"/>
                <w:kern w:val="0"/>
                <w:sz w:val="21"/>
                <w:szCs w:val="21"/>
              </w:rPr>
              <w:t>文化旅游体育与传媒支出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8、社会保障和就业支出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14.87</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14.87</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9、卫生健康支出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3.88</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3.88</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10、节能环保支出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11、城乡社区支出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12、农林水支出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13、交通运输支出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14、资源勘探信息等支出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15、商业服务业等支出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16、金融支出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17、援助其他地区支出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18、</w:t>
            </w:r>
            <w:r>
              <w:rPr>
                <w:rFonts w:hint="eastAsia" w:ascii="宋体" w:hAnsi="宋体" w:eastAsia="宋体" w:cs="宋体"/>
                <w:color w:val="000000"/>
                <w:spacing w:val="-11"/>
                <w:w w:val="98"/>
                <w:kern w:val="0"/>
                <w:sz w:val="21"/>
                <w:szCs w:val="21"/>
              </w:rPr>
              <w:t>自然资源海洋气象等支出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19、住房保障支出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20、粮油物资储备支出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21、灾害防治及应急管理支出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78"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134" w:type="dxa"/>
            <w:tcBorders>
              <w:top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1102" w:type="dxa"/>
            <w:tcBorders>
              <w:top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c>
          <w:tcPr>
            <w:tcW w:w="984" w:type="dxa"/>
            <w:tcBorders>
              <w:top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bl>
    <w:p/>
    <w:p/>
    <w:p>
      <w:pPr>
        <w:jc w:val="center"/>
        <w:rPr>
          <w:rFonts w:ascii="宋体" w:hAnsi="宋体" w:eastAsia="宋体" w:cs="宋体"/>
          <w:b/>
          <w:bCs/>
          <w:szCs w:val="32"/>
        </w:rPr>
      </w:pPr>
      <w:r>
        <w:rPr>
          <w:rFonts w:hint="eastAsia" w:ascii="宋体" w:hAnsi="宋体" w:eastAsia="宋体" w:cs="宋体"/>
          <w:b/>
          <w:bCs/>
          <w:szCs w:val="32"/>
        </w:rPr>
        <w:t xml:space="preserve">财政拨款收入支出决算总表 </w:t>
      </w:r>
    </w:p>
    <w:p>
      <w:pPr>
        <w:rPr>
          <w:rFonts w:ascii="宋体" w:hAnsi="宋体" w:eastAsia="宋体" w:cs="宋体"/>
          <w:b/>
          <w:bCs/>
          <w:sz w:val="21"/>
          <w:szCs w:val="21"/>
        </w:rPr>
      </w:pPr>
      <w:r>
        <w:rPr>
          <w:rFonts w:hint="eastAsia" w:ascii="宋体" w:hAnsi="宋体" w:eastAsia="宋体" w:cs="宋体"/>
          <w:b/>
          <w:bCs/>
          <w:sz w:val="21"/>
          <w:szCs w:val="21"/>
        </w:rPr>
        <w:t xml:space="preserve"> 公开04表</w:t>
      </w:r>
    </w:p>
    <w:p>
      <w:pPr>
        <w:rPr>
          <w:rFonts w:ascii="宋体" w:hAnsi="宋体" w:eastAsia="宋体" w:cs="宋体"/>
          <w:b/>
          <w:bCs/>
          <w:sz w:val="21"/>
          <w:szCs w:val="21"/>
        </w:rPr>
      </w:pPr>
      <w:r>
        <w:rPr>
          <w:rFonts w:hint="eastAsia" w:ascii="宋体" w:hAnsi="宋体" w:eastAsia="宋体" w:cs="宋体"/>
          <w:b/>
          <w:bCs/>
          <w:sz w:val="21"/>
          <w:szCs w:val="21"/>
        </w:rPr>
        <w:t>编制部门：中共西安市阎良区委员会政法委员会（本级） 金额单位：万元</w:t>
      </w:r>
    </w:p>
    <w:p>
      <w:pPr>
        <w:rPr>
          <w:rFonts w:ascii="宋体" w:hAnsi="宋体" w:eastAsia="宋体" w:cs="宋体"/>
          <w:b/>
          <w:bCs/>
          <w:sz w:val="21"/>
          <w:szCs w:val="21"/>
        </w:rPr>
      </w:pPr>
    </w:p>
    <w:tbl>
      <w:tblPr>
        <w:tblStyle w:val="6"/>
        <w:tblW w:w="8860" w:type="dxa"/>
        <w:tblInd w:w="0" w:type="dxa"/>
        <w:tblLayout w:type="fixed"/>
        <w:tblCellMar>
          <w:top w:w="15" w:type="dxa"/>
          <w:left w:w="15" w:type="dxa"/>
          <w:bottom w:w="15" w:type="dxa"/>
          <w:right w:w="15" w:type="dxa"/>
        </w:tblCellMar>
      </w:tblPr>
      <w:tblGrid>
        <w:gridCol w:w="2003"/>
        <w:gridCol w:w="1554"/>
        <w:gridCol w:w="1815"/>
        <w:gridCol w:w="1230"/>
        <w:gridCol w:w="1061"/>
        <w:gridCol w:w="1197"/>
      </w:tblGrid>
      <w:tr>
        <w:tblPrEx>
          <w:tblCellMar>
            <w:top w:w="15" w:type="dxa"/>
            <w:left w:w="15" w:type="dxa"/>
            <w:bottom w:w="15" w:type="dxa"/>
            <w:right w:w="15" w:type="dxa"/>
          </w:tblCellMar>
        </w:tblPrEx>
        <w:trPr>
          <w:trHeight w:val="578" w:hRule="atLeast"/>
        </w:trPr>
        <w:tc>
          <w:tcPr>
            <w:tcW w:w="355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30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CellMar>
            <w:top w:w="15" w:type="dxa"/>
            <w:left w:w="15" w:type="dxa"/>
            <w:bottom w:w="15" w:type="dxa"/>
            <w:right w:w="15" w:type="dxa"/>
          </w:tblCellMar>
        </w:tblPrEx>
        <w:trPr>
          <w:trHeight w:val="999"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447.19</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2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443.19</w:t>
            </w: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443.19</w:t>
            </w:r>
          </w:p>
        </w:tc>
        <w:tc>
          <w:tcPr>
            <w:tcW w:w="119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年初财政拨款结转和结余</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年末财政拨款</w:t>
            </w:r>
          </w:p>
          <w:p>
            <w:pPr>
              <w:widowControl/>
              <w:jc w:val="center"/>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结转和结余</w:t>
            </w:r>
          </w:p>
        </w:tc>
        <w:tc>
          <w:tcPr>
            <w:tcW w:w="12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4.00</w:t>
            </w: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4.00</w:t>
            </w:r>
          </w:p>
        </w:tc>
        <w:tc>
          <w:tcPr>
            <w:tcW w:w="119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一、一般公共预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二、政府性基金预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562"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收入总计</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447.19</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支出总计</w:t>
            </w:r>
          </w:p>
        </w:tc>
        <w:tc>
          <w:tcPr>
            <w:tcW w:w="12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447.19</w:t>
            </w: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447.19</w:t>
            </w:r>
          </w:p>
        </w:tc>
        <w:tc>
          <w:tcPr>
            <w:tcW w:w="119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ascii="宋体" w:hAnsi="宋体" w:eastAsia="宋体" w:cs="宋体"/>
                <w:color w:val="000000"/>
                <w:sz w:val="21"/>
                <w:szCs w:val="21"/>
              </w:rPr>
              <w:t>0.00</w:t>
            </w:r>
          </w:p>
        </w:tc>
      </w:tr>
    </w:tbl>
    <w:p>
      <w:pPr>
        <w:rPr>
          <w:rFonts w:ascii="宋体" w:hAnsi="宋体" w:eastAsia="宋体" w:cs="宋体"/>
          <w:sz w:val="21"/>
          <w:szCs w:val="21"/>
        </w:rPr>
      </w:pPr>
    </w:p>
    <w:p>
      <w:pPr>
        <w:widowControl/>
        <w:ind w:left="210" w:hanging="210" w:hangingChars="100"/>
        <w:jc w:val="left"/>
        <w:rPr>
          <w:rFonts w:eastAsia="宋体" w:cs="黑体"/>
          <w:sz w:val="21"/>
          <w:szCs w:val="24"/>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pPr>
        <w:rPr>
          <w:rFonts w:ascii="仿宋_GB2312" w:hAnsi="仿宋_GB2312" w:eastAsia="仿宋_GB2312" w:cs="仿宋_GB2312"/>
          <w:szCs w:val="32"/>
        </w:rPr>
      </w:pPr>
    </w:p>
    <w:p/>
    <w:p/>
    <w:p/>
    <w:p/>
    <w:p/>
    <w:p/>
    <w:p/>
    <w:p>
      <w:pPr>
        <w:jc w:val="center"/>
        <w:rPr>
          <w:rFonts w:ascii="宋体" w:hAnsi="宋体" w:eastAsia="宋体" w:cs="宋体"/>
          <w:b/>
          <w:bCs/>
          <w:szCs w:val="32"/>
        </w:rPr>
      </w:pPr>
      <w:r>
        <w:rPr>
          <w:rFonts w:hint="eastAsia" w:ascii="宋体" w:hAnsi="宋体" w:eastAsia="宋体" w:cs="宋体"/>
          <w:b/>
          <w:bCs/>
          <w:szCs w:val="32"/>
        </w:rPr>
        <w:t>一般公共预算财政拨款支出决算表（按功能分类科目）</w:t>
      </w:r>
    </w:p>
    <w:p>
      <w:pPr>
        <w:rPr>
          <w:rFonts w:ascii="宋体" w:hAnsi="宋体" w:eastAsia="宋体" w:cs="宋体"/>
          <w:b/>
          <w:bCs/>
          <w:sz w:val="21"/>
          <w:szCs w:val="21"/>
        </w:rPr>
      </w:pPr>
      <w:r>
        <w:rPr>
          <w:rFonts w:hint="eastAsia" w:ascii="宋体" w:hAnsi="宋体" w:eastAsia="宋体" w:cs="宋体"/>
          <w:b/>
          <w:bCs/>
          <w:sz w:val="21"/>
          <w:szCs w:val="21"/>
        </w:rPr>
        <w:t xml:space="preserve">                                                               公开05表</w:t>
      </w:r>
    </w:p>
    <w:p>
      <w:pPr>
        <w:rPr>
          <w:rFonts w:ascii="宋体" w:hAnsi="宋体" w:eastAsia="宋体" w:cs="宋体"/>
          <w:b/>
          <w:bCs/>
          <w:sz w:val="21"/>
          <w:szCs w:val="21"/>
        </w:rPr>
      </w:pPr>
      <w:r>
        <w:rPr>
          <w:rFonts w:hint="eastAsia" w:ascii="宋体" w:hAnsi="宋体" w:eastAsia="宋体" w:cs="宋体"/>
          <w:b/>
          <w:bCs/>
          <w:sz w:val="21"/>
          <w:szCs w:val="21"/>
        </w:rPr>
        <w:t>编制部门：中共西安市阎良区委员会政法委员会（本级） 金额单位：万元</w:t>
      </w:r>
    </w:p>
    <w:tbl>
      <w:tblPr>
        <w:tblStyle w:val="6"/>
        <w:tblW w:w="8777" w:type="dxa"/>
        <w:tblInd w:w="0" w:type="dxa"/>
        <w:tblLayout w:type="fixed"/>
        <w:tblCellMar>
          <w:top w:w="15" w:type="dxa"/>
          <w:left w:w="15" w:type="dxa"/>
          <w:bottom w:w="15" w:type="dxa"/>
          <w:right w:w="15" w:type="dxa"/>
        </w:tblCellMar>
      </w:tblPr>
      <w:tblGrid>
        <w:gridCol w:w="1170"/>
        <w:gridCol w:w="1908"/>
        <w:gridCol w:w="950"/>
        <w:gridCol w:w="983"/>
        <w:gridCol w:w="933"/>
        <w:gridCol w:w="967"/>
        <w:gridCol w:w="1017"/>
        <w:gridCol w:w="849"/>
      </w:tblGrid>
      <w:tr>
        <w:tblPrEx>
          <w:tblCellMar>
            <w:top w:w="15" w:type="dxa"/>
            <w:left w:w="15" w:type="dxa"/>
            <w:bottom w:w="15" w:type="dxa"/>
            <w:right w:w="15" w:type="dxa"/>
          </w:tblCellMar>
        </w:tblPrEx>
        <w:trPr>
          <w:trHeight w:val="414" w:hRule="atLeast"/>
        </w:trPr>
        <w:tc>
          <w:tcPr>
            <w:tcW w:w="307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9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2883"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8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9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9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0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14" w:hRule="atLeast"/>
        </w:trPr>
        <w:tc>
          <w:tcPr>
            <w:tcW w:w="307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443.19</w:t>
            </w:r>
          </w:p>
        </w:tc>
        <w:tc>
          <w:tcPr>
            <w:tcW w:w="98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194.91</w:t>
            </w:r>
          </w:p>
        </w:tc>
        <w:tc>
          <w:tcPr>
            <w:tcW w:w="93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189.98</w:t>
            </w:r>
          </w:p>
        </w:tc>
        <w:tc>
          <w:tcPr>
            <w:tcW w:w="9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4.93</w:t>
            </w:r>
          </w:p>
        </w:tc>
        <w:tc>
          <w:tcPr>
            <w:tcW w:w="10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248.28</w:t>
            </w:r>
          </w:p>
        </w:tc>
        <w:tc>
          <w:tcPr>
            <w:tcW w:w="8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6"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r>
              <w:rPr>
                <w:rFonts w:hint="eastAsia" w:ascii="宋体" w:hAnsi="宋体" w:eastAsia="宋体" w:cs="宋体"/>
                <w:color w:val="000000"/>
                <w:sz w:val="21"/>
                <w:szCs w:val="21"/>
              </w:rPr>
              <w:t>201</w:t>
            </w:r>
          </w:p>
        </w:tc>
        <w:tc>
          <w:tcPr>
            <w:tcW w:w="190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r>
              <w:rPr>
                <w:rFonts w:hint="eastAsia" w:ascii="宋体" w:hAnsi="宋体" w:eastAsia="宋体" w:cs="宋体"/>
                <w:color w:val="000000"/>
                <w:sz w:val="21"/>
                <w:szCs w:val="21"/>
              </w:rPr>
              <w:t>一般公共服务支出</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424.44</w:t>
            </w:r>
          </w:p>
        </w:tc>
        <w:tc>
          <w:tcPr>
            <w:tcW w:w="98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176.16</w:t>
            </w:r>
          </w:p>
        </w:tc>
        <w:tc>
          <w:tcPr>
            <w:tcW w:w="93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171.23</w:t>
            </w:r>
          </w:p>
        </w:tc>
        <w:tc>
          <w:tcPr>
            <w:tcW w:w="9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4.93</w:t>
            </w:r>
          </w:p>
        </w:tc>
        <w:tc>
          <w:tcPr>
            <w:tcW w:w="10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248.28</w:t>
            </w:r>
          </w:p>
        </w:tc>
        <w:tc>
          <w:tcPr>
            <w:tcW w:w="8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70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ind w:firstLine="210" w:firstLineChars="100"/>
              <w:rPr>
                <w:rFonts w:ascii="宋体" w:hAnsi="宋体" w:eastAsia="宋体" w:cs="宋体"/>
                <w:color w:val="000000"/>
                <w:sz w:val="21"/>
                <w:szCs w:val="21"/>
              </w:rPr>
            </w:pPr>
            <w:r>
              <w:rPr>
                <w:rFonts w:hint="eastAsia" w:ascii="宋体" w:hAnsi="宋体" w:eastAsia="宋体" w:cs="宋体"/>
                <w:color w:val="000000"/>
                <w:sz w:val="21"/>
                <w:szCs w:val="21"/>
              </w:rPr>
              <w:t>20131</w:t>
            </w:r>
          </w:p>
        </w:tc>
        <w:tc>
          <w:tcPr>
            <w:tcW w:w="190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r>
              <w:rPr>
                <w:rFonts w:hint="eastAsia" w:ascii="宋体" w:hAnsi="宋体" w:eastAsia="宋体" w:cs="宋体"/>
                <w:color w:val="000000"/>
                <w:sz w:val="21"/>
                <w:szCs w:val="21"/>
              </w:rPr>
              <w:t>党委办公厅（室）及相关机构事务</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222.67</w:t>
            </w:r>
          </w:p>
        </w:tc>
        <w:tc>
          <w:tcPr>
            <w:tcW w:w="98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93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9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0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222.67</w:t>
            </w:r>
          </w:p>
        </w:tc>
        <w:tc>
          <w:tcPr>
            <w:tcW w:w="8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2013199</w:t>
            </w:r>
          </w:p>
        </w:tc>
        <w:tc>
          <w:tcPr>
            <w:tcW w:w="190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r>
              <w:rPr>
                <w:rFonts w:hint="eastAsia" w:ascii="宋体" w:hAnsi="宋体" w:eastAsia="宋体" w:cs="宋体"/>
                <w:color w:val="000000"/>
                <w:sz w:val="21"/>
                <w:szCs w:val="21"/>
              </w:rPr>
              <w:t>其他党委办公厅（室）及相关机构事务支出</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222.67</w:t>
            </w:r>
          </w:p>
        </w:tc>
        <w:tc>
          <w:tcPr>
            <w:tcW w:w="98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93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9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0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222.67</w:t>
            </w:r>
          </w:p>
        </w:tc>
        <w:tc>
          <w:tcPr>
            <w:tcW w:w="8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r>
              <w:rPr>
                <w:rFonts w:hint="eastAsia" w:ascii="宋体" w:hAnsi="宋体" w:eastAsia="宋体" w:cs="宋体"/>
                <w:color w:val="000000"/>
                <w:sz w:val="21"/>
                <w:szCs w:val="21"/>
              </w:rPr>
              <w:t>20136</w:t>
            </w:r>
          </w:p>
        </w:tc>
        <w:tc>
          <w:tcPr>
            <w:tcW w:w="190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r>
              <w:rPr>
                <w:rFonts w:hint="eastAsia" w:ascii="宋体" w:hAnsi="宋体" w:eastAsia="宋体" w:cs="宋体"/>
                <w:color w:val="000000"/>
                <w:sz w:val="21"/>
                <w:szCs w:val="21"/>
              </w:rPr>
              <w:t>其他共产党事务支出</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201.77</w:t>
            </w:r>
          </w:p>
        </w:tc>
        <w:tc>
          <w:tcPr>
            <w:tcW w:w="98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176.16</w:t>
            </w:r>
          </w:p>
        </w:tc>
        <w:tc>
          <w:tcPr>
            <w:tcW w:w="93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171.23</w:t>
            </w:r>
          </w:p>
        </w:tc>
        <w:tc>
          <w:tcPr>
            <w:tcW w:w="9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4.93</w:t>
            </w:r>
          </w:p>
        </w:tc>
        <w:tc>
          <w:tcPr>
            <w:tcW w:w="10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25.61</w:t>
            </w:r>
          </w:p>
        </w:tc>
        <w:tc>
          <w:tcPr>
            <w:tcW w:w="8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2013601</w:t>
            </w:r>
          </w:p>
        </w:tc>
        <w:tc>
          <w:tcPr>
            <w:tcW w:w="190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r>
              <w:rPr>
                <w:rFonts w:hint="eastAsia" w:ascii="宋体" w:hAnsi="宋体" w:eastAsia="宋体" w:cs="宋体"/>
                <w:color w:val="000000"/>
                <w:sz w:val="21"/>
                <w:szCs w:val="21"/>
              </w:rPr>
              <w:t>行政运行</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176.16</w:t>
            </w:r>
          </w:p>
        </w:tc>
        <w:tc>
          <w:tcPr>
            <w:tcW w:w="98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176.16</w:t>
            </w:r>
          </w:p>
        </w:tc>
        <w:tc>
          <w:tcPr>
            <w:tcW w:w="93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171.23</w:t>
            </w:r>
          </w:p>
        </w:tc>
        <w:tc>
          <w:tcPr>
            <w:tcW w:w="9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4.93</w:t>
            </w:r>
          </w:p>
        </w:tc>
        <w:tc>
          <w:tcPr>
            <w:tcW w:w="10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2013602</w:t>
            </w:r>
          </w:p>
        </w:tc>
        <w:tc>
          <w:tcPr>
            <w:tcW w:w="190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r>
              <w:rPr>
                <w:rFonts w:hint="eastAsia" w:ascii="宋体" w:hAnsi="宋体" w:eastAsia="宋体" w:cs="宋体"/>
                <w:color w:val="000000"/>
                <w:sz w:val="21"/>
                <w:szCs w:val="21"/>
              </w:rPr>
              <w:t>一般行政管理事务</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25.61</w:t>
            </w:r>
          </w:p>
        </w:tc>
        <w:tc>
          <w:tcPr>
            <w:tcW w:w="98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93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9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0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25.61</w:t>
            </w:r>
          </w:p>
        </w:tc>
        <w:tc>
          <w:tcPr>
            <w:tcW w:w="8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r>
              <w:rPr>
                <w:rFonts w:hint="eastAsia" w:ascii="宋体" w:hAnsi="宋体" w:eastAsia="宋体" w:cs="宋体"/>
                <w:color w:val="000000"/>
                <w:sz w:val="21"/>
                <w:szCs w:val="21"/>
              </w:rPr>
              <w:t>208</w:t>
            </w:r>
          </w:p>
        </w:tc>
        <w:tc>
          <w:tcPr>
            <w:tcW w:w="190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r>
              <w:rPr>
                <w:rFonts w:hint="eastAsia" w:ascii="宋体" w:hAnsi="宋体" w:eastAsia="宋体" w:cs="宋体"/>
                <w:color w:val="000000"/>
                <w:sz w:val="21"/>
                <w:szCs w:val="21"/>
              </w:rPr>
              <w:t>社会保障和就业支出</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14.87</w:t>
            </w:r>
          </w:p>
        </w:tc>
        <w:tc>
          <w:tcPr>
            <w:tcW w:w="98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14.87</w:t>
            </w:r>
          </w:p>
        </w:tc>
        <w:tc>
          <w:tcPr>
            <w:tcW w:w="93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14.87</w:t>
            </w:r>
          </w:p>
        </w:tc>
        <w:tc>
          <w:tcPr>
            <w:tcW w:w="9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0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ind w:firstLine="210" w:firstLineChars="100"/>
              <w:rPr>
                <w:rFonts w:ascii="宋体" w:hAnsi="宋体" w:eastAsia="宋体" w:cs="宋体"/>
                <w:color w:val="000000"/>
                <w:sz w:val="21"/>
                <w:szCs w:val="21"/>
              </w:rPr>
            </w:pPr>
            <w:r>
              <w:rPr>
                <w:rFonts w:hint="eastAsia" w:ascii="宋体" w:hAnsi="宋体" w:eastAsia="宋体" w:cs="宋体"/>
                <w:color w:val="000000"/>
                <w:sz w:val="21"/>
                <w:szCs w:val="21"/>
              </w:rPr>
              <w:t>20805</w:t>
            </w:r>
          </w:p>
        </w:tc>
        <w:tc>
          <w:tcPr>
            <w:tcW w:w="190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r>
              <w:rPr>
                <w:rFonts w:hint="eastAsia" w:ascii="宋体" w:hAnsi="宋体" w:eastAsia="宋体" w:cs="宋体"/>
                <w:color w:val="000000"/>
                <w:sz w:val="21"/>
                <w:szCs w:val="21"/>
              </w:rPr>
              <w:t>行政事业单位离退休</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14.87</w:t>
            </w:r>
          </w:p>
        </w:tc>
        <w:tc>
          <w:tcPr>
            <w:tcW w:w="98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14.87</w:t>
            </w:r>
          </w:p>
        </w:tc>
        <w:tc>
          <w:tcPr>
            <w:tcW w:w="93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14.87</w:t>
            </w:r>
          </w:p>
        </w:tc>
        <w:tc>
          <w:tcPr>
            <w:tcW w:w="9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0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2080505</w:t>
            </w:r>
          </w:p>
        </w:tc>
        <w:tc>
          <w:tcPr>
            <w:tcW w:w="190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r>
              <w:rPr>
                <w:rFonts w:hint="eastAsia" w:ascii="宋体" w:hAnsi="宋体" w:eastAsia="宋体" w:cs="宋体"/>
                <w:color w:val="000000"/>
                <w:sz w:val="21"/>
                <w:szCs w:val="21"/>
              </w:rPr>
              <w:t>机关事业单位基本养老保险缴费支出</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14.87</w:t>
            </w:r>
          </w:p>
        </w:tc>
        <w:tc>
          <w:tcPr>
            <w:tcW w:w="98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14.87</w:t>
            </w:r>
          </w:p>
        </w:tc>
        <w:tc>
          <w:tcPr>
            <w:tcW w:w="93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14.87</w:t>
            </w:r>
          </w:p>
        </w:tc>
        <w:tc>
          <w:tcPr>
            <w:tcW w:w="9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0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r>
              <w:rPr>
                <w:rFonts w:hint="eastAsia" w:ascii="宋体" w:hAnsi="宋体" w:eastAsia="宋体" w:cs="宋体"/>
                <w:color w:val="000000"/>
                <w:sz w:val="21"/>
                <w:szCs w:val="21"/>
              </w:rPr>
              <w:t>210</w:t>
            </w:r>
          </w:p>
        </w:tc>
        <w:tc>
          <w:tcPr>
            <w:tcW w:w="190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r>
              <w:rPr>
                <w:rFonts w:hint="eastAsia" w:ascii="宋体" w:hAnsi="宋体" w:eastAsia="宋体" w:cs="宋体"/>
                <w:color w:val="000000"/>
                <w:sz w:val="21"/>
                <w:szCs w:val="21"/>
              </w:rPr>
              <w:t>卫生健康支出</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3.88</w:t>
            </w:r>
          </w:p>
        </w:tc>
        <w:tc>
          <w:tcPr>
            <w:tcW w:w="98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3.88</w:t>
            </w:r>
          </w:p>
        </w:tc>
        <w:tc>
          <w:tcPr>
            <w:tcW w:w="93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3.88</w:t>
            </w:r>
          </w:p>
        </w:tc>
        <w:tc>
          <w:tcPr>
            <w:tcW w:w="9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0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ind w:firstLine="210" w:firstLineChars="100"/>
              <w:rPr>
                <w:rFonts w:ascii="宋体" w:hAnsi="宋体" w:eastAsia="宋体" w:cs="宋体"/>
                <w:color w:val="000000"/>
                <w:sz w:val="21"/>
                <w:szCs w:val="21"/>
              </w:rPr>
            </w:pPr>
            <w:r>
              <w:rPr>
                <w:rFonts w:hint="eastAsia" w:ascii="宋体" w:hAnsi="宋体" w:eastAsia="宋体" w:cs="宋体"/>
                <w:color w:val="000000"/>
                <w:sz w:val="21"/>
                <w:szCs w:val="21"/>
              </w:rPr>
              <w:t>21011</w:t>
            </w:r>
          </w:p>
        </w:tc>
        <w:tc>
          <w:tcPr>
            <w:tcW w:w="190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r>
              <w:rPr>
                <w:rFonts w:hint="eastAsia" w:ascii="宋体" w:hAnsi="宋体" w:eastAsia="宋体" w:cs="宋体"/>
                <w:color w:val="000000"/>
                <w:sz w:val="21"/>
                <w:szCs w:val="21"/>
              </w:rPr>
              <w:t>行政事业单位医疗</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3.88</w:t>
            </w:r>
          </w:p>
        </w:tc>
        <w:tc>
          <w:tcPr>
            <w:tcW w:w="98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3.88</w:t>
            </w:r>
          </w:p>
        </w:tc>
        <w:tc>
          <w:tcPr>
            <w:tcW w:w="93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3.88</w:t>
            </w:r>
          </w:p>
        </w:tc>
        <w:tc>
          <w:tcPr>
            <w:tcW w:w="9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0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2101101</w:t>
            </w:r>
          </w:p>
        </w:tc>
        <w:tc>
          <w:tcPr>
            <w:tcW w:w="190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r>
              <w:rPr>
                <w:rFonts w:hint="eastAsia" w:ascii="宋体" w:hAnsi="宋体" w:eastAsia="宋体" w:cs="宋体"/>
                <w:color w:val="000000"/>
                <w:sz w:val="21"/>
                <w:szCs w:val="21"/>
              </w:rPr>
              <w:t>行政单位医疗</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3.88</w:t>
            </w:r>
          </w:p>
        </w:tc>
        <w:tc>
          <w:tcPr>
            <w:tcW w:w="98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3.88</w:t>
            </w:r>
          </w:p>
        </w:tc>
        <w:tc>
          <w:tcPr>
            <w:tcW w:w="93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3.88</w:t>
            </w:r>
          </w:p>
        </w:tc>
        <w:tc>
          <w:tcPr>
            <w:tcW w:w="9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0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90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1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90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1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90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1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90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1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一般公共预算财政拨款基本支出决算表（按经济分类科目）</w:t>
      </w:r>
    </w:p>
    <w:p>
      <w:pPr>
        <w:rPr>
          <w:rFonts w:ascii="宋体" w:hAnsi="宋体" w:eastAsia="宋体" w:cs="宋体"/>
          <w:b/>
          <w:bCs/>
          <w:sz w:val="21"/>
          <w:szCs w:val="21"/>
        </w:rPr>
      </w:pPr>
      <w:r>
        <w:rPr>
          <w:rFonts w:hint="eastAsia" w:ascii="宋体" w:hAnsi="宋体" w:eastAsia="宋体" w:cs="宋体"/>
          <w:b/>
          <w:bCs/>
          <w:sz w:val="21"/>
          <w:szCs w:val="21"/>
        </w:rPr>
        <w:t>公开06表</w:t>
      </w:r>
    </w:p>
    <w:p>
      <w:pPr>
        <w:rPr>
          <w:rFonts w:ascii="宋体" w:hAnsi="宋体" w:eastAsia="宋体" w:cs="宋体"/>
          <w:b/>
          <w:bCs/>
          <w:sz w:val="21"/>
          <w:szCs w:val="21"/>
        </w:rPr>
      </w:pPr>
      <w:r>
        <w:rPr>
          <w:rFonts w:hint="eastAsia" w:ascii="宋体" w:hAnsi="宋体" w:eastAsia="宋体" w:cs="宋体"/>
          <w:b/>
          <w:bCs/>
          <w:sz w:val="21"/>
          <w:szCs w:val="21"/>
        </w:rPr>
        <w:t>编制部门：中共西安市阎良区委员会政法委员会（本级） 金额单位：万元</w:t>
      </w:r>
    </w:p>
    <w:p>
      <w:pPr>
        <w:rPr>
          <w:rFonts w:ascii="宋体" w:hAnsi="宋体" w:eastAsia="宋体" w:cs="宋体"/>
          <w:b/>
          <w:bCs/>
          <w:sz w:val="21"/>
          <w:szCs w:val="21"/>
        </w:rPr>
      </w:pPr>
    </w:p>
    <w:tbl>
      <w:tblPr>
        <w:tblStyle w:val="6"/>
        <w:tblW w:w="8817" w:type="dxa"/>
        <w:tblInd w:w="0" w:type="dxa"/>
        <w:tblLayout w:type="fixed"/>
        <w:tblCellMar>
          <w:top w:w="15" w:type="dxa"/>
          <w:left w:w="15" w:type="dxa"/>
          <w:bottom w:w="15" w:type="dxa"/>
          <w:right w:w="15" w:type="dxa"/>
        </w:tblCellMar>
      </w:tblPr>
      <w:tblGrid>
        <w:gridCol w:w="1157"/>
        <w:gridCol w:w="2046"/>
        <w:gridCol w:w="1659"/>
        <w:gridCol w:w="1437"/>
        <w:gridCol w:w="1363"/>
        <w:gridCol w:w="1155"/>
      </w:tblGrid>
      <w:tr>
        <w:tblPrEx>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ind w:firstLine="1054" w:firstLineChars="500"/>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65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36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CellMar>
            <w:top w:w="15" w:type="dxa"/>
            <w:left w:w="15" w:type="dxa"/>
            <w:bottom w:w="15" w:type="dxa"/>
            <w:right w:w="15" w:type="dxa"/>
          </w:tblCellMar>
        </w:tblPrEx>
        <w:trPr>
          <w:trHeight w:val="67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经济分类科目编码</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65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36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659" w:type="dxa"/>
            <w:tcBorders>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194.91</w:t>
            </w:r>
          </w:p>
        </w:tc>
        <w:tc>
          <w:tcPr>
            <w:tcW w:w="1437" w:type="dxa"/>
            <w:tcBorders>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189.98</w:t>
            </w:r>
          </w:p>
        </w:tc>
        <w:tc>
          <w:tcPr>
            <w:tcW w:w="1363" w:type="dxa"/>
            <w:tcBorders>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4.93</w:t>
            </w:r>
          </w:p>
        </w:tc>
        <w:tc>
          <w:tcPr>
            <w:tcW w:w="1155"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301</w:t>
            </w:r>
          </w:p>
        </w:tc>
        <w:tc>
          <w:tcPr>
            <w:tcW w:w="2046"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工资福利支出</w:t>
            </w:r>
          </w:p>
        </w:tc>
        <w:tc>
          <w:tcPr>
            <w:tcW w:w="1659"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188.78</w:t>
            </w:r>
          </w:p>
        </w:tc>
        <w:tc>
          <w:tcPr>
            <w:tcW w:w="1437"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188.78</w:t>
            </w:r>
          </w:p>
        </w:tc>
        <w:tc>
          <w:tcPr>
            <w:tcW w:w="1363"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30101</w:t>
            </w:r>
          </w:p>
        </w:tc>
        <w:tc>
          <w:tcPr>
            <w:tcW w:w="2046"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 xml:space="preserve">  基本工资</w:t>
            </w:r>
          </w:p>
        </w:tc>
        <w:tc>
          <w:tcPr>
            <w:tcW w:w="1659"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52.36</w:t>
            </w:r>
          </w:p>
        </w:tc>
        <w:tc>
          <w:tcPr>
            <w:tcW w:w="1437"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52.36</w:t>
            </w:r>
          </w:p>
        </w:tc>
        <w:tc>
          <w:tcPr>
            <w:tcW w:w="1363"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30102</w:t>
            </w:r>
          </w:p>
        </w:tc>
        <w:tc>
          <w:tcPr>
            <w:tcW w:w="2046"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 xml:space="preserve">  津贴补贴</w:t>
            </w:r>
          </w:p>
        </w:tc>
        <w:tc>
          <w:tcPr>
            <w:tcW w:w="1659"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65.30</w:t>
            </w:r>
          </w:p>
        </w:tc>
        <w:tc>
          <w:tcPr>
            <w:tcW w:w="1437"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65.30</w:t>
            </w:r>
          </w:p>
        </w:tc>
        <w:tc>
          <w:tcPr>
            <w:tcW w:w="1363"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30103</w:t>
            </w:r>
          </w:p>
        </w:tc>
        <w:tc>
          <w:tcPr>
            <w:tcW w:w="2046"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 xml:space="preserve">  奖金</w:t>
            </w:r>
          </w:p>
        </w:tc>
        <w:tc>
          <w:tcPr>
            <w:tcW w:w="1659"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35.31</w:t>
            </w:r>
          </w:p>
        </w:tc>
        <w:tc>
          <w:tcPr>
            <w:tcW w:w="1437"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35.31</w:t>
            </w:r>
          </w:p>
        </w:tc>
        <w:tc>
          <w:tcPr>
            <w:tcW w:w="1363"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30108</w:t>
            </w:r>
          </w:p>
        </w:tc>
        <w:tc>
          <w:tcPr>
            <w:tcW w:w="2046"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 xml:space="preserve">  机关事业单位基本养老保险缴费</w:t>
            </w:r>
          </w:p>
        </w:tc>
        <w:tc>
          <w:tcPr>
            <w:tcW w:w="1659"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14.87</w:t>
            </w:r>
          </w:p>
        </w:tc>
        <w:tc>
          <w:tcPr>
            <w:tcW w:w="1437"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14.87</w:t>
            </w:r>
          </w:p>
        </w:tc>
        <w:tc>
          <w:tcPr>
            <w:tcW w:w="1363"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30111</w:t>
            </w:r>
          </w:p>
        </w:tc>
        <w:tc>
          <w:tcPr>
            <w:tcW w:w="2046"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 xml:space="preserve">  公务员医疗补助缴费</w:t>
            </w:r>
          </w:p>
        </w:tc>
        <w:tc>
          <w:tcPr>
            <w:tcW w:w="1659"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3.88</w:t>
            </w:r>
          </w:p>
        </w:tc>
        <w:tc>
          <w:tcPr>
            <w:tcW w:w="1437"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3.88</w:t>
            </w:r>
          </w:p>
        </w:tc>
        <w:tc>
          <w:tcPr>
            <w:tcW w:w="1363"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30113</w:t>
            </w:r>
          </w:p>
        </w:tc>
        <w:tc>
          <w:tcPr>
            <w:tcW w:w="2046"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 xml:space="preserve">  住房公积金</w:t>
            </w:r>
          </w:p>
        </w:tc>
        <w:tc>
          <w:tcPr>
            <w:tcW w:w="1659"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17.06</w:t>
            </w:r>
          </w:p>
        </w:tc>
        <w:tc>
          <w:tcPr>
            <w:tcW w:w="1437"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17.06</w:t>
            </w:r>
          </w:p>
        </w:tc>
        <w:tc>
          <w:tcPr>
            <w:tcW w:w="1363"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302</w:t>
            </w:r>
          </w:p>
        </w:tc>
        <w:tc>
          <w:tcPr>
            <w:tcW w:w="2046"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商品和服务支出</w:t>
            </w:r>
          </w:p>
        </w:tc>
        <w:tc>
          <w:tcPr>
            <w:tcW w:w="1659"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4.93</w:t>
            </w:r>
          </w:p>
        </w:tc>
        <w:tc>
          <w:tcPr>
            <w:tcW w:w="1437"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363"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4.93</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30228</w:t>
            </w:r>
          </w:p>
        </w:tc>
        <w:tc>
          <w:tcPr>
            <w:tcW w:w="2046"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 xml:space="preserve">  工会经费</w:t>
            </w:r>
          </w:p>
        </w:tc>
        <w:tc>
          <w:tcPr>
            <w:tcW w:w="1659"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4.93</w:t>
            </w:r>
          </w:p>
        </w:tc>
        <w:tc>
          <w:tcPr>
            <w:tcW w:w="1437"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363"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4.93</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303</w:t>
            </w:r>
          </w:p>
        </w:tc>
        <w:tc>
          <w:tcPr>
            <w:tcW w:w="2046"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对个人和家庭的补助</w:t>
            </w:r>
          </w:p>
        </w:tc>
        <w:tc>
          <w:tcPr>
            <w:tcW w:w="1659"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1.20</w:t>
            </w:r>
          </w:p>
        </w:tc>
        <w:tc>
          <w:tcPr>
            <w:tcW w:w="1437"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1.20</w:t>
            </w:r>
          </w:p>
        </w:tc>
        <w:tc>
          <w:tcPr>
            <w:tcW w:w="1363"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30305</w:t>
            </w:r>
          </w:p>
        </w:tc>
        <w:tc>
          <w:tcPr>
            <w:tcW w:w="2046" w:type="dxa"/>
            <w:tcBorders>
              <w:top w:val="single" w:color="000000" w:sz="4" w:space="0"/>
              <w:left w:val="single" w:color="000000" w:sz="4" w:space="0"/>
              <w:bottom w:val="single" w:color="000000" w:sz="4" w:space="0"/>
              <w:right w:val="single" w:color="000000" w:sz="4" w:space="0"/>
            </w:tcBorders>
          </w:tcPr>
          <w:p>
            <w:pPr>
              <w:jc w:val="left"/>
              <w:rPr>
                <w:rFonts w:ascii="宋体" w:hAnsi="宋体" w:eastAsia="宋体" w:cs="宋体"/>
                <w:color w:val="000000"/>
                <w:sz w:val="21"/>
                <w:szCs w:val="21"/>
              </w:rPr>
            </w:pPr>
            <w:r>
              <w:rPr>
                <w:rFonts w:hint="eastAsia" w:ascii="宋体" w:hAnsi="宋体" w:eastAsia="宋体" w:cs="宋体"/>
                <w:color w:val="000000"/>
                <w:sz w:val="21"/>
                <w:szCs w:val="21"/>
              </w:rPr>
              <w:t xml:space="preserve">  生活补助</w:t>
            </w:r>
          </w:p>
        </w:tc>
        <w:tc>
          <w:tcPr>
            <w:tcW w:w="1659"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1.20</w:t>
            </w:r>
          </w:p>
        </w:tc>
        <w:tc>
          <w:tcPr>
            <w:tcW w:w="1437"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1.20</w:t>
            </w:r>
          </w:p>
        </w:tc>
        <w:tc>
          <w:tcPr>
            <w:tcW w:w="1363" w:type="dxa"/>
            <w:tcBorders>
              <w:top w:val="single" w:color="000000" w:sz="4" w:space="0"/>
              <w:left w:val="single" w:color="000000" w:sz="4" w:space="0"/>
              <w:bottom w:val="single" w:color="000000" w:sz="4" w:space="0"/>
              <w:right w:val="single" w:color="000000" w:sz="4" w:space="0"/>
            </w:tcBorders>
          </w:tcPr>
          <w:p>
            <w:pPr>
              <w:jc w:val="right"/>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一般公共预算财政拨款“三公”经费</w:t>
      </w:r>
    </w:p>
    <w:p>
      <w:pPr>
        <w:spacing w:line="520" w:lineRule="exact"/>
        <w:jc w:val="center"/>
        <w:rPr>
          <w:rFonts w:ascii="宋体" w:hAnsi="宋体" w:eastAsia="宋体" w:cs="宋体"/>
          <w:b/>
          <w:bCs/>
          <w:szCs w:val="32"/>
        </w:rPr>
      </w:pPr>
      <w:r>
        <w:rPr>
          <w:rFonts w:hint="eastAsia" w:ascii="宋体" w:hAnsi="宋体" w:eastAsia="宋体" w:cs="宋体"/>
          <w:b/>
          <w:bCs/>
          <w:szCs w:val="32"/>
        </w:rPr>
        <w:t>及会议费、培训费支出决算表</w:t>
      </w:r>
    </w:p>
    <w:p>
      <w:pPr>
        <w:rPr>
          <w:rFonts w:ascii="宋体" w:hAnsi="宋体" w:eastAsia="宋体" w:cs="宋体"/>
          <w:b/>
          <w:bCs/>
          <w:sz w:val="21"/>
          <w:szCs w:val="21"/>
        </w:rPr>
      </w:pPr>
      <w:r>
        <w:rPr>
          <w:rFonts w:hint="eastAsia" w:ascii="宋体" w:hAnsi="宋体" w:eastAsia="宋体" w:cs="宋体"/>
          <w:b/>
          <w:bCs/>
          <w:sz w:val="21"/>
          <w:szCs w:val="21"/>
        </w:rPr>
        <w:t xml:space="preserve">   公开07表</w:t>
      </w:r>
    </w:p>
    <w:p>
      <w:pPr>
        <w:rPr>
          <w:rFonts w:ascii="宋体" w:hAnsi="宋体" w:eastAsia="宋体" w:cs="宋体"/>
          <w:b/>
          <w:bCs/>
          <w:sz w:val="21"/>
          <w:szCs w:val="21"/>
        </w:rPr>
      </w:pPr>
      <w:r>
        <w:rPr>
          <w:rFonts w:hint="eastAsia" w:ascii="宋体" w:hAnsi="宋体" w:eastAsia="宋体" w:cs="宋体"/>
          <w:b/>
          <w:bCs/>
          <w:sz w:val="21"/>
          <w:szCs w:val="21"/>
        </w:rPr>
        <w:t xml:space="preserve">  编制部门：中共西安市阎良区委员会政法委员会（本级） 金额单位：万元</w:t>
      </w:r>
    </w:p>
    <w:p>
      <w:pPr>
        <w:rPr>
          <w:rFonts w:ascii="宋体" w:hAnsi="宋体" w:eastAsia="宋体" w:cs="宋体"/>
          <w:b/>
          <w:bCs/>
          <w:sz w:val="21"/>
          <w:szCs w:val="21"/>
        </w:rPr>
      </w:pPr>
    </w:p>
    <w:tbl>
      <w:tblPr>
        <w:tblStyle w:val="6"/>
        <w:tblW w:w="8858" w:type="dxa"/>
        <w:tblInd w:w="0"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培训费</w:t>
            </w: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8</w:t>
            </w:r>
          </w:p>
        </w:tc>
      </w:tr>
      <w:tr>
        <w:tblPrEx>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Cs/>
                <w:color w:val="000000"/>
                <w:sz w:val="21"/>
                <w:szCs w:val="21"/>
              </w:rPr>
            </w:pPr>
            <w:r>
              <w:rPr>
                <w:rFonts w:hint="eastAsia" w:ascii="宋体" w:hAnsi="宋体" w:eastAsia="宋体" w:cs="宋体"/>
                <w:bCs/>
                <w:color w:val="000000"/>
                <w:sz w:val="21"/>
                <w:szCs w:val="21"/>
              </w:rPr>
              <w:t>1.85</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Cs/>
                <w:color w:val="000000"/>
                <w:sz w:val="21"/>
                <w:szCs w:val="21"/>
              </w:rPr>
            </w:pPr>
            <w:r>
              <w:rPr>
                <w:rFonts w:hint="eastAsia" w:ascii="宋体" w:hAnsi="宋体" w:eastAsia="宋体" w:cs="宋体"/>
                <w:bCs/>
                <w:color w:val="000000"/>
                <w:sz w:val="21"/>
                <w:szCs w:val="21"/>
              </w:rPr>
              <w:t>0.00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Cs/>
                <w:color w:val="000000"/>
                <w:sz w:val="21"/>
                <w:szCs w:val="21"/>
              </w:rPr>
            </w:pPr>
            <w:r>
              <w:rPr>
                <w:rFonts w:hint="eastAsia" w:ascii="宋体" w:hAnsi="宋体" w:eastAsia="宋体" w:cs="宋体"/>
                <w:bCs/>
                <w:color w:val="000000"/>
                <w:sz w:val="21"/>
                <w:szCs w:val="21"/>
              </w:rPr>
              <w:t>1.85</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Cs/>
                <w:color w:val="000000"/>
                <w:sz w:val="21"/>
                <w:szCs w:val="21"/>
              </w:rPr>
            </w:pPr>
            <w:r>
              <w:rPr>
                <w:rFonts w:hint="eastAsia" w:ascii="宋体" w:hAnsi="宋体" w:eastAsia="宋体" w:cs="宋体"/>
                <w:bCs/>
                <w:color w:val="000000"/>
                <w:sz w:val="21"/>
                <w:szCs w:val="21"/>
              </w:rPr>
              <w:t>0.00</w:t>
            </w: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Cs/>
                <w:color w:val="000000"/>
                <w:sz w:val="21"/>
                <w:szCs w:val="21"/>
              </w:rPr>
            </w:pPr>
            <w:r>
              <w:rPr>
                <w:rFonts w:hint="eastAsia" w:ascii="宋体" w:hAnsi="宋体" w:eastAsia="宋体" w:cs="宋体"/>
                <w:bCs/>
                <w:color w:val="000000"/>
                <w:sz w:val="21"/>
                <w:szCs w:val="21"/>
              </w:rPr>
              <w:t>0.00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Cs/>
                <w:color w:val="000000"/>
                <w:sz w:val="21"/>
                <w:szCs w:val="21"/>
              </w:rPr>
            </w:pPr>
            <w:r>
              <w:rPr>
                <w:rFonts w:hint="eastAsia" w:ascii="宋体" w:hAnsi="宋体" w:eastAsia="宋体" w:cs="宋体"/>
                <w:bCs/>
                <w:color w:val="000000"/>
                <w:sz w:val="21"/>
                <w:szCs w:val="21"/>
              </w:rPr>
              <w:t>0.00</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Cs/>
                <w:color w:val="000000"/>
                <w:sz w:val="21"/>
                <w:szCs w:val="21"/>
              </w:rPr>
            </w:pPr>
            <w:r>
              <w:rPr>
                <w:rFonts w:hint="eastAsia" w:ascii="宋体" w:hAnsi="宋体" w:eastAsia="宋体" w:cs="宋体"/>
                <w:bCs/>
                <w:color w:val="000000"/>
                <w:sz w:val="21"/>
                <w:szCs w:val="21"/>
              </w:rPr>
              <w:t>0.99</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Cs/>
                <w:color w:val="000000"/>
                <w:sz w:val="21"/>
                <w:szCs w:val="21"/>
              </w:rPr>
            </w:pPr>
            <w:r>
              <w:rPr>
                <w:rFonts w:hint="eastAsia" w:ascii="宋体" w:hAnsi="宋体" w:eastAsia="宋体" w:cs="宋体"/>
                <w:bCs/>
                <w:color w:val="000000"/>
                <w:sz w:val="21"/>
                <w:szCs w:val="21"/>
              </w:rPr>
              <w:t>0.00</w:t>
            </w:r>
          </w:p>
        </w:tc>
      </w:tr>
      <w:tr>
        <w:tblPrEx>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0.33</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0.33</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0.00</w:t>
            </w: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p/>
    <w:p/>
    <w:p/>
    <w:p/>
    <w:p/>
    <w:p/>
    <w:p/>
    <w:p>
      <w:pPr>
        <w:jc w:val="center"/>
        <w:rPr>
          <w:rFonts w:ascii="宋体" w:hAnsi="宋体" w:eastAsia="宋体" w:cs="宋体"/>
          <w:b/>
          <w:bCs/>
          <w:szCs w:val="32"/>
        </w:rPr>
      </w:pPr>
    </w:p>
    <w:p>
      <w:pPr>
        <w:jc w:val="center"/>
        <w:rPr>
          <w:rFonts w:ascii="宋体" w:hAnsi="宋体" w:eastAsia="宋体" w:cs="宋体"/>
          <w:b/>
          <w:bCs/>
          <w:szCs w:val="32"/>
        </w:rPr>
      </w:pPr>
      <w:r>
        <w:rPr>
          <w:rFonts w:hint="eastAsia" w:ascii="宋体" w:hAnsi="宋体" w:eastAsia="宋体" w:cs="宋体"/>
          <w:b/>
          <w:bCs/>
          <w:szCs w:val="32"/>
        </w:rPr>
        <w:t>政府性基金预算财政拨款收入支出决算表</w:t>
      </w:r>
    </w:p>
    <w:p>
      <w:pPr>
        <w:rPr>
          <w:rFonts w:ascii="宋体" w:hAnsi="宋体" w:eastAsia="宋体" w:cs="宋体"/>
          <w:b/>
          <w:bCs/>
          <w:sz w:val="21"/>
          <w:szCs w:val="21"/>
        </w:rPr>
      </w:pPr>
      <w:r>
        <w:rPr>
          <w:rFonts w:hint="eastAsia" w:ascii="宋体" w:hAnsi="宋体" w:eastAsia="宋体" w:cs="宋体"/>
          <w:b/>
          <w:bCs/>
          <w:sz w:val="21"/>
          <w:szCs w:val="21"/>
        </w:rPr>
        <w:t>公开08表</w:t>
      </w:r>
    </w:p>
    <w:p>
      <w:pPr>
        <w:rPr>
          <w:rFonts w:ascii="宋体" w:hAnsi="宋体" w:eastAsia="宋体" w:cs="宋体"/>
          <w:b/>
          <w:bCs/>
          <w:sz w:val="21"/>
          <w:szCs w:val="21"/>
        </w:rPr>
      </w:pPr>
      <w:r>
        <w:rPr>
          <w:rFonts w:hint="eastAsia" w:ascii="宋体" w:hAnsi="宋体" w:eastAsia="宋体" w:cs="宋体"/>
          <w:b/>
          <w:bCs/>
          <w:sz w:val="21"/>
          <w:szCs w:val="21"/>
        </w:rPr>
        <w:t xml:space="preserve"> 编制部门：中共西安市阎良区委员会政法委员会（本级） 金额单位：万元</w:t>
      </w:r>
    </w:p>
    <w:tbl>
      <w:tblPr>
        <w:tblStyle w:val="6"/>
        <w:tblW w:w="8877" w:type="dxa"/>
        <w:tblInd w:w="0"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w:t>
            </w:r>
          </w:p>
        </w:tc>
        <w:tc>
          <w:tcPr>
            <w:tcW w:w="3003"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年末结转和结余</w:t>
            </w:r>
          </w:p>
        </w:tc>
      </w:tr>
      <w:tr>
        <w:tblPrEx>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49"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color w:val="000000"/>
          <w:kern w:val="0"/>
          <w:sz w:val="21"/>
          <w:szCs w:val="21"/>
        </w:rPr>
        <w:t>本表金额转换为万元时，因四舍五入可能存在尾差。</w:t>
      </w:r>
    </w:p>
    <w:p/>
    <w:p>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 2019年度部门决算情况说明</w:t>
      </w:r>
    </w:p>
    <w:p>
      <w:pPr>
        <w:spacing w:line="560" w:lineRule="exact"/>
        <w:rPr>
          <w:rFonts w:ascii="黑体" w:hAnsi="宋体" w:eastAsia="黑体"/>
          <w:color w:val="000000"/>
          <w:kern w:val="0"/>
          <w:sz w:val="44"/>
          <w:szCs w:val="44"/>
        </w:rPr>
      </w:pPr>
    </w:p>
    <w:p>
      <w:pPr>
        <w:widowControl/>
        <w:spacing w:line="560" w:lineRule="exact"/>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一、收入支出决算总体情况说明</w:t>
      </w:r>
    </w:p>
    <w:p>
      <w:pPr>
        <w:widowControl/>
        <w:spacing w:line="560" w:lineRule="exact"/>
        <w:ind w:firstLine="640" w:firstLineChars="200"/>
        <w:jc w:val="left"/>
        <w:rPr>
          <w:rFonts w:ascii="仿宋_GB2312" w:hAnsi="仿宋" w:eastAsia="仿宋_GB2312"/>
          <w:szCs w:val="32"/>
        </w:rPr>
      </w:pPr>
      <w:r>
        <w:rPr>
          <w:rFonts w:hint="eastAsia" w:ascii="仿宋_GB2312" w:hAnsi="仿宋" w:eastAsia="仿宋_GB2312"/>
          <w:szCs w:val="32"/>
        </w:rPr>
        <w:t>2019年度本年收入合计447.19万元，较上年增加65.9万元，增长17.3%，主要原因是增加了扫黑除恶专项斗争工作。</w:t>
      </w:r>
    </w:p>
    <w:p>
      <w:pPr>
        <w:widowControl/>
        <w:spacing w:line="560" w:lineRule="exact"/>
        <w:ind w:firstLine="640" w:firstLineChars="200"/>
        <w:jc w:val="left"/>
        <w:rPr>
          <w:rFonts w:ascii="仿宋_GB2312" w:hAnsi="仿宋" w:eastAsia="仿宋_GB2312"/>
          <w:szCs w:val="32"/>
        </w:rPr>
      </w:pPr>
      <w:r>
        <w:rPr>
          <w:rFonts w:hint="eastAsia" w:ascii="仿宋_GB2312" w:hAnsi="仿宋" w:eastAsia="仿宋_GB2312"/>
          <w:szCs w:val="32"/>
        </w:rPr>
        <w:t>2019年度本年支出合计443.19万元，比上年增加61.9</w:t>
      </w:r>
    </w:p>
    <w:p>
      <w:pPr>
        <w:widowControl/>
        <w:spacing w:line="560" w:lineRule="exact"/>
        <w:jc w:val="left"/>
        <w:rPr>
          <w:rFonts w:ascii="仿宋_GB2312" w:hAnsi="仿宋" w:eastAsia="仿宋_GB2312"/>
          <w:szCs w:val="32"/>
        </w:rPr>
      </w:pPr>
      <w:r>
        <w:rPr>
          <w:rFonts w:hint="eastAsia" w:ascii="仿宋_GB2312" w:hAnsi="仿宋" w:eastAsia="仿宋_GB2312"/>
          <w:szCs w:val="32"/>
        </w:rPr>
        <w:t>万元，增长16.2%，主要原因是增加了扫黑除恶专项斗争工作。</w:t>
      </w:r>
    </w:p>
    <w:p>
      <w:pPr>
        <w:widowControl/>
        <w:spacing w:line="560" w:lineRule="exact"/>
        <w:jc w:val="left"/>
        <w:rPr>
          <w:rFonts w:ascii="仿宋_GB2312" w:hAnsi="仿宋" w:eastAsia="仿宋_GB2312"/>
          <w:szCs w:val="32"/>
        </w:rPr>
      </w:pPr>
      <w:r>
        <w:drawing>
          <wp:anchor distT="0" distB="0" distL="114300" distR="114300" simplePos="0" relativeHeight="251660288" behindDoc="0" locked="0" layoutInCell="1" allowOverlap="1">
            <wp:simplePos x="0" y="0"/>
            <wp:positionH relativeFrom="column">
              <wp:posOffset>532765</wp:posOffset>
            </wp:positionH>
            <wp:positionV relativeFrom="paragraph">
              <wp:posOffset>214630</wp:posOffset>
            </wp:positionV>
            <wp:extent cx="4043680" cy="2204085"/>
            <wp:effectExtent l="5080" t="4445" r="8890" b="20320"/>
            <wp:wrapNone/>
            <wp:docPr id="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anchor>
        </w:drawing>
      </w:r>
    </w:p>
    <w:p>
      <w:pPr>
        <w:widowControl/>
        <w:spacing w:line="560" w:lineRule="exact"/>
        <w:jc w:val="left"/>
        <w:rPr>
          <w:rFonts w:ascii="仿宋_GB2312" w:hAnsi="仿宋" w:eastAsia="仿宋_GB2312"/>
          <w:szCs w:val="32"/>
        </w:rPr>
      </w:pPr>
    </w:p>
    <w:p>
      <w:pPr>
        <w:widowControl/>
        <w:spacing w:line="560" w:lineRule="exact"/>
        <w:jc w:val="left"/>
        <w:rPr>
          <w:rFonts w:ascii="仿宋_GB2312" w:hAnsi="仿宋" w:eastAsia="仿宋_GB2312"/>
          <w:szCs w:val="32"/>
        </w:rPr>
      </w:pPr>
    </w:p>
    <w:p>
      <w:pPr>
        <w:widowControl/>
        <w:spacing w:line="560" w:lineRule="exact"/>
        <w:jc w:val="left"/>
        <w:rPr>
          <w:rFonts w:ascii="仿宋_GB2312" w:hAnsi="仿宋" w:eastAsia="仿宋_GB2312"/>
          <w:szCs w:val="32"/>
        </w:rPr>
      </w:pPr>
    </w:p>
    <w:p>
      <w:pPr>
        <w:widowControl/>
        <w:spacing w:line="560" w:lineRule="exact"/>
        <w:jc w:val="left"/>
      </w:pPr>
    </w:p>
    <w:p>
      <w:pPr>
        <w:widowControl/>
        <w:spacing w:line="560" w:lineRule="exact"/>
        <w:jc w:val="left"/>
        <w:rPr>
          <w:rFonts w:ascii="仿宋_GB2312" w:hAnsi="仿宋" w:eastAsia="仿宋_GB2312"/>
          <w:szCs w:val="32"/>
        </w:rPr>
      </w:pPr>
    </w:p>
    <w:p>
      <w:pPr>
        <w:widowControl/>
        <w:spacing w:line="560" w:lineRule="exact"/>
        <w:jc w:val="left"/>
        <w:rPr>
          <w:rFonts w:ascii="仿宋_GB2312" w:hAnsi="仿宋" w:eastAsia="仿宋_GB2312"/>
          <w:szCs w:val="32"/>
        </w:rPr>
      </w:pPr>
    </w:p>
    <w:p>
      <w:pPr>
        <w:widowControl/>
        <w:spacing w:line="560" w:lineRule="exact"/>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二、收入决算情况说明</w:t>
      </w:r>
    </w:p>
    <w:p>
      <w:pPr>
        <w:widowControl/>
        <w:spacing w:line="560" w:lineRule="exact"/>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2019</w:t>
      </w:r>
      <w:r>
        <w:rPr>
          <w:rFonts w:ascii="仿宋_GB2312" w:hAnsi="宋体" w:eastAsia="仿宋_GB2312" w:cs="仿宋_GB2312"/>
          <w:color w:val="000000"/>
          <w:kern w:val="0"/>
          <w:szCs w:val="32"/>
        </w:rPr>
        <w:t>年</w:t>
      </w:r>
      <w:r>
        <w:rPr>
          <w:rFonts w:hint="eastAsia" w:ascii="仿宋_GB2312" w:hAnsi="仿宋" w:eastAsia="仿宋_GB2312"/>
          <w:szCs w:val="32"/>
        </w:rPr>
        <w:t>度</w:t>
      </w:r>
      <w:r>
        <w:rPr>
          <w:rFonts w:ascii="仿宋_GB2312" w:hAnsi="宋体" w:eastAsia="仿宋_GB2312" w:cs="仿宋_GB2312"/>
          <w:color w:val="000000"/>
          <w:kern w:val="0"/>
          <w:szCs w:val="32"/>
        </w:rPr>
        <w:t>收入合计</w:t>
      </w:r>
      <w:r>
        <w:rPr>
          <w:rFonts w:hint="eastAsia" w:ascii="仿宋_GB2312" w:hAnsi="宋体" w:eastAsia="仿宋_GB2312" w:cs="仿宋_GB2312"/>
          <w:color w:val="000000"/>
          <w:kern w:val="0"/>
          <w:szCs w:val="32"/>
        </w:rPr>
        <w:t>447.19</w:t>
      </w:r>
      <w:r>
        <w:rPr>
          <w:rFonts w:ascii="仿宋_GB2312" w:hAnsi="宋体" w:eastAsia="仿宋_GB2312" w:cs="仿宋_GB2312"/>
          <w:color w:val="000000"/>
          <w:kern w:val="0"/>
          <w:szCs w:val="32"/>
        </w:rPr>
        <w:t>万元，其中：财政拨款收入</w:t>
      </w:r>
      <w:r>
        <w:rPr>
          <w:rFonts w:hint="eastAsia" w:ascii="仿宋_GB2312" w:hAnsi="宋体" w:eastAsia="仿宋_GB2312" w:cs="仿宋_GB2312"/>
          <w:color w:val="000000"/>
          <w:kern w:val="0"/>
          <w:szCs w:val="32"/>
        </w:rPr>
        <w:t>447.19</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。包括一般公共预算财政拨款447.19万元、政府性基金预算财政拨款0万元。</w:t>
      </w:r>
    </w:p>
    <w:p>
      <w:pPr>
        <w:widowControl/>
        <w:spacing w:line="560" w:lineRule="exact"/>
        <w:ind w:firstLine="640" w:firstLineChars="200"/>
        <w:jc w:val="left"/>
        <w:rPr>
          <w:rFonts w:ascii="仿宋_GB2312" w:hAnsi="宋体" w:eastAsia="仿宋_GB2312" w:cs="仿宋_GB2312"/>
          <w:color w:val="000000"/>
          <w:kern w:val="0"/>
          <w:szCs w:val="32"/>
        </w:rPr>
      </w:pPr>
    </w:p>
    <w:p>
      <w:pPr>
        <w:widowControl/>
        <w:spacing w:line="560" w:lineRule="exact"/>
        <w:ind w:firstLine="640" w:firstLineChars="200"/>
        <w:jc w:val="left"/>
        <w:rPr>
          <w:rFonts w:ascii="仿宋_GB2312" w:hAnsi="宋体" w:eastAsia="仿宋_GB2312" w:cs="仿宋_GB2312"/>
          <w:color w:val="000000"/>
          <w:kern w:val="0"/>
          <w:szCs w:val="32"/>
        </w:rPr>
      </w:pPr>
    </w:p>
    <w:p>
      <w:pPr>
        <w:widowControl/>
        <w:spacing w:line="560" w:lineRule="exact"/>
        <w:ind w:firstLine="640" w:firstLineChars="200"/>
        <w:jc w:val="left"/>
        <w:rPr>
          <w:rFonts w:ascii="仿宋_GB2312" w:hAnsi="宋体" w:eastAsia="仿宋_GB2312" w:cs="仿宋_GB2312"/>
          <w:color w:val="000000"/>
          <w:kern w:val="0"/>
          <w:szCs w:val="32"/>
        </w:rPr>
      </w:pPr>
    </w:p>
    <w:p>
      <w:pPr>
        <w:widowControl/>
        <w:spacing w:line="560" w:lineRule="exact"/>
        <w:ind w:firstLine="640" w:firstLineChars="200"/>
        <w:jc w:val="left"/>
        <w:rPr>
          <w:rFonts w:ascii="仿宋_GB2312" w:hAnsi="宋体" w:eastAsia="仿宋_GB2312" w:cs="仿宋_GB2312"/>
          <w:color w:val="000000"/>
          <w:kern w:val="0"/>
          <w:szCs w:val="32"/>
        </w:rPr>
      </w:pPr>
      <w:r>
        <w:drawing>
          <wp:anchor distT="0" distB="0" distL="114300" distR="114300" simplePos="0" relativeHeight="251661312" behindDoc="0" locked="0" layoutInCell="1" allowOverlap="1">
            <wp:simplePos x="0" y="0"/>
            <wp:positionH relativeFrom="column">
              <wp:posOffset>410845</wp:posOffset>
            </wp:positionH>
            <wp:positionV relativeFrom="paragraph">
              <wp:posOffset>-930275</wp:posOffset>
            </wp:positionV>
            <wp:extent cx="4572000" cy="2085975"/>
            <wp:effectExtent l="4445" t="4445" r="14605" b="5080"/>
            <wp:wrapNone/>
            <wp:docPr id="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pPr>
        <w:widowControl/>
        <w:spacing w:line="560" w:lineRule="exact"/>
        <w:ind w:firstLine="640" w:firstLineChars="200"/>
        <w:jc w:val="left"/>
        <w:rPr>
          <w:rFonts w:ascii="黑体" w:hAnsi="黑体" w:eastAsia="黑体"/>
        </w:rPr>
      </w:pPr>
      <w:r>
        <w:rPr>
          <w:rFonts w:hint="eastAsia" w:ascii="黑体" w:hAnsi="黑体" w:eastAsia="黑体"/>
          <w:color w:val="000000"/>
          <w:kern w:val="0"/>
          <w:szCs w:val="32"/>
        </w:rPr>
        <w:t>三、支出决算情况说明</w:t>
      </w:r>
    </w:p>
    <w:p>
      <w:pPr>
        <w:pStyle w:val="5"/>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2019</w:t>
      </w:r>
      <w:r>
        <w:rPr>
          <w:rFonts w:ascii="仿宋_GB2312" w:eastAsia="仿宋_GB2312" w:cs="仿宋_GB2312"/>
          <w:color w:val="000000"/>
          <w:sz w:val="32"/>
          <w:szCs w:val="32"/>
        </w:rPr>
        <w:t>年</w:t>
      </w:r>
      <w:r>
        <w:rPr>
          <w:rFonts w:hint="eastAsia" w:ascii="仿宋_GB2312" w:hAnsi="仿宋" w:eastAsia="仿宋_GB2312"/>
          <w:sz w:val="32"/>
          <w:szCs w:val="32"/>
        </w:rPr>
        <w:t>度</w:t>
      </w:r>
      <w:r>
        <w:rPr>
          <w:rFonts w:ascii="仿宋_GB2312" w:eastAsia="仿宋_GB2312" w:cs="仿宋_GB2312"/>
          <w:color w:val="000000"/>
          <w:sz w:val="32"/>
          <w:szCs w:val="32"/>
        </w:rPr>
        <w:t>支出合计</w:t>
      </w:r>
      <w:r>
        <w:rPr>
          <w:rFonts w:hint="eastAsia" w:ascii="仿宋_GB2312" w:eastAsia="仿宋_GB2312" w:cs="仿宋_GB2312"/>
          <w:color w:val="000000"/>
          <w:sz w:val="32"/>
          <w:szCs w:val="32"/>
        </w:rPr>
        <w:t>443.19</w:t>
      </w:r>
      <w:r>
        <w:rPr>
          <w:rFonts w:ascii="仿宋_GB2312" w:eastAsia="仿宋_GB2312" w:cs="仿宋_GB2312"/>
          <w:color w:val="000000"/>
          <w:sz w:val="32"/>
          <w:szCs w:val="32"/>
        </w:rPr>
        <w:t>万元，其中：基本支出</w:t>
      </w:r>
      <w:r>
        <w:rPr>
          <w:rFonts w:hint="eastAsia" w:ascii="仿宋_GB2312" w:eastAsia="仿宋_GB2312" w:cs="仿宋_GB2312"/>
          <w:color w:val="000000"/>
          <w:sz w:val="32"/>
          <w:szCs w:val="32"/>
        </w:rPr>
        <w:t>194.91</w:t>
      </w:r>
      <w:r>
        <w:rPr>
          <w:rFonts w:ascii="仿宋_GB2312" w:eastAsia="仿宋_GB2312" w:cs="仿宋_GB2312"/>
          <w:color w:val="000000"/>
          <w:sz w:val="32"/>
          <w:szCs w:val="32"/>
        </w:rPr>
        <w:t>万元，占</w:t>
      </w:r>
      <w:r>
        <w:rPr>
          <w:rFonts w:hint="eastAsia" w:ascii="仿宋_GB2312" w:eastAsia="仿宋_GB2312" w:cs="仿宋_GB2312"/>
          <w:color w:val="000000"/>
          <w:sz w:val="32"/>
          <w:szCs w:val="32"/>
        </w:rPr>
        <w:t>44</w:t>
      </w:r>
      <w:r>
        <w:rPr>
          <w:rFonts w:ascii="仿宋_GB2312" w:eastAsia="仿宋_GB2312" w:cs="仿宋_GB2312"/>
          <w:color w:val="000000"/>
          <w:sz w:val="32"/>
          <w:szCs w:val="32"/>
        </w:rPr>
        <w:t>%</w:t>
      </w:r>
      <w:r>
        <w:rPr>
          <w:rFonts w:hint="eastAsia" w:ascii="仿宋_GB2312" w:eastAsia="仿宋_GB2312" w:cs="仿宋_GB2312"/>
          <w:color w:val="000000"/>
          <w:sz w:val="32"/>
          <w:szCs w:val="32"/>
        </w:rPr>
        <w:t>，</w:t>
      </w:r>
      <w:r>
        <w:rPr>
          <w:rFonts w:hint="eastAsia" w:ascii="仿宋_GB2312" w:eastAsia="仿宋_GB2312"/>
          <w:sz w:val="32"/>
          <w:szCs w:val="32"/>
        </w:rPr>
        <w:t>是为保障机构正常运转、完成日常工作任务而发生的各项支出，包括人员经费189.98万元和公用经费4.93万元</w:t>
      </w:r>
      <w:r>
        <w:rPr>
          <w:rFonts w:ascii="仿宋_GB2312" w:eastAsia="仿宋_GB2312" w:cs="仿宋_GB2312"/>
          <w:color w:val="000000"/>
          <w:sz w:val="32"/>
          <w:szCs w:val="32"/>
        </w:rPr>
        <w:t>；项目支出</w:t>
      </w:r>
      <w:r>
        <w:rPr>
          <w:rFonts w:hint="eastAsia" w:ascii="仿宋_GB2312" w:eastAsia="仿宋_GB2312" w:cs="仿宋_GB2312"/>
          <w:color w:val="000000"/>
          <w:sz w:val="32"/>
          <w:szCs w:val="32"/>
        </w:rPr>
        <w:t>248.28</w:t>
      </w:r>
      <w:r>
        <w:rPr>
          <w:rFonts w:ascii="仿宋_GB2312" w:eastAsia="仿宋_GB2312" w:cs="仿宋_GB2312"/>
          <w:color w:val="000000"/>
          <w:sz w:val="32"/>
          <w:szCs w:val="32"/>
        </w:rPr>
        <w:t>万元，占</w:t>
      </w:r>
      <w:r>
        <w:rPr>
          <w:rFonts w:hint="eastAsia" w:ascii="仿宋_GB2312" w:eastAsia="仿宋_GB2312" w:cs="仿宋_GB2312"/>
          <w:color w:val="000000"/>
          <w:sz w:val="32"/>
          <w:szCs w:val="32"/>
        </w:rPr>
        <w:t>56</w:t>
      </w:r>
      <w:r>
        <w:rPr>
          <w:rFonts w:ascii="仿宋_GB2312" w:eastAsia="仿宋_GB2312" w:cs="仿宋_GB2312"/>
          <w:color w:val="000000"/>
          <w:sz w:val="32"/>
          <w:szCs w:val="32"/>
        </w:rPr>
        <w:t>%</w:t>
      </w:r>
      <w:r>
        <w:rPr>
          <w:rFonts w:hint="eastAsia" w:ascii="仿宋_GB2312" w:eastAsia="仿宋_GB2312" w:cs="仿宋_GB2312"/>
          <w:color w:val="000000"/>
          <w:sz w:val="32"/>
          <w:szCs w:val="32"/>
        </w:rPr>
        <w:t>，</w:t>
      </w:r>
      <w:r>
        <w:rPr>
          <w:rFonts w:hint="eastAsia" w:ascii="仿宋_GB2312" w:eastAsia="仿宋_GB2312"/>
          <w:sz w:val="32"/>
          <w:szCs w:val="32"/>
        </w:rPr>
        <w:t>是为完成政法、综治、维稳、反邪教、国家安全、扫黑除恶等工作任务，在基本支出之外发生的支出</w:t>
      </w:r>
      <w:r>
        <w:rPr>
          <w:rFonts w:hint="eastAsia" w:ascii="仿宋_GB2312" w:eastAsia="仿宋_GB2312"/>
          <w:color w:val="000000"/>
          <w:sz w:val="32"/>
          <w:szCs w:val="32"/>
        </w:rPr>
        <w:t>。</w:t>
      </w:r>
    </w:p>
    <w:p>
      <w:pPr>
        <w:pStyle w:val="4"/>
        <w:rPr>
          <w:rFonts w:ascii="仿宋_GB2312" w:hAnsi="宋体" w:eastAsia="仿宋_GB2312" w:cs="仿宋_GB2312"/>
          <w:color w:val="000000"/>
          <w:kern w:val="0"/>
          <w:sz w:val="32"/>
          <w:szCs w:val="32"/>
        </w:rPr>
      </w:pPr>
    </w:p>
    <w:p>
      <w:pPr>
        <w:pStyle w:val="4"/>
        <w:rPr>
          <w:rFonts w:ascii="仿宋_GB2312" w:hAnsi="宋体" w:eastAsia="仿宋_GB2312" w:cs="仿宋_GB2312"/>
          <w:color w:val="000000"/>
          <w:kern w:val="0"/>
          <w:sz w:val="32"/>
          <w:szCs w:val="32"/>
        </w:rPr>
      </w:pPr>
      <w:r>
        <w:drawing>
          <wp:inline distT="0" distB="0" distL="114300" distR="114300">
            <wp:extent cx="3949700" cy="2077085"/>
            <wp:effectExtent l="5080" t="5080" r="7620" b="13335"/>
            <wp:docPr id="5"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widowControl/>
        <w:spacing w:line="560" w:lineRule="exact"/>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四、财政拨款收入支出决算总体情况说明</w:t>
      </w:r>
    </w:p>
    <w:p>
      <w:pPr>
        <w:widowControl/>
        <w:spacing w:line="560" w:lineRule="exact"/>
        <w:ind w:firstLine="640" w:firstLineChars="200"/>
        <w:jc w:val="left"/>
        <w:rPr>
          <w:rFonts w:ascii="仿宋_GB2312" w:hAnsi="仿宋" w:eastAsia="仿宋_GB2312"/>
          <w:szCs w:val="32"/>
        </w:rPr>
      </w:pPr>
      <w:r>
        <w:rPr>
          <w:rFonts w:hint="eastAsia" w:ascii="仿宋_GB2312" w:hAnsi="仿宋" w:eastAsia="仿宋_GB2312"/>
          <w:szCs w:val="32"/>
        </w:rPr>
        <w:t>2019年度财政拨款收入合计447.19万元，较上年增加65.9万元，增长17.3%，主要原因是增加了扫黑除恶专项斗争工作。</w:t>
      </w:r>
    </w:p>
    <w:p>
      <w:pPr>
        <w:widowControl/>
        <w:spacing w:line="560" w:lineRule="exact"/>
        <w:ind w:firstLine="640" w:firstLineChars="200"/>
        <w:jc w:val="left"/>
        <w:rPr>
          <w:rFonts w:ascii="仿宋_GB2312" w:hAnsi="仿宋" w:eastAsia="仿宋_GB2312"/>
          <w:szCs w:val="32"/>
        </w:rPr>
      </w:pPr>
      <w:r>
        <w:rPr>
          <w:rFonts w:hint="eastAsia" w:ascii="仿宋_GB2312" w:hAnsi="仿宋" w:eastAsia="仿宋_GB2312"/>
          <w:szCs w:val="32"/>
        </w:rPr>
        <w:t>2019年度财政拨款支出合计443.19万元，比上年增加61.9万元，增长16.2%，主要原因是增加了扫黑除恶专项斗争工作。</w:t>
      </w:r>
    </w:p>
    <w:p>
      <w:pPr>
        <w:widowControl/>
        <w:spacing w:line="560" w:lineRule="exact"/>
        <w:ind w:firstLine="640" w:firstLineChars="200"/>
        <w:jc w:val="left"/>
        <w:rPr>
          <w:rFonts w:ascii="仿宋_GB2312" w:hAnsi="仿宋" w:eastAsia="仿宋_GB2312"/>
          <w:szCs w:val="32"/>
        </w:rPr>
      </w:pPr>
      <w:r>
        <w:drawing>
          <wp:anchor distT="0" distB="0" distL="114300" distR="114300" simplePos="0" relativeHeight="251662336" behindDoc="0" locked="0" layoutInCell="1" allowOverlap="1">
            <wp:simplePos x="0" y="0"/>
            <wp:positionH relativeFrom="column">
              <wp:posOffset>444500</wp:posOffset>
            </wp:positionH>
            <wp:positionV relativeFrom="paragraph">
              <wp:posOffset>57785</wp:posOffset>
            </wp:positionV>
            <wp:extent cx="4043680" cy="2320290"/>
            <wp:effectExtent l="4445" t="4445" r="9525" b="18415"/>
            <wp:wrapNone/>
            <wp:docPr id="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widowControl/>
        <w:spacing w:line="560" w:lineRule="exact"/>
        <w:ind w:firstLine="640" w:firstLineChars="200"/>
        <w:jc w:val="left"/>
        <w:rPr>
          <w:rFonts w:ascii="仿宋_GB2312" w:hAnsi="仿宋" w:eastAsia="仿宋_GB2312"/>
          <w:szCs w:val="32"/>
        </w:rPr>
      </w:pPr>
    </w:p>
    <w:p>
      <w:pPr>
        <w:widowControl/>
        <w:spacing w:line="560" w:lineRule="exact"/>
        <w:ind w:firstLine="640" w:firstLineChars="200"/>
        <w:jc w:val="left"/>
        <w:rPr>
          <w:rFonts w:ascii="仿宋_GB2312" w:hAnsi="仿宋" w:eastAsia="仿宋_GB2312"/>
          <w:szCs w:val="32"/>
        </w:rPr>
      </w:pPr>
    </w:p>
    <w:p>
      <w:pPr>
        <w:widowControl/>
        <w:spacing w:line="560" w:lineRule="exact"/>
        <w:ind w:firstLine="640" w:firstLineChars="200"/>
        <w:jc w:val="left"/>
        <w:rPr>
          <w:rFonts w:ascii="仿宋_GB2312" w:hAnsi="仿宋" w:eastAsia="仿宋_GB2312"/>
          <w:szCs w:val="32"/>
        </w:rPr>
      </w:pPr>
    </w:p>
    <w:p>
      <w:pPr>
        <w:widowControl/>
        <w:spacing w:line="560" w:lineRule="exact"/>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五、一般公共预算财政拨款支出决算情况说明</w:t>
      </w:r>
    </w:p>
    <w:p>
      <w:pPr>
        <w:widowControl/>
        <w:spacing w:line="560" w:lineRule="exact"/>
        <w:ind w:firstLine="643" w:firstLineChars="200"/>
        <w:jc w:val="left"/>
        <w:rPr>
          <w:rFonts w:ascii="楷体_GB2312" w:hAnsi="宋体" w:eastAsia="楷体_GB2312" w:cs="楷体_GB2312"/>
          <w:b/>
          <w:color w:val="000000"/>
          <w:kern w:val="0"/>
          <w:szCs w:val="32"/>
        </w:rPr>
      </w:pPr>
      <w:r>
        <w:rPr>
          <w:rFonts w:ascii="楷体_GB2312" w:hAnsi="宋体" w:eastAsia="楷体_GB2312" w:cs="楷体_GB2312"/>
          <w:b/>
          <w:color w:val="000000"/>
          <w:kern w:val="0"/>
          <w:szCs w:val="32"/>
        </w:rPr>
        <w:t>（一）财政拨款支出决算总体情况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spacing w:line="560" w:lineRule="exact"/>
        <w:ind w:firstLine="640" w:firstLineChars="200"/>
        <w:jc w:val="left"/>
        <w:rPr>
          <w:rFonts w:ascii="仿宋_GB2312" w:hAnsi="仿宋" w:eastAsia="仿宋_GB2312"/>
          <w:szCs w:val="32"/>
        </w:rPr>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财政拨款支出</w:t>
      </w:r>
      <w:r>
        <w:rPr>
          <w:rFonts w:hint="eastAsia" w:ascii="仿宋_GB2312" w:hAnsi="宋体" w:eastAsia="仿宋_GB2312" w:cs="仿宋_GB2312"/>
          <w:color w:val="000000"/>
          <w:kern w:val="0"/>
          <w:szCs w:val="32"/>
        </w:rPr>
        <w:t>443.19</w:t>
      </w:r>
      <w:r>
        <w:rPr>
          <w:rFonts w:ascii="仿宋_GB2312" w:hAnsi="宋体" w:eastAsia="仿宋_GB2312" w:cs="仿宋_GB2312"/>
          <w:color w:val="000000"/>
          <w:kern w:val="0"/>
          <w:szCs w:val="32"/>
        </w:rPr>
        <w:t>万元，占本年支出合计的</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%。与</w:t>
      </w:r>
      <w:r>
        <w:rPr>
          <w:rFonts w:hint="eastAsia" w:ascii="仿宋_GB2312" w:hAnsi="宋体" w:eastAsia="仿宋_GB2312" w:cs="仿宋_GB2312"/>
          <w:color w:val="000000"/>
          <w:kern w:val="0"/>
          <w:szCs w:val="32"/>
        </w:rPr>
        <w:t>上年</w:t>
      </w:r>
      <w:r>
        <w:rPr>
          <w:rFonts w:ascii="仿宋_GB2312" w:hAnsi="宋体" w:eastAsia="仿宋_GB2312" w:cs="仿宋_GB2312"/>
          <w:color w:val="000000"/>
          <w:kern w:val="0"/>
          <w:szCs w:val="32"/>
        </w:rPr>
        <w:t>相比，财政拨款支出增加</w:t>
      </w:r>
      <w:r>
        <w:rPr>
          <w:rFonts w:hint="eastAsia" w:ascii="仿宋_GB2312" w:hAnsi="宋体" w:eastAsia="仿宋_GB2312" w:cs="仿宋_GB2312"/>
          <w:color w:val="000000"/>
          <w:kern w:val="0"/>
          <w:szCs w:val="32"/>
        </w:rPr>
        <w:t>61.9</w:t>
      </w:r>
      <w:r>
        <w:rPr>
          <w:rFonts w:ascii="仿宋_GB2312" w:hAnsi="宋体" w:eastAsia="仿宋_GB2312" w:cs="仿宋_GB2312"/>
          <w:color w:val="000000"/>
          <w:kern w:val="0"/>
          <w:szCs w:val="32"/>
        </w:rPr>
        <w:t>万元，增长</w:t>
      </w:r>
      <w:r>
        <w:rPr>
          <w:rFonts w:hint="eastAsia" w:ascii="仿宋_GB2312" w:hAnsi="宋体" w:eastAsia="仿宋_GB2312" w:cs="仿宋_GB2312"/>
          <w:color w:val="000000"/>
          <w:kern w:val="0"/>
          <w:szCs w:val="32"/>
        </w:rPr>
        <w:t>16.2</w:t>
      </w:r>
      <w:r>
        <w:rPr>
          <w:rFonts w:ascii="仿宋_GB2312" w:hAnsi="宋体" w:eastAsia="仿宋_GB2312" w:cs="仿宋_GB2312"/>
          <w:color w:val="000000"/>
          <w:kern w:val="0"/>
          <w:szCs w:val="32"/>
        </w:rPr>
        <w:t>%，主要</w:t>
      </w:r>
      <w:r>
        <w:rPr>
          <w:rFonts w:hint="eastAsia" w:ascii="仿宋_GB2312" w:hAnsi="宋体" w:eastAsia="仿宋_GB2312" w:cs="仿宋_GB2312"/>
          <w:color w:val="000000"/>
          <w:kern w:val="0"/>
          <w:szCs w:val="32"/>
        </w:rPr>
        <w:t>原因是</w:t>
      </w:r>
      <w:r>
        <w:rPr>
          <w:rFonts w:hint="eastAsia" w:ascii="仿宋_GB2312" w:hAnsi="仿宋" w:eastAsia="仿宋_GB2312"/>
          <w:szCs w:val="32"/>
        </w:rPr>
        <w:t>增加了扫黑除恶专项斗争工作。</w:t>
      </w:r>
    </w:p>
    <w:p>
      <w:pPr>
        <w:widowControl/>
        <w:spacing w:line="560" w:lineRule="exact"/>
        <w:ind w:firstLine="640" w:firstLineChars="200"/>
        <w:jc w:val="left"/>
        <w:rPr>
          <w:rFonts w:ascii="仿宋_GB2312" w:hAnsi="仿宋" w:eastAsia="仿宋_GB2312"/>
          <w:szCs w:val="32"/>
        </w:rPr>
      </w:pPr>
      <w:r>
        <w:drawing>
          <wp:anchor distT="0" distB="0" distL="114300" distR="114300" simplePos="0" relativeHeight="251663360" behindDoc="0" locked="0" layoutInCell="1" allowOverlap="1">
            <wp:simplePos x="0" y="0"/>
            <wp:positionH relativeFrom="column">
              <wp:posOffset>666750</wp:posOffset>
            </wp:positionH>
            <wp:positionV relativeFrom="paragraph">
              <wp:posOffset>16510</wp:posOffset>
            </wp:positionV>
            <wp:extent cx="4043680" cy="2320290"/>
            <wp:effectExtent l="4445" t="4445" r="9525" b="18415"/>
            <wp:wrapNone/>
            <wp:docPr id="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widowControl/>
        <w:spacing w:line="560" w:lineRule="exact"/>
        <w:ind w:firstLine="640" w:firstLineChars="200"/>
        <w:jc w:val="left"/>
        <w:rPr>
          <w:rFonts w:ascii="仿宋_GB2312" w:hAnsi="仿宋" w:eastAsia="仿宋_GB2312"/>
          <w:szCs w:val="32"/>
        </w:rPr>
      </w:pPr>
    </w:p>
    <w:p>
      <w:pPr>
        <w:widowControl/>
        <w:spacing w:line="560" w:lineRule="exact"/>
        <w:ind w:firstLine="640" w:firstLineChars="200"/>
        <w:jc w:val="left"/>
        <w:rPr>
          <w:rFonts w:ascii="仿宋_GB2312" w:hAnsi="仿宋" w:eastAsia="仿宋_GB2312"/>
          <w:szCs w:val="32"/>
        </w:rPr>
      </w:pPr>
    </w:p>
    <w:p>
      <w:pPr>
        <w:widowControl/>
        <w:spacing w:line="560" w:lineRule="exact"/>
        <w:ind w:firstLine="640" w:firstLineChars="200"/>
        <w:jc w:val="left"/>
        <w:rPr>
          <w:rFonts w:ascii="仿宋_GB2312" w:hAnsi="仿宋" w:eastAsia="仿宋_GB2312"/>
          <w:szCs w:val="32"/>
        </w:rPr>
      </w:pPr>
    </w:p>
    <w:p>
      <w:pPr>
        <w:widowControl/>
        <w:spacing w:line="560" w:lineRule="exact"/>
        <w:ind w:firstLine="640" w:firstLineChars="200"/>
        <w:jc w:val="left"/>
        <w:rPr>
          <w:rFonts w:ascii="仿宋_GB2312" w:hAnsi="仿宋" w:eastAsia="仿宋_GB2312"/>
          <w:szCs w:val="32"/>
        </w:rPr>
      </w:pPr>
    </w:p>
    <w:p>
      <w:pPr>
        <w:widowControl/>
        <w:spacing w:line="560" w:lineRule="exact"/>
        <w:ind w:firstLine="640" w:firstLineChars="200"/>
        <w:jc w:val="left"/>
        <w:rPr>
          <w:rFonts w:ascii="仿宋_GB2312" w:hAnsi="仿宋" w:eastAsia="仿宋_GB2312"/>
          <w:szCs w:val="32"/>
        </w:rPr>
      </w:pPr>
    </w:p>
    <w:p>
      <w:pPr>
        <w:spacing w:line="560" w:lineRule="exact"/>
        <w:ind w:firstLine="643" w:firstLineChars="200"/>
        <w:rPr>
          <w:rFonts w:ascii="楷体_GB2312" w:hAnsi="宋体" w:eastAsia="楷体_GB2312" w:cs="楷体_GB2312"/>
          <w:b/>
          <w:color w:val="000000"/>
          <w:kern w:val="0"/>
          <w:szCs w:val="32"/>
        </w:rPr>
      </w:pPr>
    </w:p>
    <w:p>
      <w:pPr>
        <w:spacing w:line="560" w:lineRule="exact"/>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spacing w:line="560" w:lineRule="exact"/>
        <w:ind w:firstLine="640" w:firstLineChars="2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财政拨款支出年初预算为</w:t>
      </w:r>
      <w:r>
        <w:rPr>
          <w:rFonts w:hint="eastAsia" w:ascii="仿宋_GB2312" w:hAnsi="宋体" w:eastAsia="仿宋_GB2312" w:cs="仿宋_GB2312"/>
          <w:color w:val="000000"/>
          <w:kern w:val="0"/>
          <w:szCs w:val="32"/>
        </w:rPr>
        <w:t>212.21</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443.19</w:t>
      </w:r>
      <w:r>
        <w:rPr>
          <w:rFonts w:ascii="仿宋_GB2312" w:hAnsi="宋体" w:eastAsia="仿宋_GB2312" w:cs="仿宋_GB2312"/>
          <w:color w:val="000000"/>
          <w:kern w:val="0"/>
          <w:szCs w:val="32"/>
        </w:rPr>
        <w:t>万元，完成年初预算的</w:t>
      </w:r>
      <w:r>
        <w:rPr>
          <w:rFonts w:hint="eastAsia" w:ascii="仿宋_GB2312" w:hAnsi="宋体" w:eastAsia="仿宋_GB2312" w:cs="仿宋_GB2312"/>
          <w:color w:val="000000"/>
          <w:kern w:val="0"/>
          <w:szCs w:val="32"/>
        </w:rPr>
        <w:t>108.8</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按照政府功能分类科目，</w:t>
      </w:r>
      <w:r>
        <w:rPr>
          <w:rFonts w:ascii="仿宋_GB2312" w:hAnsi="宋体" w:eastAsia="仿宋_GB2312" w:cs="仿宋_GB2312"/>
          <w:color w:val="000000"/>
          <w:kern w:val="0"/>
          <w:szCs w:val="32"/>
        </w:rPr>
        <w:t xml:space="preserve">其中： </w:t>
      </w:r>
    </w:p>
    <w:p>
      <w:pPr>
        <w:widowControl/>
        <w:spacing w:line="560" w:lineRule="exact"/>
        <w:ind w:firstLine="643" w:firstLineChars="200"/>
        <w:jc w:val="left"/>
        <w:rPr>
          <w:rFonts w:ascii="仿宋_GB2312" w:hAnsi="宋体" w:eastAsia="仿宋_GB2312" w:cs="仿宋_GB2312"/>
          <w:color w:val="000000"/>
          <w:kern w:val="0"/>
          <w:szCs w:val="32"/>
        </w:rPr>
      </w:pPr>
      <w:r>
        <w:rPr>
          <w:rFonts w:ascii="仿宋_GB2312" w:hAnsi="宋体" w:eastAsia="仿宋_GB2312" w:cs="仿宋_GB2312"/>
          <w:b/>
          <w:color w:val="000000"/>
          <w:kern w:val="0"/>
          <w:szCs w:val="32"/>
        </w:rPr>
        <w:t>1.一般公共服务支出（类）</w:t>
      </w:r>
      <w:r>
        <w:rPr>
          <w:rFonts w:hint="eastAsia" w:ascii="仿宋_GB2312" w:hAnsi="宋体" w:eastAsia="仿宋_GB2312" w:cs="仿宋_GB2312"/>
          <w:b/>
          <w:color w:val="000000"/>
          <w:kern w:val="0"/>
          <w:szCs w:val="32"/>
        </w:rPr>
        <w:t>党委办公厅（室）及相关机构事务</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rPr>
        <w:t>其他共产党事务支出</w:t>
      </w:r>
      <w:r>
        <w:rPr>
          <w:rFonts w:ascii="仿宋_GB2312" w:hAnsi="宋体" w:eastAsia="仿宋_GB2312" w:cs="仿宋_GB2312"/>
          <w:b/>
          <w:color w:val="000000"/>
          <w:kern w:val="0"/>
          <w:szCs w:val="32"/>
        </w:rPr>
        <w:t xml:space="preserve">（项）。 </w:t>
      </w: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224.06</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222.67万元，完成年初预算的99.4%。</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小</w:t>
      </w:r>
      <w:r>
        <w:rPr>
          <w:rFonts w:ascii="仿宋_GB2312" w:hAnsi="宋体" w:eastAsia="仿宋_GB2312" w:cs="仿宋_GB2312"/>
          <w:color w:val="000000"/>
          <w:kern w:val="0"/>
          <w:szCs w:val="32"/>
        </w:rPr>
        <w:t>于预算数的主要原因</w:t>
      </w:r>
      <w:r>
        <w:rPr>
          <w:rFonts w:hint="eastAsia" w:ascii="仿宋_GB2312" w:hAnsi="宋体" w:eastAsia="仿宋_GB2312" w:cs="仿宋_GB2312"/>
          <w:color w:val="000000"/>
          <w:kern w:val="0"/>
          <w:szCs w:val="32"/>
        </w:rPr>
        <w:t>是4名工作人员调出，人员经费较少。</w:t>
      </w:r>
      <w:r>
        <w:rPr>
          <w:rFonts w:ascii="仿宋_GB2312" w:hAnsi="宋体" w:eastAsia="仿宋_GB2312" w:cs="仿宋_GB2312"/>
          <w:b/>
          <w:color w:val="000000"/>
          <w:kern w:val="0"/>
          <w:szCs w:val="32"/>
        </w:rPr>
        <w:t>一般公共服务支出（类）</w:t>
      </w:r>
      <w:r>
        <w:rPr>
          <w:rFonts w:hint="eastAsia" w:ascii="仿宋_GB2312" w:hAnsi="宋体" w:eastAsia="仿宋_GB2312" w:cs="仿宋_GB2312"/>
          <w:b/>
          <w:color w:val="000000"/>
          <w:kern w:val="0"/>
          <w:szCs w:val="32"/>
        </w:rPr>
        <w:t>其他共产党事务支出</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rPr>
        <w:t>行政运行</w:t>
      </w:r>
      <w:r>
        <w:rPr>
          <w:rFonts w:ascii="仿宋_GB2312" w:hAnsi="宋体" w:eastAsia="仿宋_GB2312" w:cs="仿宋_GB2312"/>
          <w:b/>
          <w:color w:val="000000"/>
          <w:kern w:val="0"/>
          <w:szCs w:val="32"/>
        </w:rPr>
        <w:t>（项）</w:t>
      </w: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176.16万元。</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大</w:t>
      </w:r>
      <w:r>
        <w:rPr>
          <w:rFonts w:ascii="仿宋_GB2312" w:hAnsi="宋体" w:eastAsia="仿宋_GB2312" w:cs="仿宋_GB2312"/>
          <w:color w:val="000000"/>
          <w:kern w:val="0"/>
          <w:szCs w:val="32"/>
        </w:rPr>
        <w:t>于预算数的主要原因</w:t>
      </w:r>
      <w:r>
        <w:rPr>
          <w:rFonts w:hint="eastAsia" w:ascii="仿宋_GB2312" w:hAnsi="宋体" w:eastAsia="仿宋_GB2312" w:cs="仿宋_GB2312"/>
          <w:color w:val="000000"/>
          <w:kern w:val="0"/>
          <w:szCs w:val="32"/>
        </w:rPr>
        <w:t>是增加了扫黑除恶专项斗争工作任务。</w:t>
      </w:r>
      <w:r>
        <w:rPr>
          <w:rFonts w:ascii="仿宋_GB2312" w:hAnsi="宋体" w:eastAsia="仿宋_GB2312" w:cs="仿宋_GB2312"/>
          <w:b/>
          <w:color w:val="000000"/>
          <w:kern w:val="0"/>
          <w:szCs w:val="32"/>
        </w:rPr>
        <w:t>一般公共服务支出（类）</w:t>
      </w:r>
      <w:r>
        <w:rPr>
          <w:rFonts w:hint="eastAsia" w:ascii="仿宋_GB2312" w:hAnsi="宋体" w:eastAsia="仿宋_GB2312" w:cs="仿宋_GB2312"/>
          <w:b/>
          <w:color w:val="000000"/>
          <w:kern w:val="0"/>
          <w:szCs w:val="32"/>
        </w:rPr>
        <w:t>其他共产党事务支出</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rPr>
        <w:t>一般行政管理事务</w:t>
      </w:r>
      <w:r>
        <w:rPr>
          <w:rFonts w:ascii="仿宋_GB2312" w:hAnsi="宋体" w:eastAsia="仿宋_GB2312" w:cs="仿宋_GB2312"/>
          <w:b/>
          <w:color w:val="000000"/>
          <w:kern w:val="0"/>
          <w:szCs w:val="32"/>
        </w:rPr>
        <w:t>（项）</w:t>
      </w: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31</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25.61万元。</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小</w:t>
      </w:r>
      <w:r>
        <w:rPr>
          <w:rFonts w:ascii="仿宋_GB2312" w:hAnsi="宋体" w:eastAsia="仿宋_GB2312" w:cs="仿宋_GB2312"/>
          <w:color w:val="000000"/>
          <w:kern w:val="0"/>
          <w:szCs w:val="32"/>
        </w:rPr>
        <w:t>于预算数的主要原因</w:t>
      </w:r>
      <w:r>
        <w:rPr>
          <w:rFonts w:hint="eastAsia" w:ascii="仿宋_GB2312" w:hAnsi="宋体" w:eastAsia="仿宋_GB2312" w:cs="仿宋_GB2312"/>
          <w:color w:val="000000"/>
          <w:kern w:val="0"/>
          <w:szCs w:val="32"/>
        </w:rPr>
        <w:t>是4名工作人员调出，人员经费较少。</w:t>
      </w:r>
    </w:p>
    <w:p>
      <w:pPr>
        <w:widowControl/>
        <w:spacing w:line="560" w:lineRule="exact"/>
        <w:ind w:firstLine="643" w:firstLineChars="200"/>
        <w:jc w:val="left"/>
        <w:rPr>
          <w:rFonts w:ascii="仿宋_GB2312" w:hAnsi="宋体" w:eastAsia="仿宋_GB2312" w:cs="仿宋_GB2312"/>
          <w:color w:val="000000"/>
          <w:kern w:val="0"/>
          <w:szCs w:val="32"/>
        </w:rPr>
      </w:pPr>
      <w:r>
        <w:rPr>
          <w:rFonts w:hint="eastAsia" w:ascii="仿宋_GB2312" w:hAnsi="宋体" w:eastAsia="仿宋_GB2312" w:cs="仿宋_GB2312"/>
          <w:b/>
          <w:bCs/>
          <w:color w:val="000000"/>
          <w:kern w:val="0"/>
          <w:szCs w:val="32"/>
        </w:rPr>
        <w:t>2.社会保障和就业支出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rPr>
        <w:t>行政事业单位医疗</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rPr>
        <w:t xml:space="preserve"> 行政单位医疗（项）</w:t>
      </w:r>
      <w:r>
        <w:rPr>
          <w:rFonts w:hint="eastAsia" w:ascii="仿宋_GB2312" w:hAnsi="宋体" w:eastAsia="仿宋_GB2312" w:cs="仿宋_GB2312"/>
          <w:b/>
          <w:bCs/>
          <w:color w:val="000000"/>
          <w:kern w:val="0"/>
          <w:szCs w:val="32"/>
        </w:rPr>
        <w:t>。</w:t>
      </w: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14.87</w:t>
      </w:r>
      <w:r>
        <w:rPr>
          <w:rFonts w:ascii="仿宋_GB2312" w:hAnsi="宋体" w:eastAsia="仿宋_GB2312" w:cs="仿宋_GB2312"/>
          <w:color w:val="000000"/>
          <w:kern w:val="0"/>
          <w:szCs w:val="32"/>
        </w:rPr>
        <w:t>万元。决算数大于预算数的主要原因</w:t>
      </w:r>
      <w:r>
        <w:rPr>
          <w:rFonts w:hint="eastAsia" w:ascii="仿宋_GB2312" w:hAnsi="宋体" w:eastAsia="仿宋_GB2312" w:cs="仿宋_GB2312"/>
          <w:color w:val="000000"/>
          <w:kern w:val="0"/>
          <w:szCs w:val="32"/>
        </w:rPr>
        <w:t>是从2019年3月起增加了职工基本养老保险支出，不再由财政统一缴纳。</w:t>
      </w:r>
    </w:p>
    <w:p>
      <w:pPr>
        <w:widowControl/>
        <w:spacing w:line="560" w:lineRule="exact"/>
        <w:ind w:firstLine="643" w:firstLineChars="200"/>
        <w:jc w:val="left"/>
        <w:rPr>
          <w:rFonts w:ascii="仿宋_GB2312" w:hAnsi="宋体" w:eastAsia="仿宋_GB2312" w:cs="仿宋_GB2312"/>
          <w:color w:val="000000"/>
          <w:kern w:val="0"/>
          <w:szCs w:val="32"/>
        </w:rPr>
      </w:pPr>
      <w:r>
        <w:rPr>
          <w:rFonts w:hint="eastAsia" w:ascii="仿宋_GB2312" w:hAnsi="宋体" w:eastAsia="仿宋_GB2312" w:cs="仿宋_GB2312"/>
          <w:b/>
          <w:bCs/>
          <w:color w:val="000000"/>
          <w:kern w:val="0"/>
          <w:szCs w:val="32"/>
        </w:rPr>
        <w:t>3.卫生健康支出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rPr>
        <w:t>行政事业单位离退休</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rPr>
        <w:t xml:space="preserve"> 机关事业单位基本养老保险缴费支出（项）</w:t>
      </w:r>
      <w:r>
        <w:rPr>
          <w:rFonts w:hint="eastAsia" w:ascii="仿宋_GB2312" w:hAnsi="宋体" w:eastAsia="仿宋_GB2312" w:cs="仿宋_GB2312"/>
          <w:b/>
          <w:bCs/>
          <w:color w:val="000000"/>
          <w:kern w:val="0"/>
          <w:szCs w:val="32"/>
        </w:rPr>
        <w:t>。</w:t>
      </w: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3.88</w:t>
      </w:r>
      <w:r>
        <w:rPr>
          <w:rFonts w:ascii="仿宋_GB2312" w:hAnsi="宋体" w:eastAsia="仿宋_GB2312" w:cs="仿宋_GB2312"/>
          <w:color w:val="000000"/>
          <w:kern w:val="0"/>
          <w:szCs w:val="32"/>
        </w:rPr>
        <w:t>万元。决算数大于预算数的主要原因</w:t>
      </w:r>
      <w:r>
        <w:rPr>
          <w:rFonts w:hint="eastAsia" w:ascii="仿宋_GB2312" w:hAnsi="宋体" w:eastAsia="仿宋_GB2312" w:cs="仿宋_GB2312"/>
          <w:color w:val="000000"/>
          <w:kern w:val="0"/>
          <w:szCs w:val="32"/>
        </w:rPr>
        <w:t>是从2019年3月起增加了职工医疗保险支出，不再由财政统一缴纳。</w:t>
      </w:r>
    </w:p>
    <w:p>
      <w:pPr>
        <w:spacing w:line="560" w:lineRule="exact"/>
        <w:ind w:firstLine="640" w:firstLineChars="200"/>
        <w:rPr>
          <w:rFonts w:ascii="仿宋_GB2312" w:hAnsi="仿宋" w:eastAsia="仿宋_GB2312"/>
          <w:szCs w:val="32"/>
        </w:rPr>
      </w:pPr>
      <w:r>
        <w:rPr>
          <w:rFonts w:hint="eastAsia" w:ascii="黑体" w:hAnsi="黑体" w:eastAsia="黑体"/>
          <w:color w:val="000000"/>
          <w:kern w:val="0"/>
          <w:szCs w:val="32"/>
        </w:rPr>
        <w:t>六、一般公共预算财政拨款基本支出决算情况说明</w:t>
      </w:r>
    </w:p>
    <w:p>
      <w:pPr>
        <w:widowControl/>
        <w:spacing w:line="560" w:lineRule="exact"/>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201</w:t>
      </w:r>
      <w:r>
        <w:rPr>
          <w:rFonts w:hint="eastAsia" w:ascii="仿宋_GB2312" w:hAnsi="仿宋_GB2312" w:eastAsia="仿宋_GB2312" w:cs="仿宋_GB2312"/>
          <w:color w:val="000000"/>
          <w:kern w:val="0"/>
          <w:sz w:val="31"/>
          <w:szCs w:val="31"/>
        </w:rPr>
        <w:t>9</w:t>
      </w:r>
      <w:r>
        <w:rPr>
          <w:rFonts w:ascii="仿宋_GB2312" w:hAnsi="仿宋_GB2312" w:eastAsia="仿宋_GB2312" w:cs="仿宋_GB2312"/>
          <w:color w:val="000000"/>
          <w:kern w:val="0"/>
          <w:sz w:val="31"/>
          <w:szCs w:val="31"/>
        </w:rPr>
        <w:t>年</w:t>
      </w:r>
      <w:r>
        <w:rPr>
          <w:rFonts w:hint="eastAsia" w:ascii="仿宋_GB2312" w:hAnsi="仿宋" w:eastAsia="仿宋_GB2312"/>
          <w:szCs w:val="32"/>
        </w:rPr>
        <w:t>度</w:t>
      </w:r>
      <w:r>
        <w:rPr>
          <w:rFonts w:ascii="仿宋_GB2312" w:hAnsi="仿宋_GB2312" w:eastAsia="仿宋_GB2312" w:cs="仿宋_GB2312"/>
          <w:color w:val="000000"/>
          <w:kern w:val="0"/>
          <w:sz w:val="31"/>
          <w:szCs w:val="31"/>
        </w:rPr>
        <w:t>一般公共预算财政拨款基本支出</w:t>
      </w:r>
      <w:r>
        <w:rPr>
          <w:rFonts w:hint="eastAsia" w:ascii="仿宋_GB2312" w:hAnsi="仿宋_GB2312" w:eastAsia="仿宋_GB2312" w:cs="仿宋_GB2312"/>
          <w:color w:val="000000"/>
          <w:kern w:val="0"/>
          <w:sz w:val="31"/>
          <w:szCs w:val="31"/>
        </w:rPr>
        <w:t>194.91</w:t>
      </w:r>
      <w:r>
        <w:rPr>
          <w:rFonts w:ascii="仿宋_GB2312" w:hAnsi="仿宋_GB2312" w:eastAsia="仿宋_GB2312" w:cs="仿宋_GB2312"/>
          <w:color w:val="000000"/>
          <w:kern w:val="0"/>
          <w:sz w:val="31"/>
          <w:szCs w:val="31"/>
        </w:rPr>
        <w:t>万元，包括：人员经费支出</w:t>
      </w:r>
      <w:r>
        <w:rPr>
          <w:rFonts w:hint="eastAsia" w:ascii="仿宋_GB2312" w:hAnsi="仿宋_GB2312" w:eastAsia="仿宋_GB2312" w:cs="仿宋_GB2312"/>
          <w:color w:val="000000"/>
          <w:kern w:val="0"/>
          <w:sz w:val="31"/>
          <w:szCs w:val="31"/>
        </w:rPr>
        <w:t>189.98</w:t>
      </w:r>
      <w:r>
        <w:rPr>
          <w:rFonts w:ascii="仿宋_GB2312" w:hAnsi="仿宋_GB2312" w:eastAsia="仿宋_GB2312" w:cs="仿宋_GB2312"/>
          <w:color w:val="000000"/>
          <w:kern w:val="0"/>
          <w:sz w:val="31"/>
          <w:szCs w:val="31"/>
        </w:rPr>
        <w:t>万元和公用经费支出</w:t>
      </w:r>
      <w:r>
        <w:rPr>
          <w:rFonts w:hint="eastAsia" w:ascii="仿宋_GB2312" w:hAnsi="仿宋_GB2312" w:eastAsia="仿宋_GB2312" w:cs="仿宋_GB2312"/>
          <w:color w:val="000000"/>
          <w:kern w:val="0"/>
          <w:sz w:val="31"/>
          <w:szCs w:val="31"/>
        </w:rPr>
        <w:t>4.93</w:t>
      </w:r>
      <w:r>
        <w:rPr>
          <w:rFonts w:ascii="仿宋_GB2312" w:hAnsi="仿宋_GB2312" w:eastAsia="仿宋_GB2312" w:cs="仿宋_GB2312"/>
          <w:color w:val="000000"/>
          <w:kern w:val="0"/>
          <w:sz w:val="31"/>
          <w:szCs w:val="31"/>
        </w:rPr>
        <w:t>万元。</w:t>
      </w:r>
    </w:p>
    <w:p>
      <w:pPr>
        <w:widowControl/>
        <w:spacing w:line="560" w:lineRule="exact"/>
        <w:ind w:firstLine="643" w:firstLineChars="200"/>
        <w:jc w:val="left"/>
        <w:rPr>
          <w:rFonts w:ascii="仿宋_GB2312" w:hAnsi="宋体" w:eastAsia="仿宋_GB2312" w:cs="仿宋_GB2312"/>
          <w:color w:val="000000"/>
          <w:kern w:val="0"/>
          <w:szCs w:val="32"/>
        </w:rPr>
      </w:pPr>
      <w:r>
        <w:rPr>
          <w:rFonts w:ascii="仿宋_GB2312" w:hAnsi="宋体" w:eastAsia="仿宋_GB2312" w:cs="仿宋_GB2312"/>
          <w:b/>
          <w:bCs/>
          <w:color w:val="000000"/>
          <w:kern w:val="0"/>
          <w:szCs w:val="32"/>
        </w:rPr>
        <w:t>人员经费</w:t>
      </w:r>
      <w:r>
        <w:rPr>
          <w:rFonts w:hint="eastAsia" w:ascii="仿宋_GB2312" w:hAnsi="宋体" w:eastAsia="仿宋_GB2312" w:cs="仿宋_GB2312"/>
          <w:color w:val="000000"/>
          <w:kern w:val="0"/>
          <w:szCs w:val="32"/>
        </w:rPr>
        <w:t>189.98</w:t>
      </w:r>
      <w:r>
        <w:rPr>
          <w:rFonts w:ascii="仿宋_GB2312" w:hAnsi="宋体" w:eastAsia="仿宋_GB2312" w:cs="仿宋_GB2312"/>
          <w:color w:val="000000"/>
          <w:kern w:val="0"/>
          <w:szCs w:val="32"/>
        </w:rPr>
        <w:t>万元，主要包括基本工资</w:t>
      </w:r>
      <w:r>
        <w:rPr>
          <w:rFonts w:hint="eastAsia" w:ascii="仿宋_GB2312" w:hAnsi="宋体" w:eastAsia="仿宋_GB2312" w:cs="仿宋_GB2312"/>
          <w:color w:val="000000"/>
          <w:kern w:val="0"/>
          <w:szCs w:val="32"/>
        </w:rPr>
        <w:t>52.36万元，津贴补贴65.3万元，奖金35.31万元，机关事业单位基本养老保险缴费14.87万元， 公务员医疗补助缴费3.88万元、住房公积金17.06万元和对个人和家庭的补助1.2万元。</w:t>
      </w:r>
    </w:p>
    <w:p>
      <w:pPr>
        <w:widowControl/>
        <w:spacing w:line="560" w:lineRule="exact"/>
        <w:ind w:firstLine="643" w:firstLineChars="200"/>
        <w:jc w:val="left"/>
        <w:rPr>
          <w:rFonts w:eastAsia="仿宋_GB2312"/>
        </w:rPr>
      </w:pPr>
      <w:r>
        <w:rPr>
          <w:rFonts w:ascii="仿宋_GB2312" w:hAnsi="宋体" w:eastAsia="仿宋_GB2312" w:cs="仿宋_GB2312"/>
          <w:b/>
          <w:bCs/>
          <w:color w:val="000000"/>
          <w:kern w:val="0"/>
          <w:szCs w:val="32"/>
        </w:rPr>
        <w:t>公用经费</w:t>
      </w:r>
      <w:r>
        <w:rPr>
          <w:rFonts w:hint="eastAsia" w:ascii="仿宋_GB2312" w:hAnsi="宋体" w:eastAsia="仿宋_GB2312" w:cs="仿宋_GB2312"/>
          <w:color w:val="000000"/>
          <w:kern w:val="0"/>
          <w:szCs w:val="32"/>
        </w:rPr>
        <w:t>4.93</w:t>
      </w:r>
      <w:r>
        <w:rPr>
          <w:rFonts w:ascii="仿宋_GB2312" w:hAnsi="宋体" w:eastAsia="仿宋_GB2312" w:cs="仿宋_GB2312"/>
          <w:color w:val="000000"/>
          <w:kern w:val="0"/>
          <w:szCs w:val="32"/>
        </w:rPr>
        <w:t>万元，主要包括</w:t>
      </w:r>
      <w:r>
        <w:rPr>
          <w:rFonts w:hint="eastAsia" w:ascii="仿宋_GB2312" w:hAnsi="宋体" w:eastAsia="仿宋_GB2312" w:cs="仿宋_GB2312"/>
          <w:color w:val="000000"/>
          <w:kern w:val="0"/>
          <w:szCs w:val="32"/>
        </w:rPr>
        <w:t>工会经费4.93万元。</w:t>
      </w:r>
    </w:p>
    <w:p>
      <w:pPr>
        <w:spacing w:line="560" w:lineRule="exact"/>
        <w:ind w:firstLine="640" w:firstLineChars="200"/>
        <w:rPr>
          <w:rFonts w:ascii="黑体" w:hAnsi="黑体" w:eastAsia="黑体"/>
          <w:color w:val="000000"/>
          <w:kern w:val="0"/>
          <w:szCs w:val="32"/>
        </w:rPr>
      </w:pPr>
      <w:r>
        <w:rPr>
          <w:rFonts w:hint="eastAsia" w:ascii="黑体" w:hAnsi="黑体" w:eastAsia="黑体"/>
          <w:color w:val="000000"/>
          <w:kern w:val="0"/>
          <w:szCs w:val="32"/>
        </w:rPr>
        <w:t>七、一般公共预算财政拨款“三公”经费及会议费、培训费支出决算情况说明</w:t>
      </w:r>
    </w:p>
    <w:p>
      <w:pPr>
        <w:widowControl/>
        <w:spacing w:line="560" w:lineRule="exact"/>
        <w:ind w:firstLine="643" w:firstLineChars="200"/>
        <w:jc w:val="left"/>
      </w:pPr>
      <w:r>
        <w:rPr>
          <w:rFonts w:ascii="楷体_GB2312" w:hAnsi="宋体" w:eastAsia="楷体_GB2312" w:cs="楷体_GB2312"/>
          <w:b/>
          <w:color w:val="000000"/>
          <w:kern w:val="0"/>
          <w:szCs w:val="32"/>
        </w:rPr>
        <w:t>（一）“三公”经费财政拨款支出决算总体情况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 xml:space="preserve">。 </w:t>
      </w:r>
    </w:p>
    <w:p>
      <w:pPr>
        <w:widowControl/>
        <w:spacing w:line="560" w:lineRule="exact"/>
        <w:ind w:firstLine="640" w:firstLineChars="200"/>
        <w:jc w:val="left"/>
        <w:rPr>
          <w:rFonts w:eastAsia="仿宋_GB2312"/>
        </w:rPr>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“三公”经费财政拨款支出预算为</w:t>
      </w:r>
      <w:r>
        <w:rPr>
          <w:rFonts w:hint="eastAsia" w:ascii="仿宋_GB2312" w:hAnsi="宋体" w:eastAsia="仿宋_GB2312" w:cs="仿宋_GB2312"/>
          <w:color w:val="000000"/>
          <w:kern w:val="0"/>
          <w:szCs w:val="32"/>
        </w:rPr>
        <w:t>1.85</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0.33</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30</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减少1.52万元，</w:t>
      </w:r>
      <w:r>
        <w:rPr>
          <w:rFonts w:ascii="仿宋_GB2312" w:hAnsi="宋体" w:eastAsia="仿宋_GB2312" w:cs="仿宋_GB2312"/>
          <w:color w:val="000000"/>
          <w:kern w:val="0"/>
          <w:szCs w:val="32"/>
        </w:rPr>
        <w:t>主要原因是</w:t>
      </w:r>
      <w:r>
        <w:rPr>
          <w:rFonts w:hint="eastAsia" w:ascii="仿宋_GB2312" w:hAnsi="华文仿宋" w:eastAsia="仿宋_GB2312" w:cs="华文仿宋"/>
          <w:szCs w:val="32"/>
        </w:rPr>
        <w:t>省、市督导检查工作次数减少，同时我委严格按照中央八项规定执行，厉行节约。</w:t>
      </w:r>
    </w:p>
    <w:p>
      <w:pPr>
        <w:numPr>
          <w:ilvl w:val="0"/>
          <w:numId w:val="2"/>
        </w:numPr>
        <w:spacing w:line="560" w:lineRule="exact"/>
        <w:ind w:left="961" w:leftChars="200" w:hanging="321" w:hangingChars="100"/>
        <w:rPr>
          <w:rFonts w:ascii="仿宋_GB2312" w:hAnsi="宋体" w:eastAsia="仿宋_GB2312" w:cs="仿宋_GB2312"/>
          <w:color w:val="000000"/>
          <w:kern w:val="0"/>
          <w:szCs w:val="32"/>
        </w:rPr>
      </w:pPr>
      <w:r>
        <w:rPr>
          <w:rFonts w:ascii="楷体_GB2312" w:hAnsi="宋体" w:eastAsia="楷体_GB2312" w:cs="楷体_GB2312"/>
          <w:b/>
          <w:color w:val="000000"/>
          <w:kern w:val="0"/>
          <w:szCs w:val="32"/>
        </w:rPr>
        <w:t>“三公”经费财政拨款支出决算具体情况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“三公”经费财政拨款支出决算中，因公出</w:t>
      </w:r>
    </w:p>
    <w:p>
      <w:pPr>
        <w:spacing w:line="560" w:lineRule="exac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国（境）费支出决算</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%；公务用车购置</w:t>
      </w:r>
      <w:r>
        <w:rPr>
          <w:rFonts w:hint="eastAsia" w:ascii="仿宋_GB2312" w:hAnsi="宋体" w:eastAsia="仿宋_GB2312" w:cs="仿宋_GB2312"/>
          <w:color w:val="000000"/>
          <w:kern w:val="0"/>
          <w:szCs w:val="32"/>
        </w:rPr>
        <w:t>费支出0万元，占0</w:t>
      </w:r>
      <w:r>
        <w:rPr>
          <w:rFonts w:ascii="仿宋_GB2312" w:hAnsi="宋体" w:eastAsia="仿宋_GB2312" w:cs="仿宋_GB2312"/>
          <w:color w:val="000000"/>
          <w:kern w:val="0"/>
          <w:szCs w:val="32"/>
        </w:rPr>
        <w:t>%；公务用车运行</w:t>
      </w:r>
      <w:r>
        <w:rPr>
          <w:rFonts w:hint="eastAsia" w:ascii="仿宋_GB2312" w:hAnsi="仿宋" w:eastAsia="仿宋_GB2312"/>
          <w:szCs w:val="32"/>
        </w:rPr>
        <w:t>维护</w:t>
      </w:r>
      <w:r>
        <w:rPr>
          <w:rFonts w:ascii="仿宋_GB2312" w:hAnsi="宋体" w:eastAsia="仿宋_GB2312" w:cs="仿宋_GB2312"/>
          <w:color w:val="000000"/>
          <w:kern w:val="0"/>
          <w:szCs w:val="32"/>
        </w:rPr>
        <w:t>费支出决算</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%；公务接待费支出决算</w:t>
      </w:r>
      <w:r>
        <w:rPr>
          <w:rFonts w:hint="eastAsia" w:ascii="仿宋_GB2312" w:hAnsi="宋体" w:eastAsia="仿宋_GB2312" w:cs="仿宋_GB2312"/>
          <w:color w:val="000000"/>
          <w:kern w:val="0"/>
          <w:szCs w:val="32"/>
        </w:rPr>
        <w:t>0.33</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%。具体情况如下：</w:t>
      </w:r>
    </w:p>
    <w:p>
      <w:pPr>
        <w:spacing w:line="560" w:lineRule="exact"/>
        <w:rPr>
          <w:rFonts w:ascii="仿宋_GB2312" w:hAnsi="宋体" w:eastAsia="仿宋_GB2312" w:cs="仿宋_GB2312"/>
          <w:color w:val="000000"/>
          <w:kern w:val="0"/>
          <w:szCs w:val="32"/>
        </w:rPr>
      </w:pPr>
    </w:p>
    <w:p>
      <w:pPr>
        <w:spacing w:line="560" w:lineRule="exact"/>
        <w:rPr>
          <w:rFonts w:ascii="仿宋_GB2312" w:hAnsi="宋体" w:eastAsia="仿宋_GB2312" w:cs="仿宋_GB2312"/>
          <w:color w:val="000000"/>
          <w:kern w:val="0"/>
          <w:szCs w:val="32"/>
        </w:rPr>
      </w:pPr>
      <w:r>
        <w:drawing>
          <wp:anchor distT="0" distB="0" distL="114300" distR="114300" simplePos="0" relativeHeight="251664384" behindDoc="0" locked="0" layoutInCell="1" allowOverlap="1">
            <wp:simplePos x="0" y="0"/>
            <wp:positionH relativeFrom="column">
              <wp:posOffset>648970</wp:posOffset>
            </wp:positionH>
            <wp:positionV relativeFrom="paragraph">
              <wp:posOffset>26035</wp:posOffset>
            </wp:positionV>
            <wp:extent cx="3927475" cy="2816860"/>
            <wp:effectExtent l="4445" t="5080" r="11430" b="16510"/>
            <wp:wrapNone/>
            <wp:docPr id="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spacing w:line="560" w:lineRule="exact"/>
        <w:rPr>
          <w:rFonts w:ascii="仿宋_GB2312" w:hAnsi="宋体" w:eastAsia="仿宋_GB2312" w:cs="仿宋_GB2312"/>
          <w:color w:val="000000"/>
          <w:kern w:val="0"/>
          <w:szCs w:val="32"/>
        </w:rPr>
      </w:pPr>
    </w:p>
    <w:p>
      <w:pPr>
        <w:spacing w:line="560" w:lineRule="exact"/>
        <w:rPr>
          <w:rFonts w:ascii="仿宋_GB2312" w:hAnsi="宋体" w:eastAsia="仿宋_GB2312" w:cs="仿宋_GB2312"/>
          <w:color w:val="000000"/>
          <w:kern w:val="0"/>
          <w:szCs w:val="32"/>
        </w:rPr>
      </w:pPr>
    </w:p>
    <w:p>
      <w:pPr>
        <w:spacing w:line="560" w:lineRule="exact"/>
        <w:rPr>
          <w:rFonts w:ascii="仿宋_GB2312" w:hAnsi="宋体" w:eastAsia="仿宋_GB2312" w:cs="仿宋_GB2312"/>
          <w:color w:val="000000"/>
          <w:kern w:val="0"/>
          <w:szCs w:val="32"/>
        </w:rPr>
      </w:pPr>
    </w:p>
    <w:p>
      <w:pPr>
        <w:spacing w:line="560" w:lineRule="exact"/>
        <w:rPr>
          <w:rFonts w:ascii="仿宋_GB2312" w:hAnsi="宋体" w:eastAsia="仿宋_GB2312" w:cs="仿宋_GB2312"/>
          <w:color w:val="000000"/>
          <w:kern w:val="0"/>
          <w:szCs w:val="32"/>
        </w:rPr>
      </w:pPr>
    </w:p>
    <w:p>
      <w:pPr>
        <w:spacing w:line="560" w:lineRule="exact"/>
        <w:rPr>
          <w:rFonts w:ascii="仿宋_GB2312" w:hAnsi="宋体" w:eastAsia="仿宋_GB2312" w:cs="仿宋_GB2312"/>
          <w:color w:val="000000"/>
          <w:kern w:val="0"/>
          <w:szCs w:val="32"/>
        </w:rPr>
      </w:pPr>
    </w:p>
    <w:p>
      <w:pPr>
        <w:spacing w:line="560" w:lineRule="exact"/>
        <w:rPr>
          <w:rFonts w:ascii="仿宋_GB2312" w:hAnsi="宋体" w:eastAsia="仿宋_GB2312" w:cs="仿宋_GB2312"/>
          <w:color w:val="000000"/>
          <w:kern w:val="0"/>
          <w:szCs w:val="32"/>
        </w:rPr>
      </w:pPr>
    </w:p>
    <w:p>
      <w:pPr>
        <w:spacing w:line="560" w:lineRule="exact"/>
        <w:rPr>
          <w:rFonts w:ascii="仿宋_GB2312" w:hAnsi="宋体" w:eastAsia="仿宋_GB2312" w:cs="仿宋_GB2312"/>
          <w:color w:val="000000"/>
          <w:kern w:val="0"/>
          <w:szCs w:val="32"/>
        </w:rPr>
      </w:pPr>
    </w:p>
    <w:p>
      <w:pPr>
        <w:spacing w:line="560" w:lineRule="exact"/>
        <w:ind w:firstLine="643" w:firstLineChars="200"/>
        <w:rPr>
          <w:rFonts w:ascii="仿宋_GB2312" w:hAnsi="仿宋" w:eastAsia="仿宋_GB2312"/>
          <w:b/>
          <w:bCs/>
          <w:szCs w:val="32"/>
        </w:rPr>
      </w:pPr>
      <w:r>
        <w:rPr>
          <w:rFonts w:hint="eastAsia" w:ascii="仿宋_GB2312" w:hAnsi="仿宋" w:eastAsia="仿宋_GB2312"/>
          <w:b/>
          <w:bCs/>
          <w:szCs w:val="32"/>
        </w:rPr>
        <w:t>1.因公出国（境）支出情况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spacing w:line="560" w:lineRule="exact"/>
        <w:ind w:firstLine="640" w:firstLineChars="200"/>
        <w:jc w:val="left"/>
      </w:pPr>
      <w:r>
        <w:rPr>
          <w:rFonts w:hint="eastAsia" w:ascii="仿宋_GB2312" w:hAnsi="仿宋" w:eastAsia="仿宋_GB2312"/>
          <w:szCs w:val="32"/>
        </w:rPr>
        <w:t>2019年度因公出国（境）团组</w:t>
      </w:r>
      <w:r>
        <w:rPr>
          <w:rFonts w:hint="eastAsia" w:ascii="仿宋_GB2312" w:hAnsi="仿宋_GB2312" w:eastAsia="仿宋_GB2312" w:cs="仿宋_GB2312"/>
          <w:szCs w:val="32"/>
        </w:rPr>
        <w:t>0个，0人次，</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持平，</w:t>
      </w:r>
      <w:r>
        <w:rPr>
          <w:rFonts w:hint="eastAsia" w:ascii="仿宋_GB2312" w:hAnsi="华文仿宋" w:eastAsia="仿宋_GB2312" w:cs="华文仿宋"/>
          <w:szCs w:val="32"/>
        </w:rPr>
        <w:t>主要原因为无出国境支出;</w:t>
      </w:r>
    </w:p>
    <w:p>
      <w:pPr>
        <w:spacing w:line="560" w:lineRule="exact"/>
        <w:ind w:firstLine="643" w:firstLineChars="200"/>
        <w:rPr>
          <w:rFonts w:ascii="仿宋_GB2312" w:hAnsi="仿宋" w:eastAsia="仿宋_GB2312"/>
          <w:b/>
          <w:bCs/>
          <w:szCs w:val="32"/>
        </w:rPr>
      </w:pPr>
      <w:r>
        <w:rPr>
          <w:rFonts w:hint="eastAsia" w:ascii="仿宋_GB2312" w:hAnsi="仿宋" w:eastAsia="仿宋_GB2312"/>
          <w:b/>
          <w:bCs/>
          <w:szCs w:val="32"/>
        </w:rPr>
        <w:t>2.公务用车购置费用支出情况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spacing w:line="560" w:lineRule="exact"/>
        <w:ind w:firstLine="640" w:firstLineChars="200"/>
        <w:jc w:val="left"/>
      </w:pPr>
      <w:r>
        <w:rPr>
          <w:rFonts w:hint="eastAsia" w:ascii="仿宋_GB2312" w:hAnsi="仿宋" w:eastAsia="仿宋_GB2312"/>
          <w:szCs w:val="32"/>
        </w:rPr>
        <w:t>2019年度购置车辆</w:t>
      </w:r>
      <w:r>
        <w:rPr>
          <w:rFonts w:hint="eastAsia" w:ascii="仿宋_GB2312" w:hAnsi="仿宋_GB2312" w:eastAsia="仿宋_GB2312" w:cs="仿宋_GB2312"/>
          <w:szCs w:val="32"/>
        </w:rPr>
        <w:t>0台，</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0%，决</w:t>
      </w:r>
      <w:r>
        <w:rPr>
          <w:rFonts w:ascii="仿宋_GB2312" w:hAnsi="宋体" w:eastAsia="仿宋_GB2312" w:cs="仿宋_GB2312"/>
          <w:color w:val="000000"/>
          <w:kern w:val="0"/>
          <w:szCs w:val="32"/>
        </w:rPr>
        <w:t>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无变化，</w:t>
      </w:r>
      <w:r>
        <w:rPr>
          <w:rFonts w:ascii="仿宋_GB2312" w:hAnsi="宋体" w:eastAsia="仿宋_GB2312" w:cs="仿宋_GB2312"/>
          <w:color w:val="000000"/>
          <w:kern w:val="0"/>
          <w:szCs w:val="32"/>
        </w:rPr>
        <w:t>主要原因是</w:t>
      </w:r>
      <w:r>
        <w:rPr>
          <w:rFonts w:hint="eastAsia" w:ascii="仿宋_GB2312" w:hAnsi="华文仿宋" w:eastAsia="仿宋_GB2312" w:cs="华文仿宋"/>
          <w:szCs w:val="32"/>
        </w:rPr>
        <w:t>为无公车购置</w:t>
      </w:r>
      <w:r>
        <w:rPr>
          <w:rFonts w:hint="eastAsia" w:ascii="仿宋_GB2312" w:hAnsi="宋体" w:eastAsia="仿宋_GB2312" w:cs="仿宋_GB2312"/>
          <w:color w:val="000000"/>
          <w:kern w:val="0"/>
          <w:szCs w:val="32"/>
        </w:rPr>
        <w:t>。</w:t>
      </w:r>
    </w:p>
    <w:p>
      <w:pPr>
        <w:spacing w:line="560" w:lineRule="exact"/>
        <w:ind w:firstLine="643" w:firstLineChars="200"/>
        <w:rPr>
          <w:rFonts w:ascii="仿宋_GB2312" w:hAnsi="仿宋" w:eastAsia="仿宋_GB2312"/>
          <w:b/>
          <w:bCs/>
          <w:szCs w:val="32"/>
        </w:rPr>
      </w:pPr>
      <w:r>
        <w:rPr>
          <w:rFonts w:hint="eastAsia" w:ascii="仿宋_GB2312" w:hAnsi="仿宋" w:eastAsia="仿宋_GB2312"/>
          <w:b/>
          <w:bCs/>
          <w:szCs w:val="32"/>
        </w:rPr>
        <w:t>3.公务用车运行维护费用支出情况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spacing w:line="560" w:lineRule="exact"/>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_GB2312" w:eastAsia="仿宋_GB2312" w:cs="仿宋_GB2312"/>
          <w:szCs w:val="32"/>
        </w:rPr>
        <w:t>公务用车运行维护费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0%，决</w:t>
      </w:r>
      <w:r>
        <w:rPr>
          <w:rFonts w:ascii="仿宋_GB2312" w:hAnsi="宋体" w:eastAsia="仿宋_GB2312" w:cs="仿宋_GB2312"/>
          <w:color w:val="000000"/>
          <w:kern w:val="0"/>
          <w:szCs w:val="32"/>
        </w:rPr>
        <w:t>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无变化，</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单位无公务用车。</w:t>
      </w:r>
    </w:p>
    <w:p>
      <w:pPr>
        <w:spacing w:line="560" w:lineRule="exact"/>
        <w:ind w:left="640" w:leftChars="200"/>
        <w:rPr>
          <w:rFonts w:ascii="仿宋_GB2312" w:hAnsi="仿宋" w:eastAsia="仿宋_GB2312"/>
          <w:b/>
          <w:bCs/>
          <w:szCs w:val="32"/>
        </w:rPr>
      </w:pPr>
      <w:r>
        <w:rPr>
          <w:rFonts w:hint="eastAsia" w:ascii="仿宋_GB2312" w:hAnsi="仿宋" w:eastAsia="仿宋_GB2312"/>
          <w:b/>
          <w:bCs/>
          <w:szCs w:val="32"/>
        </w:rPr>
        <w:t>4.公务接待费支出情况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spacing w:line="560" w:lineRule="exact"/>
        <w:ind w:firstLine="640" w:firstLineChars="200"/>
        <w:jc w:val="left"/>
        <w:rPr>
          <w:rFonts w:eastAsia="仿宋_GB2312"/>
        </w:rPr>
      </w:pPr>
      <w:r>
        <w:rPr>
          <w:rFonts w:hint="eastAsia" w:ascii="仿宋_GB2312" w:hAnsi="仿宋" w:eastAsia="仿宋_GB2312"/>
          <w:szCs w:val="32"/>
        </w:rPr>
        <w:t>2019年度公务接待</w:t>
      </w:r>
      <w:r>
        <w:rPr>
          <w:rFonts w:hint="eastAsia" w:ascii="仿宋_GB2312" w:hAnsi="仿宋_GB2312" w:eastAsia="仿宋_GB2312" w:cs="仿宋_GB2312"/>
          <w:szCs w:val="32"/>
        </w:rPr>
        <w:t>15批次，53人次，</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1.85</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0.33</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30%，决</w:t>
      </w:r>
      <w:r>
        <w:rPr>
          <w:rFonts w:ascii="仿宋_GB2312" w:hAnsi="宋体" w:eastAsia="仿宋_GB2312" w:cs="仿宋_GB2312"/>
          <w:color w:val="000000"/>
          <w:kern w:val="0"/>
          <w:szCs w:val="32"/>
        </w:rPr>
        <w:t>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减少0.81万元，</w:t>
      </w:r>
      <w:r>
        <w:rPr>
          <w:rFonts w:ascii="仿宋_GB2312" w:hAnsi="宋体" w:eastAsia="仿宋_GB2312" w:cs="仿宋_GB2312"/>
          <w:color w:val="000000"/>
          <w:kern w:val="0"/>
          <w:szCs w:val="32"/>
        </w:rPr>
        <w:t>主要原因是</w:t>
      </w:r>
      <w:r>
        <w:rPr>
          <w:rFonts w:hint="eastAsia" w:ascii="仿宋_GB2312" w:hAnsi="华文仿宋" w:eastAsia="仿宋_GB2312" w:cs="华文仿宋"/>
          <w:szCs w:val="32"/>
        </w:rPr>
        <w:t>省、市督导检查工作次数减少，同时我委严格按照中央八项规定执行，厉行节约。</w:t>
      </w:r>
    </w:p>
    <w:p>
      <w:pPr>
        <w:spacing w:line="560" w:lineRule="exact"/>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（三）培训费支出情况说明。</w:t>
      </w:r>
    </w:p>
    <w:p>
      <w:pPr>
        <w:widowControl/>
        <w:spacing w:line="560" w:lineRule="exact"/>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_GB2312" w:eastAsia="仿宋_GB2312" w:cs="仿宋_GB2312"/>
          <w:szCs w:val="32"/>
        </w:rPr>
        <w:t>培训费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无变化，</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参加省、市、区培训，培训费用由组织单位承担，本单位无支出。</w:t>
      </w:r>
    </w:p>
    <w:p>
      <w:pPr>
        <w:spacing w:line="560" w:lineRule="exact"/>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（四）会议费支出情况说明。</w:t>
      </w:r>
    </w:p>
    <w:p>
      <w:pPr>
        <w:widowControl/>
        <w:spacing w:line="560" w:lineRule="exact"/>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_GB2312" w:eastAsia="仿宋_GB2312" w:cs="仿宋_GB2312"/>
          <w:szCs w:val="32"/>
        </w:rPr>
        <w:t>会议费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0.99</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减少0.99万元，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秉承厉行节约原则，大型会议在区委、政府举行。</w:t>
      </w:r>
    </w:p>
    <w:p>
      <w:pPr>
        <w:spacing w:line="560" w:lineRule="exact"/>
        <w:ind w:firstLine="640" w:firstLineChars="200"/>
        <w:rPr>
          <w:rFonts w:ascii="黑体" w:hAnsi="黑体" w:eastAsia="黑体"/>
          <w:color w:val="000000"/>
          <w:kern w:val="0"/>
          <w:szCs w:val="32"/>
        </w:rPr>
      </w:pPr>
      <w:r>
        <w:rPr>
          <w:rFonts w:hint="eastAsia" w:ascii="黑体" w:hAnsi="黑体" w:eastAsia="黑体"/>
          <w:color w:val="000000"/>
          <w:kern w:val="0"/>
          <w:szCs w:val="32"/>
        </w:rPr>
        <w:t>八、政府性基金预算财政拨款收入支出情况说明</w:t>
      </w:r>
    </w:p>
    <w:p>
      <w:pPr>
        <w:spacing w:line="560"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本部门无政府性基金决算收支，并已公开空表。</w:t>
      </w:r>
    </w:p>
    <w:p>
      <w:pPr>
        <w:widowControl/>
        <w:spacing w:line="560" w:lineRule="exact"/>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九、国有资本经营财政拨款收入支出情况说明</w:t>
      </w:r>
    </w:p>
    <w:p>
      <w:pPr>
        <w:spacing w:line="560"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本部门无国有资本经营决算拨款收支。</w:t>
      </w:r>
    </w:p>
    <w:p>
      <w:pPr>
        <w:widowControl/>
        <w:spacing w:line="560" w:lineRule="exact"/>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十、预算绩效情况说明</w:t>
      </w:r>
    </w:p>
    <w:p>
      <w:pPr>
        <w:widowControl/>
        <w:spacing w:line="560" w:lineRule="exact"/>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（一）</w:t>
      </w:r>
      <w:r>
        <w:rPr>
          <w:rFonts w:ascii="楷体_GB2312" w:hAnsi="宋体" w:eastAsia="楷体_GB2312" w:cs="楷体_GB2312"/>
          <w:b/>
          <w:color w:val="000000"/>
          <w:kern w:val="0"/>
          <w:szCs w:val="32"/>
        </w:rPr>
        <w:t>预算绩效管理工作开展情况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spacing w:line="560" w:lineRule="exact"/>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本部门组织对2</w:t>
      </w:r>
      <w:r>
        <w:rPr>
          <w:rFonts w:ascii="仿宋_GB2312" w:hAnsi="仿宋_GB2312" w:eastAsia="仿宋_GB2312" w:cs="仿宋_GB2312"/>
          <w:szCs w:val="32"/>
        </w:rPr>
        <w:t>019</w:t>
      </w:r>
      <w:r>
        <w:rPr>
          <w:rFonts w:hint="eastAsia" w:ascii="仿宋_GB2312" w:hAnsi="仿宋_GB2312" w:eastAsia="仿宋_GB2312" w:cs="仿宋_GB2312"/>
          <w:szCs w:val="32"/>
        </w:rPr>
        <w:t>年一般公共预算7个项目支出开展了绩效自评</w:t>
      </w:r>
      <w:r>
        <w:rPr>
          <w:rFonts w:ascii="仿宋_GB2312" w:hAnsi="仿宋_GB2312" w:eastAsia="仿宋_GB2312" w:cs="仿宋_GB2312"/>
          <w:szCs w:val="32"/>
        </w:rPr>
        <w:t>，其中，一级项目</w:t>
      </w:r>
      <w:r>
        <w:rPr>
          <w:rFonts w:hint="eastAsia" w:ascii="仿宋_GB2312" w:hAnsi="仿宋_GB2312" w:eastAsia="仿宋_GB2312" w:cs="仿宋_GB2312"/>
          <w:szCs w:val="32"/>
        </w:rPr>
        <w:t>7</w:t>
      </w:r>
      <w:r>
        <w:rPr>
          <w:rFonts w:ascii="仿宋_GB2312" w:hAnsi="仿宋_GB2312" w:eastAsia="仿宋_GB2312" w:cs="仿宋_GB2312"/>
          <w:szCs w:val="32"/>
        </w:rPr>
        <w:t>个，</w:t>
      </w:r>
      <w:r>
        <w:rPr>
          <w:rFonts w:hint="eastAsia" w:ascii="仿宋_GB2312" w:hAnsi="仿宋_GB2312" w:eastAsia="仿宋_GB2312" w:cs="仿宋_GB2312"/>
          <w:szCs w:val="32"/>
        </w:rPr>
        <w:t>二级项目0个，</w:t>
      </w:r>
      <w:r>
        <w:rPr>
          <w:rFonts w:ascii="仿宋_GB2312" w:hAnsi="仿宋_GB2312" w:eastAsia="仿宋_GB2312" w:cs="仿宋_GB2312"/>
          <w:szCs w:val="32"/>
        </w:rPr>
        <w:t>共涉及资金</w:t>
      </w:r>
      <w:r>
        <w:rPr>
          <w:rFonts w:hint="eastAsia" w:ascii="仿宋_GB2312" w:hAnsi="仿宋_GB2312" w:eastAsia="仿宋_GB2312" w:cs="仿宋_GB2312"/>
          <w:szCs w:val="32"/>
        </w:rPr>
        <w:t>248.28</w:t>
      </w:r>
      <w:r>
        <w:rPr>
          <w:rFonts w:ascii="仿宋_GB2312" w:hAnsi="仿宋_GB2312" w:eastAsia="仿宋_GB2312" w:cs="仿宋_GB2312"/>
          <w:szCs w:val="32"/>
        </w:rPr>
        <w:t>万元，占一般公共预算项目支出总额的</w:t>
      </w:r>
      <w:r>
        <w:rPr>
          <w:rFonts w:hint="eastAsia" w:ascii="仿宋_GB2312" w:hAnsi="仿宋_GB2312" w:eastAsia="仿宋_GB2312" w:cs="仿宋_GB2312"/>
          <w:szCs w:val="32"/>
        </w:rPr>
        <w:t>51.4</w:t>
      </w:r>
      <w:r>
        <w:rPr>
          <w:rFonts w:ascii="仿宋_GB2312" w:hAnsi="仿宋_GB2312" w:eastAsia="仿宋_GB2312" w:cs="仿宋_GB2312"/>
          <w:szCs w:val="32"/>
        </w:rPr>
        <w:t>%</w:t>
      </w:r>
    </w:p>
    <w:p>
      <w:pPr>
        <w:widowControl/>
        <w:spacing w:line="560" w:lineRule="exact"/>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本部门组织对2</w:t>
      </w:r>
      <w:r>
        <w:rPr>
          <w:rFonts w:ascii="仿宋_GB2312" w:hAnsi="仿宋_GB2312" w:eastAsia="仿宋_GB2312" w:cs="仿宋_GB2312"/>
          <w:szCs w:val="32"/>
        </w:rPr>
        <w:t>019</w:t>
      </w:r>
      <w:r>
        <w:rPr>
          <w:rFonts w:hint="eastAsia" w:ascii="仿宋_GB2312" w:hAnsi="仿宋_GB2312" w:eastAsia="仿宋_GB2312" w:cs="仿宋_GB2312"/>
          <w:szCs w:val="32"/>
        </w:rPr>
        <w:t>年度部门整体进行了绩效自评，涉及资金</w:t>
      </w:r>
      <w:r>
        <w:rPr>
          <w:rFonts w:hint="eastAsia" w:ascii="仿宋_GB2312" w:hAnsi="仿宋_GB2312" w:eastAsia="仿宋_GB2312" w:cs="仿宋_GB2312"/>
          <w:color w:val="000000"/>
          <w:kern w:val="0"/>
          <w:sz w:val="31"/>
          <w:szCs w:val="31"/>
        </w:rPr>
        <w:t>424.44</w:t>
      </w:r>
      <w:r>
        <w:rPr>
          <w:rFonts w:hint="eastAsia" w:ascii="仿宋_GB2312" w:hAnsi="仿宋_GB2312" w:eastAsia="仿宋_GB2312" w:cs="仿宋_GB2312"/>
          <w:szCs w:val="32"/>
        </w:rPr>
        <w:t>万元。</w:t>
      </w:r>
    </w:p>
    <w:p>
      <w:pPr>
        <w:widowControl/>
        <w:spacing w:line="560" w:lineRule="exact"/>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部门决算中项目绩效自评结果。</w:t>
      </w:r>
    </w:p>
    <w:p>
      <w:pPr>
        <w:widowControl/>
        <w:spacing w:line="560" w:lineRule="exact"/>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严重精神障碍患者监护基金</w:t>
      </w:r>
      <w:r>
        <w:rPr>
          <w:rFonts w:ascii="仿宋_GB2312" w:hAnsi="仿宋_GB2312" w:eastAsia="仿宋_GB2312" w:cs="仿宋_GB2312"/>
          <w:color w:val="000000"/>
          <w:kern w:val="0"/>
          <w:sz w:val="31"/>
          <w:szCs w:val="31"/>
        </w:rPr>
        <w:t>项目绩效自评综述：根据年初设定的绩效目标，项目自评得分</w:t>
      </w:r>
      <w:r>
        <w:rPr>
          <w:rFonts w:hint="eastAsia" w:ascii="仿宋_GB2312" w:hAnsi="仿宋_GB2312" w:eastAsia="仿宋_GB2312" w:cs="仿宋_GB2312"/>
          <w:color w:val="000000"/>
          <w:kern w:val="0"/>
          <w:sz w:val="31"/>
          <w:szCs w:val="31"/>
        </w:rPr>
        <w:t>100</w:t>
      </w:r>
      <w:r>
        <w:rPr>
          <w:rFonts w:ascii="仿宋_GB2312" w:hAnsi="仿宋_GB2312" w:eastAsia="仿宋_GB2312" w:cs="仿宋_GB2312"/>
          <w:color w:val="000000"/>
          <w:kern w:val="0"/>
          <w:sz w:val="31"/>
          <w:szCs w:val="31"/>
        </w:rPr>
        <w:t>分。项目全年预算数</w:t>
      </w:r>
      <w:r>
        <w:rPr>
          <w:rFonts w:hint="eastAsia" w:ascii="仿宋_GB2312" w:hAnsi="仿宋_GB2312" w:eastAsia="仿宋_GB2312" w:cs="仿宋_GB2312"/>
          <w:color w:val="000000"/>
          <w:kern w:val="0"/>
          <w:sz w:val="31"/>
          <w:szCs w:val="31"/>
        </w:rPr>
        <w:t>6</w:t>
      </w:r>
      <w:r>
        <w:rPr>
          <w:rFonts w:ascii="仿宋_GB2312" w:hAnsi="仿宋_GB2312" w:eastAsia="仿宋_GB2312" w:cs="仿宋_GB2312"/>
          <w:color w:val="000000"/>
          <w:kern w:val="0"/>
          <w:sz w:val="31"/>
          <w:szCs w:val="31"/>
        </w:rPr>
        <w:t>万元，执行数</w:t>
      </w:r>
      <w:r>
        <w:rPr>
          <w:rFonts w:hint="eastAsia" w:ascii="仿宋_GB2312" w:hAnsi="仿宋_GB2312" w:eastAsia="仿宋_GB2312" w:cs="仿宋_GB2312"/>
          <w:color w:val="000000"/>
          <w:kern w:val="0"/>
          <w:sz w:val="31"/>
          <w:szCs w:val="31"/>
        </w:rPr>
        <w:t>6</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rPr>
        <w:t>100</w:t>
      </w:r>
      <w:r>
        <w:rPr>
          <w:rFonts w:ascii="仿宋_GB2312" w:hAnsi="仿宋_GB2312" w:eastAsia="仿宋_GB2312" w:cs="仿宋_GB2312"/>
          <w:color w:val="000000"/>
          <w:kern w:val="0"/>
          <w:sz w:val="31"/>
          <w:szCs w:val="31"/>
        </w:rPr>
        <w:t>%。</w:t>
      </w:r>
    </w:p>
    <w:p>
      <w:pPr>
        <w:widowControl/>
        <w:spacing w:line="560" w:lineRule="exact"/>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主要产出和效果：通过项目实施</w:t>
      </w:r>
      <w:r>
        <w:rPr>
          <w:rFonts w:hint="eastAsia" w:ascii="仿宋_GB2312" w:hAnsi="仿宋_GB2312" w:eastAsia="仿宋_GB2312" w:cs="仿宋_GB2312"/>
          <w:color w:val="000000"/>
          <w:kern w:val="0"/>
          <w:sz w:val="31"/>
          <w:szCs w:val="31"/>
        </w:rPr>
        <w:t>完成春、秋两季严重精神障碍患者筛查工作，完成三级患者评估认定工作，通过对优秀的五人管控小组进行奖励，管控小组工作积极性增强，严重精神障碍患者服务管控效果显著。</w:t>
      </w:r>
    </w:p>
    <w:p>
      <w:pPr>
        <w:widowControl/>
        <w:spacing w:line="560" w:lineRule="exact"/>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发现的问题及原因：</w:t>
      </w:r>
      <w:r>
        <w:rPr>
          <w:rFonts w:hint="eastAsia" w:ascii="仿宋_GB2312" w:hAnsi="仿宋_GB2312" w:eastAsia="仿宋_GB2312" w:cs="仿宋_GB2312"/>
          <w:color w:val="000000"/>
          <w:kern w:val="0"/>
          <w:sz w:val="31"/>
          <w:szCs w:val="31"/>
        </w:rPr>
        <w:t>有些患病的严重精神障碍患者未纳入管控范围，享受不到监护人补贴。</w:t>
      </w:r>
    </w:p>
    <w:p>
      <w:pPr>
        <w:widowControl/>
        <w:spacing w:line="560" w:lineRule="exact"/>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下一步改进措施：</w:t>
      </w:r>
      <w:r>
        <w:rPr>
          <w:rFonts w:hint="eastAsia" w:ascii="仿宋_GB2312" w:hAnsi="仿宋_GB2312" w:eastAsia="仿宋_GB2312" w:cs="仿宋_GB2312"/>
          <w:color w:val="000000"/>
          <w:kern w:val="0"/>
          <w:sz w:val="31"/>
          <w:szCs w:val="31"/>
        </w:rPr>
        <w:t>开展春秋季排查工作时认真细致，患者评估认定工作由街道、各相关部门联合认定，将符合政策的患者全部纳入服务管控对象，进一步提升我区特殊人群服务管理水平。</w:t>
      </w:r>
    </w:p>
    <w:p>
      <w:pPr>
        <w:widowControl/>
        <w:spacing w:line="560" w:lineRule="exact"/>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（三）部门决算中整体支出绩效自评结果。</w:t>
      </w:r>
    </w:p>
    <w:p>
      <w:pPr>
        <w:widowControl/>
        <w:spacing w:line="560" w:lineRule="exact"/>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根据年初设定的绩效目标，</w:t>
      </w:r>
      <w:r>
        <w:rPr>
          <w:rFonts w:hint="eastAsia" w:ascii="仿宋_GB2312" w:hAnsi="仿宋_GB2312" w:eastAsia="仿宋_GB2312" w:cs="仿宋_GB2312"/>
          <w:color w:val="000000"/>
          <w:kern w:val="0"/>
          <w:sz w:val="31"/>
          <w:szCs w:val="31"/>
        </w:rPr>
        <w:t>本部门整体2019年度整体</w:t>
      </w:r>
      <w:r>
        <w:rPr>
          <w:rFonts w:ascii="仿宋_GB2312" w:hAnsi="仿宋_GB2312" w:eastAsia="仿宋_GB2312" w:cs="仿宋_GB2312"/>
          <w:color w:val="000000"/>
          <w:kern w:val="0"/>
          <w:sz w:val="31"/>
          <w:szCs w:val="31"/>
        </w:rPr>
        <w:t>自评得分</w:t>
      </w:r>
      <w:r>
        <w:rPr>
          <w:rFonts w:hint="eastAsia" w:ascii="仿宋_GB2312" w:hAnsi="仿宋_GB2312" w:eastAsia="仿宋_GB2312" w:cs="仿宋_GB2312"/>
          <w:color w:val="000000"/>
          <w:kern w:val="0"/>
          <w:sz w:val="31"/>
          <w:szCs w:val="31"/>
        </w:rPr>
        <w:t>93</w:t>
      </w:r>
      <w:r>
        <w:rPr>
          <w:rFonts w:ascii="仿宋_GB2312" w:hAnsi="仿宋_GB2312" w:eastAsia="仿宋_GB2312" w:cs="仿宋_GB2312"/>
          <w:color w:val="000000"/>
          <w:kern w:val="0"/>
          <w:sz w:val="31"/>
          <w:szCs w:val="31"/>
        </w:rPr>
        <w:t>分。全年预算数</w:t>
      </w:r>
      <w:r>
        <w:rPr>
          <w:rFonts w:hint="eastAsia" w:ascii="仿宋_GB2312" w:hAnsi="仿宋_GB2312" w:eastAsia="仿宋_GB2312" w:cs="仿宋_GB2312"/>
          <w:color w:val="000000"/>
          <w:kern w:val="0"/>
          <w:sz w:val="31"/>
          <w:szCs w:val="31"/>
        </w:rPr>
        <w:t>255.06</w:t>
      </w:r>
      <w:r>
        <w:rPr>
          <w:rFonts w:ascii="仿宋_GB2312" w:hAnsi="仿宋_GB2312" w:eastAsia="仿宋_GB2312" w:cs="仿宋_GB2312"/>
          <w:color w:val="000000"/>
          <w:kern w:val="0"/>
          <w:sz w:val="31"/>
          <w:szCs w:val="31"/>
        </w:rPr>
        <w:t>万元，执行数</w:t>
      </w:r>
      <w:r>
        <w:rPr>
          <w:rFonts w:hint="eastAsia" w:ascii="仿宋_GB2312" w:hAnsi="仿宋_GB2312" w:eastAsia="仿宋_GB2312" w:cs="仿宋_GB2312"/>
          <w:color w:val="000000"/>
          <w:kern w:val="0"/>
          <w:sz w:val="31"/>
          <w:szCs w:val="31"/>
        </w:rPr>
        <w:t>447.19</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rPr>
        <w:t>175</w:t>
      </w:r>
      <w:r>
        <w:rPr>
          <w:rFonts w:ascii="仿宋_GB2312" w:hAnsi="仿宋_GB2312" w:eastAsia="仿宋_GB2312" w:cs="仿宋_GB2312"/>
          <w:color w:val="000000"/>
          <w:kern w:val="0"/>
          <w:sz w:val="31"/>
          <w:szCs w:val="31"/>
        </w:rPr>
        <w:t>%。</w:t>
      </w:r>
    </w:p>
    <w:p>
      <w:pPr>
        <w:ind w:firstLine="620" w:firstLineChars="200"/>
        <w:rPr>
          <w:rFonts w:ascii="仿宋_GB2312" w:hAnsi="仿宋_GB2312" w:eastAsia="仿宋_GB2312" w:cs="仿宋_GB2312"/>
          <w:szCs w:val="32"/>
        </w:rPr>
      </w:pPr>
      <w:r>
        <w:rPr>
          <w:rFonts w:ascii="仿宋_GB2312" w:hAnsi="仿宋_GB2312" w:eastAsia="仿宋_GB2312" w:cs="仿宋_GB2312"/>
          <w:color w:val="000000"/>
          <w:kern w:val="0"/>
          <w:sz w:val="31"/>
          <w:szCs w:val="31"/>
        </w:rPr>
        <w:t>主要产出和效果：</w:t>
      </w:r>
      <w:r>
        <w:rPr>
          <w:rFonts w:hint="eastAsia" w:ascii="仿宋_GB2312" w:hAnsi="仿宋_GB2312" w:eastAsia="仿宋_GB2312" w:cs="仿宋_GB2312"/>
          <w:szCs w:val="32"/>
        </w:rPr>
        <w:t>2019年中共西安市阎良区委政法委各项工作社会效益良好，资金利用率高，阎良区社会环境稳定，人民群众安全感逐步提升。1.平安建设工作顺利推进，平安鼎考核位居全市各区县第一。坚持树牢“大平安”理念，争取</w:t>
      </w:r>
      <w:r>
        <w:rPr>
          <w:rFonts w:hint="eastAsia" w:ascii="仿宋_GB2312" w:hAnsi="仿宋_GB2312" w:eastAsia="仿宋_GB2312" w:cs="仿宋_GB2312"/>
          <w:szCs w:val="32"/>
          <w:lang w:val="zh-CN"/>
        </w:rPr>
        <w:t>“平安鼎”创建经费，</w:t>
      </w:r>
      <w:r>
        <w:rPr>
          <w:rFonts w:hint="eastAsia" w:ascii="仿宋_GB2312" w:hAnsi="仿宋_GB2312" w:eastAsia="仿宋_GB2312" w:cs="仿宋_GB2312"/>
          <w:szCs w:val="32"/>
        </w:rPr>
        <w:t>先后制定下发平安建设考核方案、月报月评、督导检查、暗查暗访、责任约谈、主任例会、宣传激励等工作制度，高标准开展创建工作，2019年平安鼎考核位居全市各区县第一。</w:t>
      </w:r>
    </w:p>
    <w:p>
      <w:pPr>
        <w:spacing w:line="560" w:lineRule="exact"/>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2.社会大局持续稳定。结合阎良工作实际制定《阎良区维稳工作七项机制实施细则》，严格落实各责任单位和镇街党委第一责任，形成了横向到边、纵向到底、齐抓共管的责任体系；坚持</w:t>
      </w:r>
      <w:r>
        <w:rPr>
          <w:rFonts w:hint="eastAsia" w:ascii="仿宋_GB2312" w:hAnsi="仿宋_GB2312" w:eastAsia="仿宋_GB2312" w:cs="仿宋_GB2312"/>
          <w:szCs w:val="32"/>
          <w:lang w:val="zh-CN"/>
        </w:rPr>
        <w:t>维稳工作信息研判机制，</w:t>
      </w:r>
      <w:r>
        <w:rPr>
          <w:rFonts w:hint="eastAsia" w:ascii="仿宋_GB2312" w:hAnsi="仿宋_GB2312" w:eastAsia="仿宋_GB2312" w:cs="仿宋_GB2312"/>
          <w:szCs w:val="32"/>
        </w:rPr>
        <w:t>持续开展影响社会稳定矛盾问题摸排调研及专项摸排化解工作，严格落实社会稳定风险评估制度，市、区级重点项目评估率100%，全年无群体性事件发生。</w:t>
      </w:r>
    </w:p>
    <w:p>
      <w:pPr>
        <w:spacing w:line="560" w:lineRule="exact"/>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3.强力推进扫黑除恶专项斗争。深入学习贯彻习</w:t>
      </w:r>
      <w:r>
        <w:rPr>
          <w:rFonts w:hint="eastAsia" w:ascii="仿宋_GB2312" w:hAnsi="仿宋_GB2312" w:eastAsia="仿宋_GB2312" w:cs="仿宋_GB2312"/>
          <w:szCs w:val="32"/>
          <w:lang w:val="zh-CN"/>
        </w:rPr>
        <w:t>近平总书记关于扫黑除恶专项斗争重要指示精神，严格按照中省市和区委的部署要求，</w:t>
      </w:r>
      <w:r>
        <w:rPr>
          <w:rFonts w:hint="eastAsia" w:ascii="仿宋_GB2312" w:hAnsi="仿宋_GB2312" w:eastAsia="仿宋_GB2312" w:cs="仿宋_GB2312"/>
          <w:szCs w:val="32"/>
        </w:rPr>
        <w:t>在政治站位、依法严惩、综合治理、深挖彻查、组织建设等六个方面推进工作和完成问题整改，2019年，成立了以区委、区政府主要领导双组长的扫黑除恶专项斗争领导小组，拿出专项经费，保障各项工作有序开展。2019年全市扫黑除恶专项斗争公众知晓率和认可率测评中，阎良区知晓率达98.8%，认可率达91.33%，均位居全市区县之首，并被省扫黑办评为全省扫黑除恶专项斗争先进区县。</w:t>
      </w:r>
    </w:p>
    <w:p>
      <w:pPr>
        <w:spacing w:line="560" w:lineRule="exact"/>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4.全力推进公正廉洁执法。扎实开展“</w:t>
      </w:r>
      <w:bookmarkStart w:id="4" w:name="_GoBack"/>
      <w:bookmarkEnd w:id="4"/>
      <w:r>
        <w:rPr>
          <w:rFonts w:hint="eastAsia" w:ascii="仿宋_GB2312" w:hAnsi="仿宋_GB2312" w:eastAsia="仿宋_GB2312" w:cs="仿宋_GB2312"/>
          <w:szCs w:val="32"/>
        </w:rPr>
        <w:t>不忘初心</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rPr>
        <w:t>牢记使命”主题教育，狠抓党风廉政建设责任制落实，政法系统领导班子及干警守纪律、讲规矩、转作风意识显著增强；扎实开展案件评查剖析、评优评差和专项执法检查，全年评查案子200件，促进了办案质量的不断提高；稳步推进户籍制度改革、刑事案件速裁试点工作等司法体制改革工作，改革年度任务按期完成。</w:t>
      </w:r>
    </w:p>
    <w:p>
      <w:pPr>
        <w:spacing w:line="560" w:lineRule="exact"/>
        <w:ind w:firstLine="620" w:firstLineChars="200"/>
        <w:rPr>
          <w:rFonts w:ascii="仿宋_GB2312" w:hAnsi="仿宋_GB2312" w:eastAsia="仿宋_GB2312" w:cs="仿宋_GB2312"/>
          <w:szCs w:val="32"/>
        </w:rPr>
      </w:pPr>
      <w:r>
        <w:rPr>
          <w:rFonts w:hint="eastAsia" w:ascii="仿宋_GB2312" w:hAnsi="仿宋_GB2312" w:eastAsia="仿宋_GB2312" w:cs="仿宋_GB2312"/>
          <w:color w:val="000000"/>
          <w:kern w:val="0"/>
          <w:sz w:val="31"/>
          <w:szCs w:val="31"/>
        </w:rPr>
        <w:t>主要工作绩效是</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szCs w:val="32"/>
        </w:rPr>
        <w:t>2019年平安鼎考核位居全市各区县第一。2019年全市扫黑除恶专项斗争公众知晓率和认可率测评中，阎良区知晓率达98.8%，认可率达91.33%，均位居全市区县之首，并被省扫黑办评为全省扫黑除恶专项斗争先进区县。全区目标责任考评政法委为一类单位。</w:t>
      </w:r>
    </w:p>
    <w:p>
      <w:pPr>
        <w:ind w:firstLine="620" w:firstLineChars="200"/>
        <w:rPr>
          <w:rFonts w:ascii="仿宋_GB2312" w:hAnsi="仿宋_GB2312" w:eastAsia="仿宋_GB2312" w:cs="仿宋_GB2312"/>
          <w:szCs w:val="32"/>
        </w:rPr>
      </w:pPr>
      <w:r>
        <w:rPr>
          <w:rFonts w:ascii="仿宋_GB2312" w:hAnsi="仿宋_GB2312" w:eastAsia="仿宋_GB2312" w:cs="仿宋_GB2312"/>
          <w:color w:val="000000"/>
          <w:kern w:val="0"/>
          <w:sz w:val="31"/>
          <w:szCs w:val="31"/>
        </w:rPr>
        <w:t>发现的问题及原因：</w:t>
      </w:r>
      <w:r>
        <w:rPr>
          <w:rFonts w:hint="eastAsia" w:ascii="仿宋_GB2312" w:hAnsi="仿宋_GB2312" w:eastAsia="仿宋_GB2312" w:cs="仿宋_GB2312"/>
          <w:color w:val="000000"/>
          <w:kern w:val="0"/>
          <w:sz w:val="31"/>
          <w:szCs w:val="31"/>
        </w:rPr>
        <w:t>在</w:t>
      </w:r>
      <w:r>
        <w:rPr>
          <w:rFonts w:hint="eastAsia" w:ascii="仿宋_GB2312" w:hAnsi="仿宋_GB2312" w:eastAsia="仿宋_GB2312" w:cs="仿宋_GB2312"/>
          <w:szCs w:val="32"/>
        </w:rPr>
        <w:t>预算编制方面，2019年项目绩效目标只涉及了一项，此次不能有效地对2019年项目预算执行结果进行全面绩效评价。在预算执行方面，2019年中共西安市阎良区委政法委支出不均衡，全年支付主要集中在第四季度。</w:t>
      </w:r>
    </w:p>
    <w:p>
      <w:pPr>
        <w:ind w:firstLine="620" w:firstLineChars="200"/>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下一步改进措施：</w:t>
      </w:r>
      <w:r>
        <w:rPr>
          <w:rFonts w:hint="eastAsia" w:ascii="仿宋_GB2312" w:hAnsi="仿宋_GB2312" w:eastAsia="仿宋_GB2312" w:cs="仿宋_GB2312"/>
          <w:color w:val="000000"/>
          <w:kern w:val="0"/>
          <w:sz w:val="31"/>
          <w:szCs w:val="31"/>
        </w:rPr>
        <w:t>今后</w:t>
      </w:r>
      <w:r>
        <w:rPr>
          <w:rFonts w:hint="eastAsia" w:ascii="仿宋_GB2312" w:hAnsi="仿宋_GB2312" w:eastAsia="仿宋_GB2312" w:cs="仿宋_GB2312"/>
          <w:szCs w:val="32"/>
        </w:rPr>
        <w:t>中共西安市阎良区委政法委在预算管理方面进一步健全各项管理制度，严格执行《财务管理规定》等部门内部制度；在资金使用方面，严格按照单位财务管理制度、审批程序执行。科学做好预算，按计划支出，提高资金利用率，保证政法委各项工作运转，实现阎良区社会环境稳定，人民群众安全感逐步提升的目标。</w:t>
      </w: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bookmarkStart w:id="0" w:name="_1662907596"/>
      <w:bookmarkEnd w:id="0"/>
      <w:bookmarkStart w:id="1" w:name="_1662907161"/>
      <w:bookmarkEnd w:id="1"/>
      <w:bookmarkStart w:id="2" w:name="_1662907080"/>
      <w:bookmarkEnd w:id="2"/>
      <w:r>
        <w:rPr>
          <w:rFonts w:hint="eastAsia" w:ascii="仿宋_GB2312" w:hAnsi="仿宋_GB2312" w:eastAsia="仿宋_GB2312" w:cs="仿宋_GB2312"/>
          <w:color w:val="000000"/>
          <w:sz w:val="31"/>
          <w:szCs w:val="31"/>
        </w:rPr>
        <w:object>
          <v:shape id="_x0000_i1025" o:spt="75" type="#_x0000_t75" style="height:663.05pt;width:385.1pt;" o:ole="t" filled="f" o:preferrelative="t" stroked="f" coordsize="21600,21600">
            <v:path/>
            <v:fill on="f" focussize="0,0"/>
            <v:stroke on="f" joinstyle="miter"/>
            <v:imagedata r:id="rId12" o:title=""/>
            <o:lock v:ext="edit" aspectratio="f"/>
            <w10:wrap type="none"/>
            <w10:anchorlock/>
          </v:shape>
          <o:OLEObject Type="Embed" ProgID="Excel.Sheet.12" ShapeID="_x0000_i1025" DrawAspect="Content" ObjectID="_1468075725" r:id="rId11">
            <o:LockedField>false</o:LockedField>
          </o:OLEObject>
        </w:object>
      </w:r>
    </w:p>
    <w:p>
      <w:pPr>
        <w:widowControl/>
        <w:jc w:val="left"/>
        <w:rPr>
          <w:rFonts w:ascii="仿宋_GB2312" w:hAnsi="仿宋_GB2312" w:eastAsia="仿宋_GB2312" w:cs="仿宋_GB2312"/>
          <w:color w:val="000000"/>
          <w:kern w:val="0"/>
          <w:sz w:val="31"/>
          <w:szCs w:val="31"/>
        </w:rPr>
        <w:sectPr>
          <w:pgSz w:w="11906" w:h="16838"/>
          <w:pgMar w:top="1440" w:right="1800" w:bottom="1440" w:left="1800" w:header="851" w:footer="992" w:gutter="0"/>
          <w:cols w:space="425" w:num="1"/>
          <w:docGrid w:type="lines" w:linePitch="312" w:charSpace="0"/>
        </w:sectPr>
      </w:pPr>
    </w:p>
    <w:p>
      <w:pPr>
        <w:rPr>
          <w:rFonts w:ascii="黑体" w:hAnsi="黑体" w:eastAsia="黑体"/>
          <w:color w:val="000000"/>
          <w:kern w:val="0"/>
          <w:szCs w:val="32"/>
        </w:rPr>
        <w:sectPr>
          <w:pgSz w:w="16838" w:h="11906" w:orient="landscape"/>
          <w:pgMar w:top="1800" w:right="1440" w:bottom="1800" w:left="1440" w:header="851" w:footer="992" w:gutter="0"/>
          <w:cols w:space="425" w:num="1"/>
          <w:docGrid w:type="lines" w:linePitch="312" w:charSpace="0"/>
        </w:sectPr>
      </w:pPr>
      <w:bookmarkStart w:id="3" w:name="_1662907696"/>
      <w:bookmarkEnd w:id="3"/>
      <w:r>
        <w:rPr>
          <w:rFonts w:ascii="仿宋_GB2312" w:hAnsi="仿宋_GB2312" w:eastAsia="仿宋_GB2312" w:cs="仿宋_GB2312"/>
          <w:color w:val="000000"/>
          <w:kern w:val="0"/>
          <w:sz w:val="31"/>
          <w:szCs w:val="31"/>
        </w:rPr>
        <w:pict>
          <v:shape id="_x0000_s1026" o:spid="_x0000_s1026" o:spt="75" type="#_x0000_t75" style="position:absolute;left:0pt;margin-left:0pt;margin-top:0.25pt;height:521.75pt;width:721.75pt;z-index:251665408;mso-width-relative:page;mso-height-relative:page;" o:ole="t" filled="f" o:preferrelative="t" stroked="f" coordsize="21600,21600">
            <v:path/>
            <v:fill on="f" focussize="0,0"/>
            <v:stroke on="f" joinstyle="miter"/>
            <v:imagedata r:id="rId14" o:title=""/>
            <o:lock v:ext="edit" aspectratio="f"/>
          </v:shape>
          <o:OLEObject Type="Embed" ProgID="Excel.Sheet.12" ShapeID="_x0000_s1026" DrawAspect="Content" ObjectID="_1468075726" r:id="rId13">
            <o:LockedField>false</o:LockedField>
          </o:OLEObject>
        </w:pict>
      </w:r>
    </w:p>
    <w:p>
      <w:pPr>
        <w:spacing w:line="560" w:lineRule="exact"/>
        <w:ind w:firstLine="640" w:firstLineChars="200"/>
        <w:rPr>
          <w:rFonts w:ascii="黑体" w:hAnsi="黑体" w:eastAsia="黑体"/>
          <w:szCs w:val="32"/>
        </w:rPr>
      </w:pPr>
      <w:r>
        <w:rPr>
          <w:rFonts w:hint="eastAsia" w:ascii="黑体" w:hAnsi="黑体" w:eastAsia="黑体"/>
          <w:color w:val="000000"/>
          <w:kern w:val="0"/>
          <w:szCs w:val="32"/>
        </w:rPr>
        <w:t>十一、其他重要事项说明</w:t>
      </w:r>
    </w:p>
    <w:p>
      <w:pPr>
        <w:widowControl/>
        <w:spacing w:line="560" w:lineRule="exact"/>
        <w:ind w:firstLine="643" w:firstLineChars="200"/>
        <w:jc w:val="left"/>
      </w:pPr>
      <w:r>
        <w:rPr>
          <w:rFonts w:ascii="楷体_GB2312" w:hAnsi="宋体" w:eastAsia="楷体_GB2312" w:cs="楷体_GB2312"/>
          <w:b/>
          <w:color w:val="000000"/>
          <w:kern w:val="0"/>
          <w:szCs w:val="32"/>
        </w:rPr>
        <w:t>（一）机关运行经费支出情况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 xml:space="preserve">。 </w:t>
      </w:r>
    </w:p>
    <w:p>
      <w:pPr>
        <w:pStyle w:val="5"/>
        <w:spacing w:before="0" w:beforeAutospacing="0" w:after="0" w:afterAutospacing="0" w:line="560" w:lineRule="exact"/>
        <w:ind w:firstLine="620" w:firstLineChars="200"/>
        <w:rPr>
          <w:rFonts w:ascii="仿宋_GB2312" w:hAnsi="楷体_GB2312" w:eastAsia="仿宋_GB2312" w:cs="楷体_GB2312"/>
          <w:sz w:val="32"/>
          <w:szCs w:val="32"/>
        </w:rPr>
      </w:pPr>
      <w:r>
        <w:rPr>
          <w:rFonts w:ascii="仿宋_GB2312" w:hAnsi="仿宋_GB2312" w:eastAsia="仿宋_GB2312" w:cs="仿宋_GB2312"/>
          <w:color w:val="000000"/>
          <w:sz w:val="31"/>
          <w:szCs w:val="31"/>
        </w:rPr>
        <w:t>2019年</w:t>
      </w:r>
      <w:r>
        <w:rPr>
          <w:rFonts w:hint="eastAsia" w:ascii="仿宋_GB2312" w:hAnsi="仿宋_GB2312" w:eastAsia="仿宋_GB2312" w:cs="仿宋_GB2312"/>
          <w:color w:val="000000"/>
          <w:sz w:val="31"/>
          <w:szCs w:val="31"/>
        </w:rPr>
        <w:t>度</w:t>
      </w:r>
      <w:r>
        <w:rPr>
          <w:rFonts w:ascii="仿宋_GB2312" w:hAnsi="仿宋_GB2312" w:eastAsia="仿宋_GB2312" w:cs="仿宋_GB2312"/>
          <w:color w:val="000000"/>
          <w:sz w:val="31"/>
          <w:szCs w:val="31"/>
        </w:rPr>
        <w:t>机关运行经费</w:t>
      </w:r>
      <w:r>
        <w:rPr>
          <w:rFonts w:ascii="仿宋_GB2312" w:eastAsia="仿宋_GB2312" w:cs="仿宋_GB2312"/>
          <w:color w:val="000000"/>
          <w:sz w:val="32"/>
          <w:szCs w:val="32"/>
        </w:rPr>
        <w:t>预算为</w:t>
      </w:r>
      <w:r>
        <w:rPr>
          <w:rFonts w:hint="eastAsia" w:ascii="仿宋_GB2312" w:eastAsia="仿宋_GB2312" w:cs="仿宋_GB2312"/>
          <w:color w:val="000000"/>
          <w:sz w:val="32"/>
          <w:szCs w:val="32"/>
          <w:lang w:val="en-US" w:eastAsia="zh-CN"/>
        </w:rPr>
        <w:t>4.93</w:t>
      </w:r>
      <w:r>
        <w:rPr>
          <w:rFonts w:ascii="仿宋_GB2312" w:eastAsia="仿宋_GB2312" w:cs="仿宋_GB2312"/>
          <w:color w:val="000000"/>
          <w:sz w:val="32"/>
          <w:szCs w:val="32"/>
        </w:rPr>
        <w:t>万元，支出决算为</w:t>
      </w:r>
      <w:r>
        <w:rPr>
          <w:rFonts w:hint="eastAsia" w:ascii="仿宋_GB2312" w:eastAsia="仿宋_GB2312" w:cs="仿宋_GB2312"/>
          <w:color w:val="000000"/>
          <w:sz w:val="32"/>
          <w:szCs w:val="32"/>
          <w:lang w:val="en-US" w:eastAsia="zh-CN"/>
        </w:rPr>
        <w:t>4.93</w:t>
      </w:r>
      <w:r>
        <w:rPr>
          <w:rFonts w:ascii="仿宋_GB2312" w:eastAsia="仿宋_GB2312" w:cs="仿宋_GB2312"/>
          <w:color w:val="000000"/>
          <w:sz w:val="32"/>
          <w:szCs w:val="32"/>
        </w:rPr>
        <w:t>万元，完成预算的</w:t>
      </w:r>
      <w:r>
        <w:rPr>
          <w:rFonts w:hint="eastAsia" w:ascii="仿宋_GB2312" w:eastAsia="仿宋_GB2312" w:cs="仿宋_GB2312"/>
          <w:color w:val="000000"/>
          <w:sz w:val="32"/>
          <w:szCs w:val="32"/>
          <w:lang w:val="en-US" w:eastAsia="zh-CN"/>
        </w:rPr>
        <w:t>100</w:t>
      </w:r>
      <w:r>
        <w:rPr>
          <w:rFonts w:ascii="仿宋_GB2312" w:eastAsia="仿宋_GB2312" w:cs="仿宋_GB2312"/>
          <w:color w:val="000000"/>
          <w:sz w:val="32"/>
          <w:szCs w:val="32"/>
        </w:rPr>
        <w:t>%。决算数</w:t>
      </w:r>
      <w:r>
        <w:rPr>
          <w:rFonts w:hint="eastAsia" w:ascii="仿宋_GB2312" w:eastAsia="仿宋_GB2312" w:cs="仿宋_GB2312"/>
          <w:color w:val="000000"/>
          <w:sz w:val="32"/>
          <w:szCs w:val="32"/>
        </w:rPr>
        <w:t>较</w:t>
      </w:r>
      <w:r>
        <w:rPr>
          <w:rFonts w:ascii="仿宋_GB2312" w:eastAsia="仿宋_GB2312" w:cs="仿宋_GB2312"/>
          <w:color w:val="000000"/>
          <w:sz w:val="32"/>
          <w:szCs w:val="32"/>
        </w:rPr>
        <w:t>预算数</w:t>
      </w:r>
      <w:r>
        <w:rPr>
          <w:rFonts w:hint="eastAsia" w:ascii="仿宋_GB2312" w:eastAsia="仿宋_GB2312" w:cs="仿宋_GB2312"/>
          <w:color w:val="000000"/>
          <w:sz w:val="32"/>
          <w:szCs w:val="32"/>
          <w:lang w:val="en-US" w:eastAsia="zh-CN"/>
        </w:rPr>
        <w:t>持平</w:t>
      </w:r>
      <w:r>
        <w:rPr>
          <w:rFonts w:hint="eastAsia" w:ascii="仿宋_GB2312" w:eastAsia="仿宋_GB2312" w:cs="仿宋_GB2312"/>
          <w:color w:val="000000"/>
          <w:sz w:val="32"/>
          <w:szCs w:val="32"/>
        </w:rPr>
        <w:t>，</w:t>
      </w:r>
      <w:r>
        <w:rPr>
          <w:rFonts w:hint="eastAsia" w:ascii="仿宋_GB2312" w:eastAsia="仿宋_GB2312" w:cs="仿宋_GB2312"/>
          <w:color w:val="000000"/>
          <w:sz w:val="32"/>
          <w:szCs w:val="32"/>
          <w:lang w:val="en-US" w:eastAsia="zh-CN"/>
        </w:rPr>
        <w:t>无变化</w:t>
      </w:r>
      <w:r>
        <w:rPr>
          <w:rFonts w:hint="eastAsia" w:ascii="仿宋_GB2312" w:hAnsi="楷体_GB2312" w:eastAsia="仿宋_GB2312" w:cs="楷体_GB2312"/>
          <w:sz w:val="32"/>
          <w:szCs w:val="32"/>
        </w:rPr>
        <w:t>。</w:t>
      </w:r>
    </w:p>
    <w:p>
      <w:pPr>
        <w:widowControl/>
        <w:spacing w:line="560" w:lineRule="exact"/>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（二）政府采购支出情况说明。</w:t>
      </w:r>
    </w:p>
    <w:p>
      <w:pPr>
        <w:spacing w:line="560"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本部门201</w:t>
      </w:r>
      <w:r>
        <w:rPr>
          <w:rFonts w:ascii="仿宋_GB2312" w:hAnsi="仿宋_GB2312" w:eastAsia="仿宋_GB2312" w:cs="仿宋_GB2312"/>
          <w:szCs w:val="32"/>
        </w:rPr>
        <w:t>9</w:t>
      </w:r>
      <w:r>
        <w:rPr>
          <w:rFonts w:hint="eastAsia" w:ascii="仿宋_GB2312" w:hAnsi="仿宋_GB2312" w:eastAsia="仿宋_GB2312" w:cs="仿宋_GB2312"/>
          <w:szCs w:val="32"/>
        </w:rPr>
        <w:t>年度无政府采购支出.</w:t>
      </w:r>
    </w:p>
    <w:p>
      <w:pPr>
        <w:widowControl/>
        <w:numPr>
          <w:ilvl w:val="0"/>
          <w:numId w:val="2"/>
        </w:numPr>
        <w:spacing w:line="560" w:lineRule="exact"/>
        <w:ind w:left="961" w:leftChars="200" w:hanging="321" w:hangingChars="1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国有资产占用及购置情况说明。</w:t>
      </w:r>
    </w:p>
    <w:p>
      <w:pPr>
        <w:spacing w:line="560" w:lineRule="exact"/>
        <w:ind w:firstLine="645"/>
        <w:rPr>
          <w:rFonts w:ascii="宋体" w:hAnsi="宋体" w:eastAsia="宋体" w:cs="宋体"/>
          <w:szCs w:val="32"/>
        </w:rPr>
      </w:pPr>
      <w:r>
        <w:rPr>
          <w:rFonts w:hint="eastAsia" w:ascii="仿宋_GB2312" w:hAnsi="华文仿宋" w:eastAsia="仿宋_GB2312" w:cs="华文仿宋"/>
          <w:szCs w:val="32"/>
        </w:rPr>
        <w:t>截至</w:t>
      </w:r>
      <w:r>
        <w:rPr>
          <w:rFonts w:ascii="仿宋_GB2312" w:hAnsi="华文仿宋" w:eastAsia="仿宋_GB2312" w:cs="华文仿宋"/>
          <w:szCs w:val="32"/>
        </w:rPr>
        <w:t>201</w:t>
      </w:r>
      <w:r>
        <w:rPr>
          <w:rFonts w:hint="eastAsia" w:ascii="仿宋_GB2312" w:hAnsi="华文仿宋" w:eastAsia="仿宋_GB2312" w:cs="华文仿宋"/>
          <w:szCs w:val="32"/>
        </w:rPr>
        <w:t>9年末，</w:t>
      </w:r>
      <w:r>
        <w:rPr>
          <w:rFonts w:hint="eastAsia" w:ascii="仿宋_GB2312" w:hAnsi="宋体" w:eastAsia="仿宋_GB2312" w:cs="宋体"/>
          <w:szCs w:val="32"/>
        </w:rPr>
        <w:t>本部门没有公务车辆。</w:t>
      </w:r>
    </w:p>
    <w:p>
      <w:pPr>
        <w:spacing w:line="560" w:lineRule="exact"/>
        <w:ind w:firstLine="640"/>
        <w:rPr>
          <w:rFonts w:ascii="仿宋_GB2312" w:hAnsi="仿宋_GB2312" w:eastAsia="仿宋_GB2312" w:cs="仿宋_GB2312"/>
          <w:szCs w:val="32"/>
        </w:rPr>
      </w:pPr>
    </w:p>
    <w:p>
      <w:pPr>
        <w:numPr>
          <w:ilvl w:val="0"/>
          <w:numId w:val="3"/>
        </w:numPr>
        <w:jc w:val="center"/>
        <w:rPr>
          <w:rFonts w:ascii="黑体" w:hAnsi="宋体" w:eastAsia="黑体"/>
          <w:color w:val="000000"/>
          <w:kern w:val="0"/>
          <w:sz w:val="44"/>
          <w:szCs w:val="44"/>
        </w:rPr>
      </w:pPr>
      <w:r>
        <w:rPr>
          <w:rFonts w:hint="eastAsia" w:ascii="黑体" w:hAnsi="宋体" w:eastAsia="黑体"/>
          <w:color w:val="000000"/>
          <w:kern w:val="0"/>
          <w:sz w:val="44"/>
          <w:szCs w:val="44"/>
        </w:rPr>
        <w:t>专业名词解释</w:t>
      </w:r>
    </w:p>
    <w:p>
      <w:pPr>
        <w:rPr>
          <w:rFonts w:ascii="黑体" w:hAnsi="宋体" w:eastAsia="黑体"/>
          <w:color w:val="000000"/>
          <w:kern w:val="0"/>
          <w:sz w:val="44"/>
          <w:szCs w:val="44"/>
        </w:rPr>
      </w:pPr>
    </w:p>
    <w:p>
      <w:pPr>
        <w:widowControl/>
        <w:spacing w:line="560" w:lineRule="exact"/>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文字说明。专业名词解释可由部门根据业务内容等自行选择。</w:t>
      </w:r>
    </w:p>
    <w:p>
      <w:pPr>
        <w:spacing w:line="560" w:lineRule="exact"/>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1.基本支出</w:t>
      </w:r>
      <w:r>
        <w:rPr>
          <w:rFonts w:hint="eastAsia" w:ascii="仿宋_GB2312" w:hAnsi="仿宋_GB2312" w:eastAsia="仿宋_GB2312" w:cs="仿宋_GB2312"/>
          <w:szCs w:val="32"/>
        </w:rPr>
        <w:t>：指为保障机构正常运转、完成日常工作任务而发生的各项支出。</w:t>
      </w:r>
    </w:p>
    <w:p>
      <w:pPr>
        <w:spacing w:line="560" w:lineRule="exact"/>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2.项目支出</w:t>
      </w:r>
      <w:r>
        <w:rPr>
          <w:rFonts w:hint="eastAsia" w:ascii="仿宋_GB2312" w:hAnsi="仿宋_GB2312" w:eastAsia="仿宋_GB2312" w:cs="仿宋_GB2312"/>
          <w:szCs w:val="32"/>
        </w:rPr>
        <w:t>：指单位为完成特定的行政工作任务或事业发展目标所发生的各项支出。</w:t>
      </w:r>
    </w:p>
    <w:p>
      <w:pPr>
        <w:spacing w:line="560" w:lineRule="exact"/>
        <w:ind w:firstLine="640"/>
        <w:rPr>
          <w:rFonts w:ascii="仿宋_GB2312" w:hAnsi="仿宋_GB2312" w:eastAsia="仿宋_GB2312" w:cs="仿宋_GB2312"/>
          <w:szCs w:val="32"/>
        </w:rPr>
      </w:pPr>
      <w:r>
        <w:rPr>
          <w:rFonts w:hint="eastAsia" w:ascii="仿宋_GB2312" w:hAnsi="仿宋_GB2312" w:eastAsia="仿宋_GB2312" w:cs="仿宋_GB2312"/>
          <w:b/>
          <w:bCs/>
          <w:szCs w:val="32"/>
        </w:rPr>
        <w:t>3.“三公”经费</w:t>
      </w:r>
      <w:r>
        <w:rPr>
          <w:rFonts w:hint="eastAsia" w:ascii="仿宋_GB2312" w:hAnsi="仿宋_GB2312" w:eastAsia="仿宋_GB2312" w:cs="仿宋_GB2312"/>
          <w:szCs w:val="32"/>
        </w:rPr>
        <w:t>：指部门使用一般公共预算财政拨款安排的因公出国（境）费、公务用车购置及运行费和公务接待费支出。</w:t>
      </w:r>
    </w:p>
    <w:p>
      <w:pPr>
        <w:spacing w:line="560" w:lineRule="exact"/>
        <w:ind w:firstLine="640"/>
        <w:rPr>
          <w:rFonts w:ascii="仿宋_GB2312" w:hAnsi="仿宋_GB2312" w:eastAsia="仿宋_GB2312" w:cs="仿宋_GB2312"/>
          <w:szCs w:val="32"/>
        </w:rPr>
      </w:pPr>
      <w:r>
        <w:rPr>
          <w:rFonts w:hint="eastAsia" w:ascii="仿宋_GB2312" w:hAnsi="仿宋_GB2312" w:eastAsia="仿宋_GB2312" w:cs="仿宋_GB2312"/>
          <w:b/>
          <w:bCs/>
          <w:szCs w:val="32"/>
        </w:rPr>
        <w:t>4.财政拨款收入</w:t>
      </w:r>
      <w:r>
        <w:rPr>
          <w:rFonts w:hint="eastAsia" w:ascii="仿宋_GB2312" w:hAnsi="仿宋_GB2312" w:eastAsia="仿宋_GB2312" w:cs="仿宋_GB2312"/>
          <w:szCs w:val="32"/>
        </w:rPr>
        <w:t>：指本级财政当年拨付的资金。</w:t>
      </w:r>
    </w:p>
    <w:p>
      <w:pPr>
        <w:spacing w:line="560" w:lineRule="exact"/>
        <w:ind w:firstLine="640"/>
        <w:rPr>
          <w:rFonts w:ascii="仿宋_GB2312" w:hAnsi="宋体" w:eastAsia="仿宋_GB2312"/>
          <w:bCs/>
          <w:szCs w:val="32"/>
        </w:rPr>
      </w:pPr>
      <w:r>
        <w:rPr>
          <w:rFonts w:hint="eastAsia" w:ascii="仿宋_GB2312" w:hAnsi="仿宋_GB2312" w:eastAsia="仿宋_GB2312" w:cs="仿宋_GB2312"/>
          <w:b/>
          <w:bCs/>
          <w:szCs w:val="32"/>
        </w:rPr>
        <w:t>5.调整预算数：</w:t>
      </w:r>
      <w:r>
        <w:rPr>
          <w:rFonts w:hint="eastAsia" w:ascii="仿宋_GB2312" w:hAnsi="宋体" w:eastAsia="仿宋_GB2312"/>
          <w:bCs/>
          <w:szCs w:val="32"/>
        </w:rPr>
        <w:t>填列经调整后的全年预算数，包括年初预算数和预算调增调减数</w:t>
      </w:r>
      <w:r>
        <w:rPr>
          <w:rFonts w:hint="eastAsia" w:ascii="仿宋_GB2312" w:eastAsia="仿宋_GB2312"/>
          <w:bCs/>
          <w:szCs w:val="32"/>
        </w:rPr>
        <w:t>，即：调整预算数＝年初预算数＋预算调增数－预算调减数</w:t>
      </w:r>
      <w:r>
        <w:rPr>
          <w:rFonts w:hint="eastAsia" w:ascii="仿宋_GB2312" w:hAnsi="宋体" w:eastAsia="仿宋_GB2312"/>
          <w:bCs/>
          <w:szCs w:val="32"/>
        </w:rPr>
        <w:t>。</w:t>
      </w: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jc w:val="left"/>
        <w:rPr>
          <w:rFonts w:ascii="楷体" w:hAnsi="楷体" w:eastAsia="楷体" w:cs="楷体"/>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ËÎÌå">
    <w:altName w:val="Times New Roman"/>
    <w:panose1 w:val="00000000000000000000"/>
    <w:charset w:val="00"/>
    <w:family w:val="auto"/>
    <w:pitch w:val="default"/>
    <w:sig w:usb0="00000000" w:usb1="00000000" w:usb2="00000000" w:usb3="00000000" w:csb0="00000001"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5446C9"/>
    <w:multiLevelType w:val="singleLevel"/>
    <w:tmpl w:val="835446C9"/>
    <w:lvl w:ilvl="0" w:tentative="0">
      <w:start w:val="2"/>
      <w:numFmt w:val="chineseCounting"/>
      <w:suff w:val="nothing"/>
      <w:lvlText w:val="（%1）"/>
      <w:lvlJc w:val="left"/>
      <w:rPr>
        <w:rFonts w:hint="eastAsia"/>
      </w:rPr>
    </w:lvl>
  </w:abstractNum>
  <w:abstractNum w:abstractNumId="1">
    <w:nsid w:val="9F232710"/>
    <w:multiLevelType w:val="singleLevel"/>
    <w:tmpl w:val="9F232710"/>
    <w:lvl w:ilvl="0" w:tentative="0">
      <w:start w:val="1"/>
      <w:numFmt w:val="chineseCounting"/>
      <w:suff w:val="space"/>
      <w:lvlText w:val="第%1部分"/>
      <w:lvlJc w:val="left"/>
      <w:rPr>
        <w:rFonts w:hint="eastAsia"/>
      </w:rPr>
    </w:lvl>
  </w:abstractNum>
  <w:abstractNum w:abstractNumId="2">
    <w:nsid w:val="39BEA4A8"/>
    <w:multiLevelType w:val="singleLevel"/>
    <w:tmpl w:val="39BEA4A8"/>
    <w:lvl w:ilvl="0" w:tentative="0">
      <w:start w:val="4"/>
      <w:numFmt w:val="chineseCounting"/>
      <w:suff w:val="space"/>
      <w:lvlText w:val="第%1部分"/>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M3NmI3ZTE1ZTYyNTljN2NjOTVmNGFiZmYyMDkyMWEifQ=="/>
  </w:docVars>
  <w:rsids>
    <w:rsidRoot w:val="00172A27"/>
    <w:rsid w:val="00172A27"/>
    <w:rsid w:val="00E3062E"/>
    <w:rsid w:val="00F27906"/>
    <w:rsid w:val="010E3361"/>
    <w:rsid w:val="022C0BD6"/>
    <w:rsid w:val="037C3959"/>
    <w:rsid w:val="038737AB"/>
    <w:rsid w:val="0489059A"/>
    <w:rsid w:val="05A70E2C"/>
    <w:rsid w:val="065E7373"/>
    <w:rsid w:val="068B7849"/>
    <w:rsid w:val="086C1E64"/>
    <w:rsid w:val="08A31A84"/>
    <w:rsid w:val="09F56D6B"/>
    <w:rsid w:val="0B02665F"/>
    <w:rsid w:val="0B520700"/>
    <w:rsid w:val="1091005B"/>
    <w:rsid w:val="147017FC"/>
    <w:rsid w:val="15916C1F"/>
    <w:rsid w:val="18634A0D"/>
    <w:rsid w:val="1A1D79B9"/>
    <w:rsid w:val="1AF22409"/>
    <w:rsid w:val="1BCF6BA2"/>
    <w:rsid w:val="1CA2700E"/>
    <w:rsid w:val="1D8B0C78"/>
    <w:rsid w:val="1ECC679E"/>
    <w:rsid w:val="20B96E79"/>
    <w:rsid w:val="20CE72BE"/>
    <w:rsid w:val="20D5277A"/>
    <w:rsid w:val="20E506C4"/>
    <w:rsid w:val="21B91EB8"/>
    <w:rsid w:val="21FF1B06"/>
    <w:rsid w:val="2256467C"/>
    <w:rsid w:val="22CA65BD"/>
    <w:rsid w:val="23C629DC"/>
    <w:rsid w:val="24C72563"/>
    <w:rsid w:val="256264C3"/>
    <w:rsid w:val="260C2535"/>
    <w:rsid w:val="2660352B"/>
    <w:rsid w:val="287C13F1"/>
    <w:rsid w:val="28FB2AB2"/>
    <w:rsid w:val="296311E1"/>
    <w:rsid w:val="29A66EBC"/>
    <w:rsid w:val="2A375324"/>
    <w:rsid w:val="2AB228A2"/>
    <w:rsid w:val="2E5D6CCE"/>
    <w:rsid w:val="30DF4759"/>
    <w:rsid w:val="318B4283"/>
    <w:rsid w:val="33A76B80"/>
    <w:rsid w:val="33E20D1A"/>
    <w:rsid w:val="350A5D93"/>
    <w:rsid w:val="3669223E"/>
    <w:rsid w:val="366C12FC"/>
    <w:rsid w:val="367C7DE5"/>
    <w:rsid w:val="369452D9"/>
    <w:rsid w:val="37963B88"/>
    <w:rsid w:val="3A111A97"/>
    <w:rsid w:val="3B326211"/>
    <w:rsid w:val="3B341C32"/>
    <w:rsid w:val="3BFC6DCC"/>
    <w:rsid w:val="3C7A6DAB"/>
    <w:rsid w:val="3D904069"/>
    <w:rsid w:val="3FCA23EC"/>
    <w:rsid w:val="41181CC4"/>
    <w:rsid w:val="417D7BEC"/>
    <w:rsid w:val="41942E54"/>
    <w:rsid w:val="424D60E4"/>
    <w:rsid w:val="42970AF7"/>
    <w:rsid w:val="42B85D66"/>
    <w:rsid w:val="42FA4769"/>
    <w:rsid w:val="435E727C"/>
    <w:rsid w:val="43BC1030"/>
    <w:rsid w:val="46995625"/>
    <w:rsid w:val="47964FBE"/>
    <w:rsid w:val="4A1752A2"/>
    <w:rsid w:val="4A366268"/>
    <w:rsid w:val="4A486AFA"/>
    <w:rsid w:val="4B18398F"/>
    <w:rsid w:val="4B462E1C"/>
    <w:rsid w:val="4B552F54"/>
    <w:rsid w:val="4D390DEA"/>
    <w:rsid w:val="4D710324"/>
    <w:rsid w:val="4FB94B81"/>
    <w:rsid w:val="50C46A00"/>
    <w:rsid w:val="52A96680"/>
    <w:rsid w:val="52AC7AB3"/>
    <w:rsid w:val="52B636C5"/>
    <w:rsid w:val="54207C4C"/>
    <w:rsid w:val="544D3043"/>
    <w:rsid w:val="596D661C"/>
    <w:rsid w:val="5A60456C"/>
    <w:rsid w:val="5AEB25C9"/>
    <w:rsid w:val="5B982B09"/>
    <w:rsid w:val="5BF55C4A"/>
    <w:rsid w:val="5D270641"/>
    <w:rsid w:val="5F5027A5"/>
    <w:rsid w:val="5F7E7FBB"/>
    <w:rsid w:val="60071AFB"/>
    <w:rsid w:val="60653A9E"/>
    <w:rsid w:val="619077FA"/>
    <w:rsid w:val="63FB531F"/>
    <w:rsid w:val="6444305A"/>
    <w:rsid w:val="64D47382"/>
    <w:rsid w:val="65631163"/>
    <w:rsid w:val="65706DA4"/>
    <w:rsid w:val="67B000BC"/>
    <w:rsid w:val="6820756E"/>
    <w:rsid w:val="69A157A9"/>
    <w:rsid w:val="6B3B79EC"/>
    <w:rsid w:val="6DF4555B"/>
    <w:rsid w:val="6EAC6681"/>
    <w:rsid w:val="6F094735"/>
    <w:rsid w:val="70F95D93"/>
    <w:rsid w:val="717E2818"/>
    <w:rsid w:val="71840673"/>
    <w:rsid w:val="720C1E51"/>
    <w:rsid w:val="72305CC9"/>
    <w:rsid w:val="73431FE5"/>
    <w:rsid w:val="752060EE"/>
    <w:rsid w:val="755E04F1"/>
    <w:rsid w:val="77632030"/>
    <w:rsid w:val="778B0394"/>
    <w:rsid w:val="7B6D5E4A"/>
    <w:rsid w:val="7D033DB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sz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next w:val="4"/>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22"/>
    <w:rPr>
      <w:b/>
      <w:bCs/>
    </w:rPr>
  </w:style>
  <w:style w:type="character" w:customStyle="1" w:styleId="10">
    <w:name w:val="font11"/>
    <w:basedOn w:val="8"/>
    <w:qFormat/>
    <w:uiPriority w:val="0"/>
    <w:rPr>
      <w:rFonts w:hint="eastAsia" w:ascii="宋体" w:hAnsi="宋体" w:eastAsia="宋体" w:cs="宋体"/>
      <w:b/>
      <w:color w:val="000000"/>
      <w:sz w:val="32"/>
      <w:szCs w:val="32"/>
      <w:u w:val="none"/>
    </w:rPr>
  </w:style>
  <w:style w:type="character" w:customStyle="1" w:styleId="11">
    <w:name w:val="font91"/>
    <w:basedOn w:val="8"/>
    <w:qFormat/>
    <w:uiPriority w:val="0"/>
    <w:rPr>
      <w:rFonts w:hint="eastAsia" w:ascii="宋体" w:hAnsi="宋体" w:eastAsia="宋体" w:cs="宋体"/>
      <w:color w:val="000000"/>
      <w:sz w:val="32"/>
      <w:szCs w:val="32"/>
      <w:u w:val="none"/>
    </w:rPr>
  </w:style>
  <w:style w:type="character" w:customStyle="1" w:styleId="12">
    <w:name w:val="font51"/>
    <w:basedOn w:val="8"/>
    <w:qFormat/>
    <w:uiPriority w:val="0"/>
    <w:rPr>
      <w:rFonts w:hint="eastAsia" w:ascii="宋体" w:hAnsi="宋体" w:eastAsia="宋体" w:cs="宋体"/>
      <w:color w:val="000000"/>
      <w:sz w:val="20"/>
      <w:szCs w:val="20"/>
      <w:u w:val="none"/>
    </w:rPr>
  </w:style>
  <w:style w:type="character" w:customStyle="1" w:styleId="13">
    <w:name w:val="font101"/>
    <w:basedOn w:val="8"/>
    <w:qFormat/>
    <w:uiPriority w:val="0"/>
    <w:rPr>
      <w:rFonts w:hint="eastAsia" w:ascii="宋体" w:hAnsi="宋体" w:eastAsia="宋体" w:cs="宋体"/>
      <w:color w:val="000000"/>
      <w:sz w:val="20"/>
      <w:szCs w:val="20"/>
      <w:u w:val="none"/>
    </w:rPr>
  </w:style>
  <w:style w:type="character" w:customStyle="1" w:styleId="14">
    <w:name w:val="font21"/>
    <w:basedOn w:val="8"/>
    <w:qFormat/>
    <w:uiPriority w:val="0"/>
    <w:rPr>
      <w:rFonts w:hint="eastAsia" w:ascii="宋体" w:hAnsi="宋体" w:eastAsia="宋体" w:cs="宋体"/>
      <w:color w:val="000000"/>
      <w:sz w:val="18"/>
      <w:szCs w:val="18"/>
      <w:u w:val="none"/>
    </w:rPr>
  </w:style>
  <w:style w:type="character" w:customStyle="1" w:styleId="15">
    <w:name w:val="font112"/>
    <w:basedOn w:val="8"/>
    <w:qFormat/>
    <w:uiPriority w:val="0"/>
    <w:rPr>
      <w:rFonts w:hint="eastAsia" w:ascii="宋体" w:hAnsi="宋体" w:eastAsia="宋体" w:cs="宋体"/>
      <w:color w:val="000000"/>
      <w:sz w:val="20"/>
      <w:szCs w:val="20"/>
      <w:u w:val="none"/>
    </w:rPr>
  </w:style>
  <w:style w:type="character" w:customStyle="1" w:styleId="16">
    <w:name w:val="font61"/>
    <w:basedOn w:val="8"/>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hart" Target="charts/chart6.xml"/><Relationship Id="rId8" Type="http://schemas.openxmlformats.org/officeDocument/2006/relationships/chart" Target="charts/chart5.xml"/><Relationship Id="rId7" Type="http://schemas.openxmlformats.org/officeDocument/2006/relationships/chart" Target="charts/chart4.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2.emf"/><Relationship Id="rId13" Type="http://schemas.openxmlformats.org/officeDocument/2006/relationships/oleObject" Target="embeddings/oleObject2.bin"/><Relationship Id="rId12" Type="http://schemas.openxmlformats.org/officeDocument/2006/relationships/image" Target="media/image1.emf"/><Relationship Id="rId11" Type="http://schemas.openxmlformats.org/officeDocument/2006/relationships/oleObject" Target="embeddings/oleObject1.bin"/><Relationship Id="rId10" Type="http://schemas.openxmlformats.org/officeDocument/2006/relationships/chart" Target="charts/chart7.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istrator.QH-20151209PVEF\Desktop\&#26032;&#24314;%20XLSX%20&#24037;&#20316;&#34920;.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QH-20151209PVEF\Desktop\&#26032;&#24314;%20XLSX%20&#24037;&#20316;&#34920;.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QH-20151209PVEF\Desktop\&#26032;&#24314;%20XLSX%20&#24037;&#20316;&#34920;.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Administrator.QH-20151209PVEF\Desktop\&#26032;&#24314;%20XLSX%20&#24037;&#20316;&#34920;.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QH-20151209PVEF\Desktop\&#26032;&#24314;%20XLSX%20&#24037;&#20316;&#34920;.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istrator.QH-20151209PVEF\Desktop\&#26032;&#24314;%20XLSX%20&#24037;&#20316;&#34920;.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Administrator.QH-20151209PVEF\Desktop\&#26032;&#24314;%20XLSX%20&#24037;&#20316;&#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altLang="en-US"/>
              <a:t>政法委人员情况表</a:t>
            </a:r>
            <a:endParaRPr altLang="en-US"/>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val>
            <c:numRef>
              <c:f>'[新建 XLSX 工作表.xlsx]Sheet1'!$A$1:$D$1</c:f>
              <c:numCache>
                <c:formatCode>General</c:formatCode>
                <c:ptCount val="4"/>
                <c:pt idx="0">
                  <c:v>10</c:v>
                </c:pt>
                <c:pt idx="1">
                  <c:v>10</c:v>
                </c:pt>
                <c:pt idx="2">
                  <c:v>8</c:v>
                </c:pt>
                <c:pt idx="3">
                  <c:v>8</c:v>
                </c:pt>
              </c:numCache>
            </c:numRef>
          </c:val>
        </c:ser>
        <c:dLbls>
          <c:showLegendKey val="0"/>
          <c:showVal val="1"/>
          <c:showCatName val="0"/>
          <c:showSerName val="0"/>
          <c:showPercent val="0"/>
          <c:showBubbleSize val="0"/>
        </c:dLbls>
        <c:gapWidth val="219"/>
        <c:overlap val="-27"/>
        <c:axId val="81548416"/>
        <c:axId val="116688768"/>
      </c:barChart>
      <c:catAx>
        <c:axId val="81548416"/>
        <c:scaling>
          <c:orientation val="minMax"/>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ltLang="zh-CN"/>
                  <a:t>  </a:t>
                </a:r>
                <a:r>
                  <a:rPr altLang="en-US"/>
                  <a:t>编制                       行政编制                 实有人员         实有行政人员    </a:t>
                </a:r>
                <a:endParaRPr altLang="en-US"/>
              </a:p>
            </c:rich>
          </c:tx>
          <c:layout>
            <c:manualLayout>
              <c:xMode val="edge"/>
              <c:yMode val="edge"/>
              <c:x val="0.180319444444444"/>
              <c:y val="0.87662037037037"/>
            </c:manualLayout>
          </c:layout>
          <c:overlay val="0"/>
          <c:spPr>
            <a:noFill/>
            <a:ln>
              <a:noFill/>
            </a:ln>
            <a:effectLst/>
          </c:spPr>
        </c:title>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16688768"/>
        <c:crosses val="autoZero"/>
        <c:auto val="1"/>
        <c:lblAlgn val="ctr"/>
        <c:lblOffset val="100"/>
        <c:noMultiLvlLbl val="0"/>
      </c:catAx>
      <c:valAx>
        <c:axId val="11668876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t>人数</a:t>
                </a:r>
              </a:p>
            </c:rich>
          </c:tx>
          <c:layout/>
          <c:overlay val="0"/>
          <c:spPr>
            <a:noFill/>
            <a:ln>
              <a:noFill/>
            </a:ln>
            <a:effectLst/>
          </c:spPr>
        </c:title>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154841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收入支出对比图</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delete val="1"/>
          </c:dLbls>
          <c:val>
            <c:numRef>
              <c:f>'[新建 XLSX 工作表.xlsx]Sheet1'!$A$1:$B$1</c:f>
              <c:numCache>
                <c:formatCode>General</c:formatCode>
                <c:ptCount val="2"/>
                <c:pt idx="0">
                  <c:v>381.29</c:v>
                </c:pt>
                <c:pt idx="1">
                  <c:v>381.29</c:v>
                </c:pt>
              </c:numCache>
            </c:numRef>
          </c:val>
        </c:ser>
        <c:ser>
          <c:idx val="1"/>
          <c:order val="1"/>
          <c:spPr>
            <a:solidFill>
              <a:schemeClr val="accent2"/>
            </a:solidFill>
            <a:ln>
              <a:noFill/>
            </a:ln>
            <a:effectLst/>
          </c:spPr>
          <c:invertIfNegative val="0"/>
          <c:dLbls>
            <c:delete val="1"/>
          </c:dLbls>
          <c:val>
            <c:numRef>
              <c:f>'[新建 XLSX 工作表.xlsx]Sheet1'!$A$2:$B$2</c:f>
              <c:numCache>
                <c:formatCode>General</c:formatCode>
                <c:ptCount val="2"/>
                <c:pt idx="0">
                  <c:v>447.19</c:v>
                </c:pt>
                <c:pt idx="1">
                  <c:v>443.19</c:v>
                </c:pt>
              </c:numCache>
            </c:numRef>
          </c:val>
        </c:ser>
        <c:dLbls>
          <c:showLegendKey val="0"/>
          <c:showVal val="1"/>
          <c:showCatName val="0"/>
          <c:showSerName val="0"/>
          <c:showPercent val="0"/>
          <c:showBubbleSize val="0"/>
        </c:dLbls>
        <c:gapWidth val="150"/>
        <c:axId val="120427648"/>
        <c:axId val="120511488"/>
      </c:barChart>
      <c:catAx>
        <c:axId val="120427648"/>
        <c:scaling>
          <c:orientation val="minMax"/>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ltLang="zh-CN"/>
                  <a:t>2018</a:t>
                </a:r>
                <a:r>
                  <a:rPr altLang="en-US"/>
                  <a:t>年收入   </a:t>
                </a:r>
                <a:r>
                  <a:rPr lang="en-US" altLang="zh-CN"/>
                  <a:t>2019</a:t>
                </a:r>
                <a:r>
                  <a:rPr altLang="en-US"/>
                  <a:t>年收入  </a:t>
                </a:r>
                <a:r>
                  <a:rPr lang="en-US" altLang="zh-CN"/>
                  <a:t>2018</a:t>
                </a:r>
                <a:r>
                  <a:rPr altLang="en-US"/>
                  <a:t>年支出  </a:t>
                </a:r>
                <a:r>
                  <a:rPr lang="en-US" altLang="zh-CN"/>
                  <a:t>2019</a:t>
                </a:r>
                <a:r>
                  <a:rPr altLang="en-US"/>
                  <a:t>年支出</a:t>
                </a:r>
                <a:endParaRPr lang="en-US" altLang="zh-CN"/>
              </a:p>
            </c:rich>
          </c:tx>
          <c:layout>
            <c:manualLayout>
              <c:xMode val="edge"/>
              <c:yMode val="edge"/>
              <c:x val="0.184486111111111"/>
              <c:y val="0.81412037037037"/>
            </c:manualLayout>
          </c:layout>
          <c:overlay val="0"/>
          <c:spPr>
            <a:noFill/>
            <a:ln>
              <a:noFill/>
            </a:ln>
            <a:effectLst/>
          </c:spPr>
        </c:title>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20511488"/>
        <c:crosses val="autoZero"/>
        <c:auto val="1"/>
        <c:lblAlgn val="ctr"/>
        <c:lblOffset val="100"/>
        <c:noMultiLvlLbl val="0"/>
      </c:catAx>
      <c:valAx>
        <c:axId val="12051148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t>金额：万元</a:t>
                </a:r>
              </a:p>
            </c:rich>
          </c:tx>
          <c:layout/>
          <c:overlay val="0"/>
          <c:spPr>
            <a:noFill/>
            <a:ln>
              <a:noFill/>
            </a:ln>
            <a:effectLst/>
          </c:spPr>
        </c:title>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20427648"/>
        <c:crosses val="autoZero"/>
        <c:crossBetween val="between"/>
      </c:valAx>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政法委收入情况表</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delete val="1"/>
          </c:dLbls>
          <c:val>
            <c:numRef>
              <c:f>'[新建 XLSX 工作表.xlsx]Sheet1'!$A$1:$B$1</c:f>
              <c:numCache>
                <c:formatCode>General</c:formatCode>
                <c:ptCount val="2"/>
              </c:numCache>
            </c:numRef>
          </c:val>
        </c:ser>
        <c:ser>
          <c:idx val="1"/>
          <c:order val="1"/>
          <c:spPr>
            <a:solidFill>
              <a:schemeClr val="accent2"/>
            </a:solidFill>
            <a:ln>
              <a:noFill/>
            </a:ln>
            <a:effectLst/>
          </c:spPr>
          <c:invertIfNegative val="0"/>
          <c:dLbls>
            <c:delete val="1"/>
          </c:dLbls>
          <c:val>
            <c:numRef>
              <c:f>'[新建 XLSX 工作表.xlsx]Sheet1'!$A$2:$B$2</c:f>
              <c:numCache>
                <c:formatCode>General</c:formatCode>
                <c:ptCount val="2"/>
                <c:pt idx="0">
                  <c:v>447.19</c:v>
                </c:pt>
                <c:pt idx="1">
                  <c:v>447.19</c:v>
                </c:pt>
              </c:numCache>
            </c:numRef>
          </c:val>
        </c:ser>
        <c:dLbls>
          <c:showLegendKey val="0"/>
          <c:showVal val="1"/>
          <c:showCatName val="0"/>
          <c:showSerName val="0"/>
          <c:showPercent val="0"/>
          <c:showBubbleSize val="0"/>
        </c:dLbls>
        <c:gapWidth val="150"/>
        <c:axId val="120782208"/>
        <c:axId val="129735680"/>
      </c:barChart>
      <c:catAx>
        <c:axId val="120782208"/>
        <c:scaling>
          <c:orientation val="minMax"/>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altLang="en-US"/>
                  <a:t>本年收入                                      财政拨款</a:t>
                </a:r>
                <a:endParaRPr lang="en-US" altLang="zh-CN"/>
              </a:p>
            </c:rich>
          </c:tx>
          <c:layout>
            <c:manualLayout>
              <c:xMode val="edge"/>
              <c:yMode val="edge"/>
              <c:x val="0.330319444444444"/>
              <c:y val="0.803703703703704"/>
            </c:manualLayout>
          </c:layout>
          <c:overlay val="0"/>
          <c:spPr>
            <a:noFill/>
            <a:ln>
              <a:noFill/>
            </a:ln>
            <a:effectLst/>
          </c:spPr>
        </c:title>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29735680"/>
        <c:crosses val="autoZero"/>
        <c:auto val="1"/>
        <c:lblAlgn val="ctr"/>
        <c:lblOffset val="100"/>
        <c:noMultiLvlLbl val="0"/>
      </c:catAx>
      <c:valAx>
        <c:axId val="12973568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t>金额：万元</a:t>
                </a:r>
              </a:p>
            </c:rich>
          </c:tx>
          <c:layout/>
          <c:overlay val="0"/>
          <c:spPr>
            <a:noFill/>
            <a:ln>
              <a:noFill/>
            </a:ln>
            <a:effectLst/>
          </c:spPr>
        </c:title>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20782208"/>
        <c:crosses val="autoZero"/>
        <c:crossBetween val="between"/>
      </c:valAx>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政法委支出情况表</a:t>
            </a:r>
          </a:p>
          <a:p>
            <a:pPr defTabSz="914400">
              <a:defRPr lang="zh-CN" sz="1400" b="0" i="0" u="none" strike="noStrike" kern="1200" spc="0" baseline="0">
                <a:solidFill>
                  <a:schemeClr val="tx1">
                    <a:lumMod val="65000"/>
                    <a:lumOff val="35000"/>
                  </a:schemeClr>
                </a:solidFill>
                <a:latin typeface="+mn-lt"/>
                <a:ea typeface="+mn-ea"/>
                <a:cs typeface="+mn-cs"/>
              </a:defRPr>
            </a:pPr>
            <a:r>
              <a:rPr sz="1000"/>
              <a:t>黄色：项目支出   蓝色：基本支出</a:t>
            </a:r>
            <a:endParaRPr sz="1000"/>
          </a:p>
        </c:rich>
      </c:tx>
      <c:layout>
        <c:manualLayout>
          <c:xMode val="edge"/>
          <c:yMode val="edge"/>
          <c:x val="0.237138955702545"/>
          <c:y val="0.00945477466120391"/>
        </c:manualLayout>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{"项目支部"}</c:f>
              <c:strCache>
                <c:ptCount val="1"/>
                <c:pt idx="0">
                  <c:v>项目支部</c:v>
                </c:pt>
              </c:strCache>
            </c:strRef>
          </c:cat>
          <c:val>
            <c:numRef>
              <c:f>'[新建 XLSX 工作表.xlsx]Sheet1'!$A$2:$B$2</c:f>
              <c:numCache>
                <c:formatCode>General</c:formatCode>
                <c:ptCount val="2"/>
                <c:pt idx="0">
                  <c:v>194.91</c:v>
                </c:pt>
                <c:pt idx="1">
                  <c:v>248.28</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财政拨款收入支出对比图</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delete val="1"/>
          </c:dLbls>
          <c:val>
            <c:numRef>
              <c:f>'[新建 XLSX 工作表.xlsx]Sheet1'!$A$1:$B$1</c:f>
              <c:numCache>
                <c:formatCode>General</c:formatCode>
                <c:ptCount val="2"/>
                <c:pt idx="0">
                  <c:v>381.29</c:v>
                </c:pt>
                <c:pt idx="1">
                  <c:v>381.29</c:v>
                </c:pt>
              </c:numCache>
            </c:numRef>
          </c:val>
        </c:ser>
        <c:ser>
          <c:idx val="1"/>
          <c:order val="1"/>
          <c:spPr>
            <a:solidFill>
              <a:schemeClr val="accent2"/>
            </a:solidFill>
            <a:ln>
              <a:noFill/>
            </a:ln>
            <a:effectLst/>
          </c:spPr>
          <c:invertIfNegative val="0"/>
          <c:dLbls>
            <c:delete val="1"/>
          </c:dLbls>
          <c:val>
            <c:numRef>
              <c:f>'[新建 XLSX 工作表.xlsx]Sheet1'!$A$2:$B$2</c:f>
              <c:numCache>
                <c:formatCode>General</c:formatCode>
                <c:ptCount val="2"/>
                <c:pt idx="0">
                  <c:v>447.19</c:v>
                </c:pt>
                <c:pt idx="1">
                  <c:v>443.19</c:v>
                </c:pt>
              </c:numCache>
            </c:numRef>
          </c:val>
        </c:ser>
        <c:dLbls>
          <c:showLegendKey val="0"/>
          <c:showVal val="1"/>
          <c:showCatName val="0"/>
          <c:showSerName val="0"/>
          <c:showPercent val="0"/>
          <c:showBubbleSize val="0"/>
        </c:dLbls>
        <c:gapWidth val="150"/>
        <c:axId val="186789248"/>
        <c:axId val="186795520"/>
      </c:barChart>
      <c:catAx>
        <c:axId val="186789248"/>
        <c:scaling>
          <c:orientation val="minMax"/>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ltLang="zh-CN"/>
                  <a:t>2018</a:t>
                </a:r>
                <a:r>
                  <a:rPr altLang="en-US"/>
                  <a:t>年收入   </a:t>
                </a:r>
                <a:r>
                  <a:rPr lang="en-US" altLang="zh-CN"/>
                  <a:t>2019</a:t>
                </a:r>
                <a:r>
                  <a:rPr altLang="en-US"/>
                  <a:t>年收入  </a:t>
                </a:r>
                <a:r>
                  <a:rPr lang="en-US" altLang="zh-CN"/>
                  <a:t>2018</a:t>
                </a:r>
                <a:r>
                  <a:rPr altLang="en-US"/>
                  <a:t>年支出  </a:t>
                </a:r>
                <a:r>
                  <a:rPr lang="en-US" altLang="zh-CN"/>
                  <a:t>2019</a:t>
                </a:r>
                <a:r>
                  <a:rPr altLang="en-US"/>
                  <a:t>年支出</a:t>
                </a:r>
                <a:endParaRPr lang="en-US" altLang="zh-CN"/>
              </a:p>
            </c:rich>
          </c:tx>
          <c:layout>
            <c:manualLayout>
              <c:xMode val="edge"/>
              <c:yMode val="edge"/>
              <c:x val="0.184486111111111"/>
              <c:y val="0.81412037037037"/>
            </c:manualLayout>
          </c:layout>
          <c:overlay val="0"/>
          <c:spPr>
            <a:noFill/>
            <a:ln>
              <a:noFill/>
            </a:ln>
            <a:effectLst/>
          </c:spPr>
        </c:title>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86795520"/>
        <c:crosses val="autoZero"/>
        <c:auto val="1"/>
        <c:lblAlgn val="ctr"/>
        <c:lblOffset val="100"/>
        <c:noMultiLvlLbl val="0"/>
      </c:catAx>
      <c:valAx>
        <c:axId val="18679552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t>金额：万元</a:t>
                </a:r>
              </a:p>
            </c:rich>
          </c:tx>
          <c:layout/>
          <c:overlay val="0"/>
          <c:spPr>
            <a:noFill/>
            <a:ln>
              <a:noFill/>
            </a:ln>
            <a:effectLst/>
          </c:spPr>
        </c:title>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86789248"/>
        <c:crosses val="autoZero"/>
        <c:crossBetween val="between"/>
      </c:valAx>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财政拨款支出对比图</a:t>
            </a:r>
          </a:p>
        </c:rich>
      </c:tx>
      <c:layout>
        <c:manualLayout>
          <c:xMode val="edge"/>
          <c:yMode val="edge"/>
          <c:x val="0.306846733668342"/>
          <c:y val="0.0695128626163109"/>
        </c:manualLayout>
      </c:layout>
      <c:overlay val="0"/>
      <c:spPr>
        <a:noFill/>
        <a:ln>
          <a:noFill/>
        </a:ln>
        <a:effectLst/>
      </c:spPr>
    </c:title>
    <c:autoTitleDeleted val="0"/>
    <c:plotArea>
      <c:layout/>
      <c:barChart>
        <c:barDir val="col"/>
        <c:grouping val="clustered"/>
        <c:varyColors val="0"/>
        <c:ser>
          <c:idx val="1"/>
          <c:order val="0"/>
          <c:spPr>
            <a:solidFill>
              <a:schemeClr val="accent2"/>
            </a:solidFill>
            <a:ln>
              <a:noFill/>
            </a:ln>
            <a:effectLst/>
          </c:spPr>
          <c:invertIfNegative val="0"/>
          <c:dLbls>
            <c:delete val="1"/>
          </c:dLbls>
          <c:val>
            <c:numRef>
              <c:f>'[新建 XLSX 工作表.xlsx]Sheet1'!$A$2:$B$2</c:f>
              <c:numCache>
                <c:formatCode>General</c:formatCode>
                <c:ptCount val="2"/>
                <c:pt idx="0">
                  <c:v>447.19</c:v>
                </c:pt>
                <c:pt idx="1">
                  <c:v>443.19</c:v>
                </c:pt>
              </c:numCache>
            </c:numRef>
          </c:val>
        </c:ser>
        <c:dLbls>
          <c:showLegendKey val="0"/>
          <c:showVal val="1"/>
          <c:showCatName val="0"/>
          <c:showSerName val="0"/>
          <c:showPercent val="0"/>
          <c:showBubbleSize val="0"/>
        </c:dLbls>
        <c:gapWidth val="150"/>
        <c:axId val="36744576"/>
        <c:axId val="59061760"/>
      </c:barChart>
      <c:catAx>
        <c:axId val="36744576"/>
        <c:scaling>
          <c:orientation val="minMax"/>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ltLang="zh-CN"/>
                  <a:t>              2019</a:t>
                </a:r>
                <a:r>
                  <a:rPr altLang="en-US"/>
                  <a:t>年支出                </a:t>
                </a:r>
                <a:r>
                  <a:rPr lang="en-US" altLang="zh-CN"/>
                  <a:t>2018</a:t>
                </a:r>
                <a:r>
                  <a:rPr altLang="en-US"/>
                  <a:t>年支出</a:t>
                </a:r>
                <a:endParaRPr lang="en-US" altLang="zh-CN"/>
              </a:p>
            </c:rich>
          </c:tx>
          <c:layout>
            <c:manualLayout>
              <c:xMode val="edge"/>
              <c:yMode val="edge"/>
              <c:x val="0.184486111111111"/>
              <c:y val="0.81412037037037"/>
            </c:manualLayout>
          </c:layout>
          <c:overlay val="0"/>
          <c:spPr>
            <a:noFill/>
            <a:ln>
              <a:noFill/>
            </a:ln>
            <a:effectLst/>
          </c:spPr>
        </c:title>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9061760"/>
        <c:crosses val="autoZero"/>
        <c:auto val="1"/>
        <c:lblAlgn val="ctr"/>
        <c:lblOffset val="100"/>
        <c:noMultiLvlLbl val="0"/>
      </c:catAx>
      <c:valAx>
        <c:axId val="5906176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t>金额：万元</a:t>
                </a:r>
              </a:p>
            </c:rich>
          </c:tx>
          <c:layout/>
          <c:overlay val="0"/>
          <c:spPr>
            <a:noFill/>
            <a:ln>
              <a:noFill/>
            </a:ln>
            <a:effectLst/>
          </c:spPr>
        </c:title>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6744576"/>
        <c:crosses val="autoZero"/>
        <c:crossBetween val="between"/>
      </c:valAx>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政法委三公经费财政拨款支出示意图</a:t>
            </a:r>
          </a:p>
          <a:p>
            <a:pPr defTabSz="914400">
              <a:defRPr lang="zh-CN" sz="1400" b="0" i="0" u="none" strike="noStrike" kern="1200" spc="0" baseline="0">
                <a:solidFill>
                  <a:schemeClr val="tx1">
                    <a:lumMod val="65000"/>
                    <a:lumOff val="35000"/>
                  </a:schemeClr>
                </a:solidFill>
                <a:latin typeface="+mn-lt"/>
                <a:ea typeface="+mn-ea"/>
                <a:cs typeface="+mn-cs"/>
              </a:defRPr>
            </a:pPr>
          </a:p>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sz="1100"/>
              <a:t>1</a:t>
            </a:r>
            <a:r>
              <a:rPr altLang="en-US" sz="1100"/>
              <a:t>：因公出国（境）支出</a:t>
            </a:r>
            <a:endParaRPr altLang="en-US" sz="1100"/>
          </a:p>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sz="1100"/>
              <a:t>2</a:t>
            </a:r>
            <a:r>
              <a:rPr altLang="en-US" sz="1100"/>
              <a:t>：公务用车购置费支出</a:t>
            </a:r>
            <a:endParaRPr altLang="en-US" sz="1100"/>
          </a:p>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sz="1100"/>
              <a:t>3</a:t>
            </a:r>
            <a:r>
              <a:rPr altLang="en-US" sz="1100"/>
              <a:t>：公务用车运行维护费</a:t>
            </a:r>
            <a:endParaRPr altLang="en-US" sz="1100"/>
          </a:p>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sz="1100"/>
              <a:t>4</a:t>
            </a:r>
            <a:r>
              <a:rPr altLang="en-US" sz="1100"/>
              <a:t>：公务接待费支出</a:t>
            </a:r>
            <a:endParaRPr lang="en-US" altLang="zh-CN" sz="1100"/>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elete val="1"/>
          </c:dLbls>
          <c:val>
            <c:numRef>
              <c:f>'[新建 XLSX 工作表.xlsx]Sheet1'!$A$2:$D$2</c:f>
              <c:numCache>
                <c:formatCode>General</c:formatCode>
                <c:ptCount val="4"/>
                <c:pt idx="0">
                  <c:v>0</c:v>
                </c:pt>
                <c:pt idx="1">
                  <c:v>0</c:v>
                </c:pt>
                <c:pt idx="2">
                  <c:v>0</c:v>
                </c:pt>
                <c:pt idx="3">
                  <c:v>0.33</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withinLinearReversed" id="21">
  <a:schemeClr val="accent1"/>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9164</Words>
  <Characters>4205</Characters>
  <Lines>35</Lines>
  <Paragraphs>26</Paragraphs>
  <TotalTime>5</TotalTime>
  <ScaleCrop>false</ScaleCrop>
  <LinksUpToDate>false</LinksUpToDate>
  <CharactersWithSpaces>13343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2020-09-09T06:15:00Z</dcterms:created>
  <dc:creator>lenovo</dc:creator>
  <cp:lastModifiedBy>zhouqin</cp:lastModifiedBy>
  <cp:lastPrinted>2020-10-23T06:53:00Z</cp:lastPrinted>
  <dcterms:modified xsi:type="dcterms:W3CDTF">2024-01-19T07:36:53Z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50C7F15C16D94D55A7A86B5DBC2BF37E_12</vt:lpwstr>
  </property>
</Properties>
</file>