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ind w:firstLine="1320" w:firstLineChars="300"/>
        <w:jc w:val="both"/>
        <w:rPr>
          <w:rStyle w:val="7"/>
          <w:rFonts w:hint="eastAsia" w:ascii="方正小标宋简体" w:hAnsi="方正小标宋简体" w:eastAsia="方正小标宋简体" w:cs="方正小标宋简体"/>
          <w:b w:val="0"/>
          <w:bCs w:val="0"/>
          <w:sz w:val="44"/>
          <w:szCs w:val="44"/>
          <w:lang w:eastAsia="zh-CN"/>
        </w:rPr>
      </w:pPr>
      <w:r>
        <w:rPr>
          <w:rStyle w:val="7"/>
          <w:rFonts w:hint="eastAsia" w:ascii="方正小标宋简体" w:hAnsi="方正小标宋简体" w:eastAsia="方正小标宋简体" w:cs="方正小标宋简体"/>
          <w:b w:val="0"/>
          <w:bCs w:val="0"/>
          <w:sz w:val="44"/>
          <w:szCs w:val="44"/>
          <w:lang w:eastAsia="zh-CN"/>
        </w:rPr>
        <w:t>西安市阎良区发展改革和经济局</w:t>
      </w:r>
    </w:p>
    <w:p>
      <w:pPr>
        <w:pStyle w:val="4"/>
        <w:shd w:val="clear" w:color="auto" w:fill="FFFFFF"/>
        <w:spacing w:before="0" w:beforeAutospacing="0" w:after="0" w:afterAutospacing="0" w:line="520" w:lineRule="exact"/>
        <w:jc w:val="center"/>
        <w:rPr>
          <w:rStyle w:val="7"/>
          <w:rFonts w:ascii="方正小标宋简体" w:hAnsi="方正小标宋简体" w:eastAsia="方正小标宋简体" w:cs="方正小标宋简体"/>
          <w:b w:val="0"/>
          <w:bCs w:val="0"/>
          <w:color w:val="000000"/>
          <w:sz w:val="44"/>
          <w:szCs w:val="44"/>
        </w:rPr>
      </w:pPr>
      <w:r>
        <w:rPr>
          <w:rStyle w:val="7"/>
          <w:rFonts w:ascii="方正小标宋简体" w:hAnsi="方正小标宋简体" w:eastAsia="方正小标宋简体" w:cs="方正小标宋简体"/>
          <w:b w:val="0"/>
          <w:bCs w:val="0"/>
          <w:color w:val="000000"/>
          <w:sz w:val="44"/>
          <w:szCs w:val="44"/>
        </w:rPr>
        <w:t>2017</w:t>
      </w:r>
      <w:r>
        <w:rPr>
          <w:rStyle w:val="7"/>
          <w:rFonts w:hint="eastAsia" w:ascii="方正小标宋简体" w:hAnsi="方正小标宋简体" w:eastAsia="方正小标宋简体" w:cs="方正小标宋简体"/>
          <w:b w:val="0"/>
          <w:bCs w:val="0"/>
          <w:color w:val="000000"/>
          <w:sz w:val="44"/>
          <w:szCs w:val="44"/>
        </w:rPr>
        <w:t>年度部门决算说明</w:t>
      </w:r>
    </w:p>
    <w:p>
      <w:pPr>
        <w:pStyle w:val="4"/>
        <w:shd w:val="clear" w:color="auto" w:fill="FFFFFF"/>
        <w:spacing w:before="0" w:beforeAutospacing="0" w:after="0" w:afterAutospacing="0" w:line="520" w:lineRule="exact"/>
        <w:jc w:val="center"/>
        <w:rPr>
          <w:rStyle w:val="7"/>
          <w:rFonts w:ascii="华文仿宋" w:hAnsi="华文仿宋" w:eastAsia="华文仿宋" w:cs="华文仿宋"/>
          <w:b w:val="0"/>
          <w:bCs w:val="0"/>
          <w:color w:val="000000"/>
          <w:sz w:val="44"/>
          <w:szCs w:val="44"/>
        </w:rPr>
      </w:pPr>
    </w:p>
    <w:p>
      <w:pPr>
        <w:pStyle w:val="4"/>
        <w:numPr>
          <w:ilvl w:val="0"/>
          <w:numId w:val="1"/>
        </w:numPr>
        <w:shd w:val="clear" w:color="auto" w:fill="FFFFFF"/>
        <w:spacing w:before="0" w:beforeAutospacing="0" w:after="0" w:afterAutospacing="0" w:line="560" w:lineRule="exact"/>
        <w:ind w:firstLine="640" w:firstLineChars="200"/>
        <w:rPr>
          <w:rFonts w:hint="eastAsia" w:ascii="黑体" w:hAnsi="仿宋_GB2312" w:eastAsia="黑体" w:cs="仿宋_GB2312"/>
          <w:bCs/>
          <w:szCs w:val="32"/>
        </w:rPr>
      </w:pPr>
      <w:r>
        <w:rPr>
          <w:rFonts w:hint="eastAsia" w:ascii="黑体" w:hAnsi="黑体" w:eastAsia="黑体" w:cs="黑体"/>
          <w:color w:val="000000"/>
          <w:sz w:val="32"/>
          <w:szCs w:val="32"/>
        </w:rPr>
        <w:t>部门主要职责</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拟订全区国民经济和社会发展战略、中长期规划和年度计划并组织实施；研究提出总量平衡、发展速度和结构调整的调控目标及措施建议，衔接、平衡各主要行业的行业规划；研究拟订全区人口发展战略、规划职责；编制国民经济动员应急保障预案；组织实施国民经济动员有关工作；受区政府委托向区人大提交全区经济和社会发展计划报告。</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2.贯彻落实国家、省、市有关西部大开发和丝绸之路经济带建设的战略目标和工作部署；组织研究西部大开发中我区的发展目标、工作任务及总体规划并组织实施；研究拟订我区丝绸之路经济带建设、渭北工业区中长期发展规划和工作计划。</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3.负责监测全区宏观经济和社会发展态势，承担预测预警和信息引导的责任；组织开展本区宏观经济运行、总量平衡、经济安全和产业安全等，提出宏观调控政策建议；负责调解经济运行，协调解决经济运行中的有关问题；承担组织重要物资的紧急调度职责。</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4.承担指导推进和综合协调全区经济体制改革的责任。</w:t>
      </w:r>
      <w:r>
        <w:rPr>
          <w:rFonts w:ascii="仿宋_GB2312" w:hAnsi="仿宋" w:eastAsia="仿宋_GB2312"/>
          <w:szCs w:val="32"/>
        </w:rPr>
        <w:t>负责经济体制改革和对外开放的研究工作;</w:t>
      </w:r>
      <w:r>
        <w:rPr>
          <w:rFonts w:hint="eastAsia" w:ascii="仿宋_GB2312" w:hAnsi="仿宋" w:eastAsia="仿宋_GB2312"/>
          <w:szCs w:val="32"/>
        </w:rPr>
        <w:t>组织拟订综合性经济体制改革方案，会同有关部门搞好重要专项经济体制改革之间的衔接，指导经济体制改革试点工作。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5.承担规划全区重大建设项目和生产力布局责任。拟定全区固定资产投资总规模和投资结构的调控目标、政策及措施；衔接平衡需要安排政府投资和涉及重大建设项目的专项规划；安排区财政性建设资金；按规定权限，负责重大建设项目、外商投资项目和重大内外资项目的审批、核准、备案；负责工业固定资产投资项目备案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6.提出深化投资体制改革和修订投资核准目录的建议;参与下达城市维护建设项目投资计划和有关行业发展规划编制工作;指导和监督固定资产投资贷款、外国政府贷款、国际金融组织贷款建设项目和资金的使用;组织开展特重大自然灾害恢复重建规划编制，协调有关重大问题;组织重大建设项目稽察;指导工程咨询业发展;指导和协调全区招投标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7.</w:t>
      </w:r>
      <w:r>
        <w:rPr>
          <w:rFonts w:ascii="仿宋_GB2312" w:hAnsi="仿宋" w:eastAsia="仿宋_GB2312"/>
          <w:szCs w:val="32"/>
        </w:rPr>
        <w:t>负责经济结构战略性调整;组织拟订综合性产业政策，协调第一、二、三产业发展并衔接平衡相关发展规划和政策措施，做好与国民经济和社会发展规划的衔接平衡;</w:t>
      </w:r>
      <w:r>
        <w:rPr>
          <w:rFonts w:hint="eastAsia" w:ascii="仿宋_GB2312" w:hAnsi="仿宋" w:eastAsia="仿宋_GB2312"/>
          <w:szCs w:val="32"/>
        </w:rPr>
        <w:t>承担振兴装备制造业组织协调的责任；</w:t>
      </w:r>
      <w:r>
        <w:rPr>
          <w:rFonts w:ascii="仿宋_GB2312" w:hAnsi="仿宋" w:eastAsia="仿宋_GB2312"/>
          <w:szCs w:val="32"/>
        </w:rPr>
        <w:t>负责综合交通运输体系发展规划与国民经济和社会发展规划的衔接平衡;协调农业和农村经济社会发展的重大问题;会同有关部门拟订服务业发展战略和政策措施;参与拟订高技术产业技术进步、产业发展战略和规划政策。</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8.</w:t>
      </w:r>
      <w:r>
        <w:rPr>
          <w:rFonts w:ascii="仿宋_GB2312" w:hAnsi="仿宋" w:eastAsia="仿宋_GB2312"/>
          <w:szCs w:val="32"/>
        </w:rPr>
        <w:t>承担组织编制全</w:t>
      </w:r>
      <w:r>
        <w:rPr>
          <w:rFonts w:hint="eastAsia" w:ascii="仿宋_GB2312" w:hAnsi="仿宋" w:eastAsia="仿宋_GB2312"/>
          <w:szCs w:val="32"/>
        </w:rPr>
        <w:t>区</w:t>
      </w:r>
      <w:r>
        <w:rPr>
          <w:rFonts w:ascii="仿宋_GB2312" w:hAnsi="仿宋" w:eastAsia="仿宋_GB2312"/>
          <w:szCs w:val="32"/>
        </w:rPr>
        <w:t>主体功能区规划、协调实施和监测评估的责任。拟订区域协调发展战略、规划和政策，编制主体功能区规划、城镇化规划;综合协调开发区规划和发展工作。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9.</w:t>
      </w:r>
      <w:r>
        <w:rPr>
          <w:rFonts w:ascii="仿宋_GB2312" w:hAnsi="仿宋" w:eastAsia="仿宋_GB2312"/>
          <w:szCs w:val="32"/>
        </w:rPr>
        <w:t>负责现代物流业统筹发展，拟订现代物流业发展战略、规划和产业政策，协调物流业发展的重大问题;参与提出促进商贸领域发展的政策建议;执行国家战略物资储备规划，会同有关部门管理粮食、化肥和蔬菜等仓储设施建设，制定储备方案;提出直接融资发展战略和政策建议;牵头推进全</w:t>
      </w:r>
      <w:r>
        <w:rPr>
          <w:rFonts w:hint="eastAsia" w:ascii="仿宋_GB2312" w:hAnsi="仿宋" w:eastAsia="仿宋_GB2312"/>
          <w:szCs w:val="32"/>
        </w:rPr>
        <w:t>区</w:t>
      </w:r>
      <w:r>
        <w:rPr>
          <w:rFonts w:ascii="仿宋_GB2312" w:hAnsi="仿宋" w:eastAsia="仿宋_GB2312"/>
          <w:szCs w:val="32"/>
        </w:rPr>
        <w:t>产业投资基金和创业投资发展及制度建设。</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10.</w:t>
      </w:r>
      <w:r>
        <w:rPr>
          <w:rFonts w:ascii="仿宋_GB2312" w:hAnsi="仿宋" w:eastAsia="仿宋_GB2312"/>
          <w:szCs w:val="32"/>
        </w:rPr>
        <w:t>负责社会发展与国民经济发展的政策衔接，组织拟订社会发展战略、总体规划和年度计划;研究拟订人口发展战略、规划，负责城区人口迁入的相关工作;参与拟订科学技术、教育、文化、卫生、民政等发展政策，推进社会事业建设;统筹推进基本公共服务体系建设，研究提出促进就业、调整收入分配、完善社会保障与经济协调发展的政策建议，协调社会事业发展和改革中的重大问题。</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11.负责节能减排综合协调和</w:t>
      </w:r>
      <w:r>
        <w:rPr>
          <w:rFonts w:ascii="仿宋_GB2312" w:hAnsi="仿宋" w:eastAsia="仿宋_GB2312"/>
          <w:szCs w:val="32"/>
        </w:rPr>
        <w:t>能源行业管理</w:t>
      </w:r>
      <w:r>
        <w:rPr>
          <w:rFonts w:hint="eastAsia" w:ascii="仿宋_GB2312" w:hAnsi="仿宋" w:eastAsia="仿宋_GB2312"/>
          <w:szCs w:val="32"/>
        </w:rPr>
        <w:t>工作。研究拟订全区资源综合利用、</w:t>
      </w:r>
      <w:r>
        <w:rPr>
          <w:rFonts w:ascii="仿宋_GB2312" w:hAnsi="仿宋" w:eastAsia="仿宋_GB2312"/>
          <w:szCs w:val="32"/>
        </w:rPr>
        <w:t>能源行业发展</w:t>
      </w:r>
      <w:r>
        <w:rPr>
          <w:rFonts w:hint="eastAsia" w:ascii="仿宋_GB2312" w:hAnsi="仿宋" w:eastAsia="仿宋_GB2312"/>
          <w:szCs w:val="32"/>
        </w:rPr>
        <w:t>规划；参与编制生态建设规划，提出资源节约综合利用建议，协调生态建设和资源节约综合利用的重大问题；组织协调循环经济和环保产业工作；指导工业能源节约和资源综合利用工作；组织协调相关示范工程和新产品、新技术、新设备、新材料的推广应用；负责部分固定资产投资项目节能评估和审查工作。</w:t>
      </w:r>
      <w:r>
        <w:rPr>
          <w:rFonts w:ascii="仿宋_GB2312" w:hAnsi="仿宋" w:eastAsia="仿宋_GB2312"/>
          <w:szCs w:val="32"/>
        </w:rPr>
        <w:t>加强能源监督管理，监测和分析能源行业、能源安全的发展状况，规划重大项目布局;推进能源市场建设，维护能源市场秩序;</w:t>
      </w:r>
      <w:r>
        <w:rPr>
          <w:rFonts w:hint="eastAsia" w:ascii="仿宋_GB2312" w:hAnsi="仿宋" w:eastAsia="仿宋_GB2312"/>
          <w:szCs w:val="32"/>
        </w:rPr>
        <w:t xml:space="preserve"> 负责电力管理职责，协调全区电力事业发展，承担电力行政执法监察责任。</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12.贯彻执行有关工业经济运行、中小企业发展、国内外贸易、经济合作、招商引资、信息化、信用工作方面的法律法规和方针政策；拟订全区工业、中小企业、商贸服务业、信息化发展规划、年度计划并组织实施；提出优化工业布局、产业结构调整的政策建议；负责全区工业经济运行态势的监测和结构调控等宏观管理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13.会同有关部门加快中小企业服务体系建设，为中小企业提供政策咨询服务，协调减轻中小企业负担。引导、培育、催生、扶持中小企业；指导中小企业技术创新、技术进步和技术改造工作；指导区属工业及工业园区发展工作；负责中小企业技能培训及对外合作与交流。</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14.承担牵头协调整顿和规范市场经济秩序工作的责任；负责全区流通体制改革，推进流通产业结构调整；指导流通业、商贸服务业发展，提出促进商贸业发展的政策建议；推进流通标准化和连锁经营、商业特许经营、物流配送、电子商务等现代流通方式的发展。</w:t>
      </w:r>
      <w:r>
        <w:rPr>
          <w:rFonts w:ascii="仿宋_GB2312" w:hAnsi="仿宋" w:eastAsia="仿宋_GB2312"/>
          <w:szCs w:val="32"/>
        </w:rPr>
        <w:t>培育完善城乡市场体系，指导批发市场、城市商业网点和商业体系建设，组织实施农村现代流通网络工程。</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15.负责全区工业、商贸服务业（含餐饮业、住宿业）的行业管理工作；指导社区商业发展和流通领域节能降耗工作；负责农村商业网点和农产品流通体系建设；按照有关规定对成品油流通进行监督管理；负责废旧金属、煤炭、旧机动车辆交易市场管理；负责盐业行政管理；负责国家有关拍卖、典当、租赁等行业条例的实施和监督检查。</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16.承担组织实施重要消费品市场调控和重要生产资料流通管理的责任；建立健全生活必需品市场供应应急管理机制，监测分析市场运行、商品供求状况，调查分析商品价格信息，进行预警和信息引导；会同有关部门组织节日市场供应和商品安排；负责肉类、食糖、米面、食用油、蔬菜等重要消费品储备管理和市场调控工作；</w:t>
      </w:r>
      <w:r>
        <w:rPr>
          <w:rFonts w:ascii="仿宋_GB2312" w:hAnsi="仿宋" w:eastAsia="仿宋_GB2312"/>
          <w:szCs w:val="32"/>
        </w:rPr>
        <w:t>负责研究拟订药品流通行业发展的规划和政策，推进药品流通行业结构调整，指导药品流通企业改革，推动现代药品流通方式的发展。</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17.负责全区招商引资和</w:t>
      </w:r>
      <w:r>
        <w:rPr>
          <w:rFonts w:ascii="仿宋_GB2312" w:hAnsi="仿宋" w:eastAsia="仿宋_GB2312"/>
          <w:szCs w:val="32"/>
        </w:rPr>
        <w:t>对外经济合作</w:t>
      </w:r>
      <w:r>
        <w:rPr>
          <w:rFonts w:hint="eastAsia" w:ascii="仿宋_GB2312" w:hAnsi="仿宋" w:eastAsia="仿宋_GB2312"/>
          <w:szCs w:val="32"/>
        </w:rPr>
        <w:t>工作，提出招商引资工作的建议；</w:t>
      </w:r>
      <w:r>
        <w:rPr>
          <w:rFonts w:ascii="仿宋_GB2312" w:hAnsi="仿宋" w:eastAsia="仿宋_GB2312"/>
          <w:szCs w:val="32"/>
        </w:rPr>
        <w:t>加强对我</w:t>
      </w:r>
      <w:r>
        <w:rPr>
          <w:rFonts w:hint="eastAsia" w:ascii="仿宋_GB2312" w:hAnsi="仿宋" w:eastAsia="仿宋_GB2312"/>
          <w:szCs w:val="32"/>
        </w:rPr>
        <w:t>区</w:t>
      </w:r>
      <w:r>
        <w:rPr>
          <w:rFonts w:ascii="仿宋_GB2312" w:hAnsi="仿宋" w:eastAsia="仿宋_GB2312"/>
          <w:szCs w:val="32"/>
        </w:rPr>
        <w:t>企业“走出去”的规划指导</w:t>
      </w:r>
      <w:r>
        <w:rPr>
          <w:rFonts w:hint="eastAsia" w:ascii="仿宋_GB2312" w:hAnsi="仿宋" w:eastAsia="仿宋_GB2312"/>
          <w:szCs w:val="32"/>
        </w:rPr>
        <w:t>；拟订全区招商引资、区域经济合作的政策措施；负责与国内外地区间的经济技术交流合作事宜，组织、协调全区涉外会展和各项招商活动；指导全区外商投资工作；负责审核外商投资企业的设立、外商投资项目的合同、章程及其变更。</w:t>
      </w:r>
      <w:r>
        <w:rPr>
          <w:rFonts w:ascii="仿宋_GB2312" w:hAnsi="仿宋" w:eastAsia="仿宋_GB2312"/>
          <w:szCs w:val="32"/>
        </w:rPr>
        <w:t>负责外派劳务和境外就业人员的权益保护工作。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18.统筹推进全区信息化工作，推进全区信息化和工业化融合；协调信息化建设的重大问题;指导协调信息化、电子商务推广以及社会和经济各领域的信息化应用推进工作;指导监督政府部门、重点行业的重要信息系统与基础信息网络的安全保障工作。开展社会信用体系建设工作，监督和管理信用服务机构、行业协会和信用服务市场，推动和规范信用服务业发展;组织开展社会信用体系建设的宣传和培训工作。</w:t>
      </w:r>
    </w:p>
    <w:p>
      <w:pPr>
        <w:tabs>
          <w:tab w:val="left" w:pos="3420"/>
        </w:tabs>
        <w:adjustRightInd w:val="0"/>
        <w:snapToGrid w:val="0"/>
        <w:spacing w:line="560" w:lineRule="exact"/>
        <w:ind w:firstLine="640" w:firstLineChars="200"/>
        <w:rPr>
          <w:rFonts w:ascii="仿宋_GB2312" w:hAnsi="仿宋" w:eastAsia="仿宋_GB2312"/>
          <w:szCs w:val="32"/>
        </w:rPr>
      </w:pPr>
      <w:r>
        <w:rPr>
          <w:rFonts w:hint="eastAsia" w:ascii="仿宋_GB2312" w:hAnsi="仿宋" w:eastAsia="仿宋_GB2312"/>
          <w:szCs w:val="32"/>
        </w:rPr>
        <w:t>19.承担本区行政区域内石油天然气管道（城镇燃气管道除外）保护职责。协调处理石油天然气管道保护的重大问题，指导、监督有关单位履行石油天然气管道保护义务，依法查处危害石油天然气管道安全的违法行为。</w:t>
      </w:r>
    </w:p>
    <w:p>
      <w:pPr>
        <w:tabs>
          <w:tab w:val="left" w:pos="3420"/>
        </w:tabs>
        <w:adjustRightInd w:val="0"/>
        <w:snapToGrid w:val="0"/>
        <w:spacing w:line="560" w:lineRule="exact"/>
        <w:ind w:firstLine="640" w:firstLineChars="200"/>
        <w:rPr>
          <w:rFonts w:hint="eastAsia" w:ascii="黑体" w:hAnsi="黑体" w:eastAsia="黑体" w:cs="黑体"/>
          <w:color w:val="000000"/>
          <w:sz w:val="32"/>
          <w:szCs w:val="32"/>
        </w:rPr>
      </w:pPr>
      <w:r>
        <w:rPr>
          <w:rFonts w:hint="eastAsia" w:ascii="仿宋_GB2312" w:hAnsi="仿宋" w:eastAsia="仿宋_GB2312"/>
          <w:szCs w:val="32"/>
        </w:rPr>
        <w:t>20.承办区政府交办的其他事项。</w:t>
      </w:r>
    </w:p>
    <w:p>
      <w:pPr>
        <w:pStyle w:val="4"/>
        <w:shd w:val="clear" w:color="auto" w:fill="FFFFFF"/>
        <w:spacing w:before="0" w:beforeAutospacing="0" w:after="0" w:afterAutospacing="0" w:line="560" w:lineRule="exact"/>
        <w:ind w:firstLine="640" w:firstLineChars="200"/>
        <w:rPr>
          <w:rStyle w:val="7"/>
          <w:rFonts w:ascii="黑体" w:hAnsi="黑体" w:eastAsia="黑体" w:cs="黑体"/>
          <w:b w:val="0"/>
          <w:bCs w:val="0"/>
          <w:color w:val="000000"/>
          <w:sz w:val="32"/>
          <w:szCs w:val="32"/>
        </w:rPr>
      </w:pPr>
      <w:r>
        <w:rPr>
          <w:rStyle w:val="7"/>
          <w:rFonts w:hint="eastAsia" w:ascii="黑体" w:hAnsi="黑体" w:eastAsia="黑体" w:cs="黑体"/>
          <w:b w:val="0"/>
          <w:bCs w:val="0"/>
          <w:color w:val="000000"/>
          <w:sz w:val="32"/>
          <w:szCs w:val="32"/>
        </w:rPr>
        <w:t>二、部门决算单位构成</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从决算单位构成看，本部门的部门决算包括部门本级（机关）决算和所属事业单位决算。</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纳入本部门</w:t>
      </w:r>
      <w:r>
        <w:rPr>
          <w:rFonts w:ascii="仿宋_GB2312" w:hAnsi="华文仿宋" w:eastAsia="仿宋_GB2312" w:cs="华文仿宋"/>
          <w:szCs w:val="32"/>
        </w:rPr>
        <w:t>2017</w:t>
      </w:r>
      <w:r>
        <w:rPr>
          <w:rFonts w:hint="eastAsia" w:ascii="仿宋_GB2312" w:hAnsi="华文仿宋" w:eastAsia="仿宋_GB2312" w:cs="华文仿宋"/>
          <w:szCs w:val="32"/>
        </w:rPr>
        <w:t>年部门决算编制范围的二级决算单位共有</w:t>
      </w:r>
      <w:r>
        <w:rPr>
          <w:rFonts w:hint="eastAsia" w:ascii="仿宋_GB2312" w:hAnsi="华文仿宋" w:eastAsia="仿宋_GB2312" w:cs="华文仿宋"/>
          <w:szCs w:val="32"/>
          <w:lang w:val="en-US" w:eastAsia="zh-CN"/>
        </w:rPr>
        <w:t>1</w:t>
      </w:r>
      <w:r>
        <w:rPr>
          <w:rFonts w:hint="eastAsia" w:ascii="仿宋_GB2312" w:hAnsi="华文仿宋" w:eastAsia="仿宋_GB2312" w:cs="华文仿宋"/>
          <w:szCs w:val="32"/>
        </w:rPr>
        <w:t>个，包括：</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序号</w:t>
            </w:r>
          </w:p>
        </w:tc>
        <w:tc>
          <w:tcPr>
            <w:tcW w:w="6923"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1</w:t>
            </w:r>
          </w:p>
        </w:tc>
        <w:tc>
          <w:tcPr>
            <w:tcW w:w="6923"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lang w:eastAsia="zh-CN"/>
              </w:rPr>
              <w:t>西安市阎良区发展改革和经济局</w:t>
            </w:r>
            <w:r>
              <w:rPr>
                <w:rFonts w:hint="eastAsia" w:ascii="仿宋_GB2312" w:hAnsi="华文仿宋" w:eastAsia="仿宋_GB2312" w:cs="华文仿宋"/>
                <w:szCs w:val="32"/>
              </w:rPr>
              <w:t>（机关）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2</w:t>
            </w:r>
          </w:p>
        </w:tc>
        <w:tc>
          <w:tcPr>
            <w:tcW w:w="6923" w:type="dxa"/>
          </w:tcPr>
          <w:p>
            <w:pPr>
              <w:tabs>
                <w:tab w:val="left" w:pos="604"/>
              </w:tabs>
              <w:spacing w:line="560" w:lineRule="exact"/>
              <w:rPr>
                <w:rFonts w:hint="eastAsia" w:ascii="仿宋_GB2312" w:hAnsi="华文仿宋" w:eastAsia="仿宋_GB2312" w:cs="华文仿宋"/>
                <w:szCs w:val="32"/>
                <w:lang w:eastAsia="zh-CN"/>
              </w:rPr>
            </w:pPr>
            <w:r>
              <w:rPr>
                <w:rFonts w:hint="eastAsia" w:ascii="仿宋_GB2312" w:hAnsi="华文仿宋" w:eastAsia="仿宋_GB2312" w:cs="华文仿宋"/>
                <w:szCs w:val="32"/>
                <w:lang w:eastAsia="zh-CN"/>
              </w:rPr>
              <w:tab/>
            </w:r>
            <w:r>
              <w:rPr>
                <w:rFonts w:hint="eastAsia" w:ascii="仿宋_GB2312" w:hAnsi="华文仿宋" w:eastAsia="仿宋_GB2312" w:cs="华文仿宋"/>
                <w:szCs w:val="32"/>
                <w:lang w:eastAsia="zh-CN"/>
              </w:rPr>
              <w:t>阎良区重点项目服务中心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3</w:t>
            </w:r>
          </w:p>
        </w:tc>
        <w:tc>
          <w:tcPr>
            <w:tcW w:w="6923" w:type="dxa"/>
          </w:tcPr>
          <w:p>
            <w:pPr>
              <w:spacing w:line="560" w:lineRule="exact"/>
              <w:rPr>
                <w:rFonts w:hint="eastAsia" w:ascii="仿宋_GB2312" w:hAnsi="华文仿宋" w:eastAsia="仿宋_GB2312" w:cs="华文仿宋"/>
                <w:szCs w:val="32"/>
                <w:lang w:val="en-US" w:eastAsia="zh-CN"/>
              </w:rPr>
            </w:pPr>
            <w:r>
              <w:rPr>
                <w:rFonts w:hint="eastAsia" w:ascii="仿宋_GB2312" w:hAnsi="华文仿宋" w:eastAsia="仿宋_GB2312" w:cs="华文仿宋"/>
                <w:szCs w:val="32"/>
                <w:lang w:val="en-US" w:eastAsia="zh-CN"/>
              </w:rPr>
              <w:t xml:space="preserve">   </w:t>
            </w:r>
          </w:p>
        </w:tc>
      </w:tr>
    </w:tbl>
    <w:p>
      <w:pPr>
        <w:pStyle w:val="4"/>
        <w:shd w:val="clear" w:color="auto" w:fill="FFFFFF"/>
        <w:spacing w:before="0" w:beforeAutospacing="0" w:after="0" w:afterAutospacing="0" w:line="560" w:lineRule="exact"/>
        <w:ind w:firstLine="640" w:firstLineChars="200"/>
        <w:rPr>
          <w:rStyle w:val="7"/>
          <w:rFonts w:ascii="黑体" w:hAnsi="黑体" w:eastAsia="黑体" w:cs="黑体"/>
          <w:b w:val="0"/>
          <w:color w:val="000000"/>
          <w:sz w:val="32"/>
          <w:szCs w:val="32"/>
        </w:rPr>
      </w:pPr>
      <w:r>
        <w:rPr>
          <w:rStyle w:val="7"/>
          <w:rFonts w:hint="eastAsia" w:ascii="黑体" w:eastAsia="黑体" w:cs="黑体"/>
          <w:b w:val="0"/>
          <w:color w:val="000000"/>
          <w:sz w:val="32"/>
          <w:szCs w:val="32"/>
        </w:rPr>
        <w:t>三、部门</w:t>
      </w:r>
      <w:r>
        <w:rPr>
          <w:rStyle w:val="7"/>
          <w:rFonts w:hint="eastAsia" w:ascii="黑体" w:eastAsia="黑体" w:cs="黑体"/>
          <w:b w:val="0"/>
          <w:color w:val="000000"/>
          <w:sz w:val="32"/>
          <w:szCs w:val="32"/>
          <w:lang w:eastAsia="zh-CN"/>
        </w:rPr>
        <w:t>机构设置及</w:t>
      </w:r>
      <w:r>
        <w:rPr>
          <w:rStyle w:val="7"/>
          <w:rFonts w:hint="eastAsia" w:ascii="黑体" w:eastAsia="黑体" w:cs="黑体"/>
          <w:b w:val="0"/>
          <w:color w:val="000000"/>
          <w:sz w:val="32"/>
          <w:szCs w:val="32"/>
        </w:rPr>
        <w:t>人员情况说明</w:t>
      </w:r>
    </w:p>
    <w:p>
      <w:pPr>
        <w:ind w:firstLine="640"/>
        <w:rPr>
          <w:rFonts w:hint="eastAsia" w:ascii="仿宋_GB2312" w:hAnsi="华文仿宋" w:eastAsia="仿宋_GB2312" w:cs="华文仿宋"/>
          <w:szCs w:val="32"/>
        </w:rPr>
      </w:pPr>
      <w:r>
        <w:rPr>
          <w:rFonts w:hint="eastAsia" w:ascii="仿宋_GB2312" w:hAnsi="仿宋_GB2312" w:eastAsia="仿宋_GB2312" w:cs="仿宋_GB2312"/>
          <w:szCs w:val="32"/>
          <w:lang w:eastAsia="zh-CN"/>
        </w:rPr>
        <w:t>阎良区发展改革经济局内设五个科室，分别是：综合科、办公室、投资科、工业科、商务科、招商科。</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szCs w:val="32"/>
        </w:rPr>
        <w:t>2017</w:t>
      </w:r>
      <w:r>
        <w:rPr>
          <w:rFonts w:hint="eastAsia" w:ascii="仿宋_GB2312" w:hAnsi="华文仿宋" w:eastAsia="仿宋_GB2312" w:cs="华文仿宋"/>
          <w:szCs w:val="32"/>
        </w:rPr>
        <w:t>年底，本部门人员编制</w:t>
      </w:r>
      <w:r>
        <w:rPr>
          <w:rFonts w:hint="eastAsia" w:ascii="仿宋_GB2312" w:hAnsi="华文仿宋" w:eastAsia="仿宋_GB2312" w:cs="华文仿宋"/>
          <w:szCs w:val="32"/>
          <w:lang w:val="en-US" w:eastAsia="zh-CN"/>
        </w:rPr>
        <w:t>36</w:t>
      </w:r>
      <w:r>
        <w:rPr>
          <w:rFonts w:hint="eastAsia" w:ascii="仿宋_GB2312" w:hAnsi="华文仿宋" w:eastAsia="仿宋_GB2312" w:cs="华文仿宋"/>
          <w:szCs w:val="32"/>
        </w:rPr>
        <w:t>人，其中行政编制</w:t>
      </w:r>
      <w:r>
        <w:rPr>
          <w:rFonts w:hint="eastAsia" w:ascii="仿宋_GB2312" w:hAnsi="华文仿宋" w:eastAsia="仿宋_GB2312" w:cs="华文仿宋"/>
          <w:szCs w:val="32"/>
          <w:lang w:val="en-US" w:eastAsia="zh-CN"/>
        </w:rPr>
        <w:t>20</w:t>
      </w:r>
      <w:r>
        <w:rPr>
          <w:rFonts w:hint="eastAsia" w:ascii="仿宋_GB2312" w:hAnsi="华文仿宋" w:eastAsia="仿宋_GB2312" w:cs="华文仿宋"/>
          <w:szCs w:val="32"/>
        </w:rPr>
        <w:t>人、事业编制</w:t>
      </w:r>
      <w:r>
        <w:rPr>
          <w:rFonts w:hint="eastAsia" w:ascii="仿宋_GB2312" w:hAnsi="华文仿宋" w:eastAsia="仿宋_GB2312" w:cs="华文仿宋"/>
          <w:szCs w:val="32"/>
          <w:lang w:val="en-US" w:eastAsia="zh-CN"/>
        </w:rPr>
        <w:t>16</w:t>
      </w:r>
      <w:r>
        <w:rPr>
          <w:rFonts w:hint="eastAsia" w:ascii="仿宋_GB2312" w:hAnsi="华文仿宋" w:eastAsia="仿宋_GB2312" w:cs="华文仿宋"/>
          <w:szCs w:val="32"/>
        </w:rPr>
        <w:t>人；实有人员</w:t>
      </w:r>
      <w:r>
        <w:rPr>
          <w:rFonts w:hint="eastAsia" w:ascii="仿宋_GB2312" w:hAnsi="华文仿宋" w:eastAsia="仿宋_GB2312" w:cs="华文仿宋"/>
          <w:szCs w:val="32"/>
          <w:lang w:val="en-US" w:eastAsia="zh-CN"/>
        </w:rPr>
        <w:t>34</w:t>
      </w:r>
      <w:r>
        <w:rPr>
          <w:rFonts w:hint="eastAsia" w:ascii="仿宋_GB2312" w:hAnsi="华文仿宋" w:eastAsia="仿宋_GB2312" w:cs="华文仿宋"/>
          <w:szCs w:val="32"/>
        </w:rPr>
        <w:t>人，其中行政</w:t>
      </w:r>
      <w:r>
        <w:rPr>
          <w:rFonts w:hint="eastAsia" w:ascii="仿宋_GB2312" w:hAnsi="华文仿宋" w:eastAsia="仿宋_GB2312" w:cs="华文仿宋"/>
          <w:szCs w:val="32"/>
          <w:lang w:val="en-US" w:eastAsia="zh-CN"/>
        </w:rPr>
        <w:t>20</w:t>
      </w:r>
      <w:r>
        <w:rPr>
          <w:rFonts w:hint="eastAsia" w:ascii="仿宋_GB2312" w:hAnsi="华文仿宋" w:eastAsia="仿宋_GB2312" w:cs="华文仿宋"/>
          <w:szCs w:val="32"/>
        </w:rPr>
        <w:t>人、事业</w:t>
      </w:r>
      <w:r>
        <w:rPr>
          <w:rFonts w:hint="eastAsia" w:ascii="仿宋_GB2312" w:hAnsi="华文仿宋" w:eastAsia="仿宋_GB2312" w:cs="华文仿宋"/>
          <w:szCs w:val="32"/>
          <w:lang w:val="en-US" w:eastAsia="zh-CN"/>
        </w:rPr>
        <w:t>14</w:t>
      </w:r>
      <w:r>
        <w:rPr>
          <w:rFonts w:hint="eastAsia" w:ascii="仿宋_GB2312" w:hAnsi="华文仿宋" w:eastAsia="仿宋_GB2312" w:cs="华文仿宋"/>
          <w:szCs w:val="32"/>
        </w:rPr>
        <w:t>人。单位管理的离退休人员</w:t>
      </w:r>
      <w:r>
        <w:rPr>
          <w:rFonts w:hint="eastAsia" w:ascii="仿宋_GB2312" w:hAnsi="华文仿宋" w:eastAsia="仿宋_GB2312" w:cs="华文仿宋"/>
          <w:szCs w:val="32"/>
          <w:lang w:val="en-US" w:eastAsia="zh-CN"/>
        </w:rPr>
        <w:t>16</w:t>
      </w:r>
      <w:r>
        <w:rPr>
          <w:rFonts w:hint="eastAsia" w:ascii="仿宋_GB2312" w:hAnsi="华文仿宋" w:eastAsia="仿宋_GB2312" w:cs="华文仿宋"/>
          <w:szCs w:val="32"/>
        </w:rPr>
        <w:t>人。</w:t>
      </w:r>
    </w:p>
    <w:p>
      <w:pPr>
        <w:spacing w:line="560" w:lineRule="exact"/>
        <w:ind w:firstLine="643" w:firstLineChars="200"/>
        <w:rPr>
          <w:rFonts w:hint="eastAsia" w:ascii="仿宋_GB2312" w:hAnsi="华文仿宋" w:eastAsia="仿宋_GB2312" w:cs="华文仿宋"/>
          <w:b/>
          <w:bCs/>
          <w:szCs w:val="32"/>
        </w:rPr>
      </w:pPr>
      <w:r>
        <w:rPr>
          <w:rFonts w:hint="eastAsia" w:ascii="仿宋_GB2312" w:hAnsi="华文仿宋" w:eastAsia="仿宋_GB2312" w:cs="华文仿宋"/>
          <w:b/>
          <w:bCs/>
          <w:szCs w:val="32"/>
        </w:rPr>
        <w:t>四、2017年度部门工作完成情况</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一、主要工作实绩</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（一）聚焦一号工程，招商引资实现突破</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 xml:space="preserve"> 1、重大项目引进取得重大突破。</w:t>
      </w:r>
      <w:r>
        <w:rPr>
          <w:rFonts w:hint="eastAsia" w:ascii="仿宋_GB2312" w:hAnsi="华文仿宋" w:eastAsia="仿宋_GB2312" w:cs="华文仿宋"/>
          <w:szCs w:val="32"/>
          <w:lang w:eastAsia="zh-CN"/>
        </w:rPr>
        <w:t>引进</w:t>
      </w:r>
      <w:r>
        <w:rPr>
          <w:rFonts w:hint="eastAsia" w:ascii="仿宋_GB2312" w:hAnsi="华文仿宋" w:eastAsia="仿宋_GB2312" w:cs="华文仿宋"/>
          <w:szCs w:val="32"/>
          <w:lang w:val="en-US" w:eastAsia="zh-CN"/>
        </w:rPr>
        <w:t>3个过50亿元项目。</w:t>
      </w:r>
      <w:r>
        <w:rPr>
          <w:rFonts w:hint="eastAsia" w:ascii="仿宋_GB2312" w:hAnsi="华文仿宋" w:eastAsia="仿宋_GB2312" w:cs="华文仿宋"/>
          <w:szCs w:val="32"/>
        </w:rPr>
        <w:t>一是汉能移动能源产业园项目正式签约。该项目计划总投资约66.5亿元，总占地约430亩，预计达产年产出超过50亿元</w:t>
      </w:r>
      <w:r>
        <w:rPr>
          <w:rFonts w:hint="eastAsia" w:ascii="仿宋_GB2312" w:hAnsi="华文仿宋" w:eastAsia="仿宋_GB2312" w:cs="华文仿宋"/>
          <w:szCs w:val="32"/>
          <w:lang w:eastAsia="zh-CN"/>
        </w:rPr>
        <w:t>，预计年税收</w:t>
      </w:r>
      <w:r>
        <w:rPr>
          <w:rFonts w:hint="eastAsia" w:ascii="仿宋_GB2312" w:hAnsi="华文仿宋" w:eastAsia="仿宋_GB2312" w:cs="华文仿宋"/>
          <w:szCs w:val="32"/>
          <w:lang w:val="en-US" w:eastAsia="zh-CN"/>
        </w:rPr>
        <w:t>8亿元</w:t>
      </w:r>
      <w:r>
        <w:rPr>
          <w:rFonts w:hint="eastAsia" w:ascii="仿宋_GB2312" w:hAnsi="华文仿宋" w:eastAsia="仿宋_GB2312" w:cs="华文仿宋"/>
          <w:szCs w:val="32"/>
        </w:rPr>
        <w:t>。该项目被市委市政府要求实现 “阎良速度”“汉能效率”。目前该项目各项前期工作顺利开展，预计今年3月正式开工建设，打造汉能新材料产业园。二是宝佛麟新能源汽车项目正式签约。该项目计划总投资120亿元，形成年产30万辆电动汽车生产能力及新能源汽车产业配套体系，年产值750亿元</w:t>
      </w:r>
      <w:r>
        <w:rPr>
          <w:rFonts w:hint="eastAsia" w:ascii="仿宋_GB2312" w:hAnsi="华文仿宋" w:eastAsia="仿宋_GB2312" w:cs="华文仿宋"/>
          <w:szCs w:val="32"/>
          <w:lang w:eastAsia="zh-CN"/>
        </w:rPr>
        <w:t>，预计年税收</w:t>
      </w:r>
      <w:r>
        <w:rPr>
          <w:rFonts w:hint="eastAsia" w:ascii="仿宋_GB2312" w:hAnsi="华文仿宋" w:eastAsia="仿宋_GB2312" w:cs="华文仿宋"/>
          <w:szCs w:val="32"/>
          <w:lang w:val="en-US" w:eastAsia="zh-CN"/>
        </w:rPr>
        <w:t>75亿元</w:t>
      </w:r>
      <w:r>
        <w:rPr>
          <w:rFonts w:hint="eastAsia" w:ascii="仿宋_GB2312" w:hAnsi="华文仿宋" w:eastAsia="仿宋_GB2312" w:cs="华文仿宋"/>
          <w:szCs w:val="32"/>
        </w:rPr>
        <w:t>。目前，该项目已经完成了项目一期用地1200亩的用途规划调整工作，预留项目2017年用地指标500亩，城市规划完成调整。</w:t>
      </w:r>
      <w:r>
        <w:rPr>
          <w:rFonts w:hint="eastAsia" w:ascii="仿宋_GB2312" w:hAnsi="华文仿宋" w:eastAsia="仿宋_GB2312" w:cs="华文仿宋"/>
          <w:szCs w:val="32"/>
          <w:lang w:eastAsia="zh-CN"/>
        </w:rPr>
        <w:t>以上两个项目是我区建国以来引进的投资体量最大、吸附作用最强的工业项目，备受关注。我区工业产业被群众总结为“大汉宝”。</w:t>
      </w:r>
      <w:r>
        <w:rPr>
          <w:rFonts w:hint="eastAsia" w:ascii="仿宋_GB2312" w:hAnsi="华文仿宋" w:eastAsia="仿宋_GB2312" w:cs="华文仿宋"/>
          <w:szCs w:val="32"/>
        </w:rPr>
        <w:t>以上两个项目受到市委、市政府高度重视，主要领导分别会见了项目方负责人，对项目引进给予了大力支持。目前，我区按照市委、市政府领导批示要求，加强与项目方和市级相关部门的对接沟通，加速项目推进，促进项目早日开工建设。</w:t>
      </w:r>
      <w:r>
        <w:rPr>
          <w:rFonts w:hint="eastAsia" w:ascii="仿宋_GB2312" w:hAnsi="华文仿宋" w:eastAsia="仿宋_GB2312" w:cs="华文仿宋"/>
          <w:szCs w:val="32"/>
          <w:lang w:eastAsia="zh-CN"/>
        </w:rPr>
        <w:t>三是引进中铁建工集团投资</w:t>
      </w:r>
      <w:r>
        <w:rPr>
          <w:rFonts w:hint="eastAsia" w:ascii="仿宋_GB2312" w:hAnsi="华文仿宋" w:eastAsia="仿宋_GB2312" w:cs="华文仿宋"/>
          <w:szCs w:val="32"/>
          <w:lang w:val="en-US" w:eastAsia="zh-CN"/>
        </w:rPr>
        <w:t>51.9亿元实施三四七区城改项目，是我区建国以来最大的城改项目。招大引强，与北汽集团、东旭蓝天、东方园林、启迪桑德等公司进行了投资洽谈。</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2、招商引资全面开花取得丰硕成果。</w:t>
      </w:r>
      <w:r>
        <w:rPr>
          <w:rFonts w:hint="eastAsia" w:ascii="仿宋_GB2312" w:hAnsi="华文仿宋" w:eastAsia="仿宋_GB2312" w:cs="华文仿宋"/>
          <w:szCs w:val="32"/>
          <w:lang w:val="zh-CN"/>
        </w:rPr>
        <w:t>实行招商引资“一号工程”、“一把手工程”、一套考核办法、“一票否决”的“四个一”工作机制</w:t>
      </w:r>
      <w:r>
        <w:rPr>
          <w:rFonts w:hint="eastAsia" w:ascii="仿宋_GB2312" w:hAnsi="华文仿宋" w:eastAsia="仿宋_GB2312" w:cs="华文仿宋"/>
          <w:szCs w:val="32"/>
        </w:rPr>
        <w:t>。一是实行领导包抓责任制，由区级领导包抓联系，区发改经济（招商）局牵头，镇街和部门具体负责，协调解决项目落地过程中的困难和问题；二是实行动态跟踪管理制，与项目部门加强沟通联系，不定期跟踪了解项目实施情况，掌握项目进度；三是修改完善了招商引资工作考核办法，将招商引资任务逐项分解细化至各部门。每月对各部门任务进展情况及指标完成情况进行通报，并计入半年、年终考核成绩，凡任务不落实、指标未完成的单位，实行一票否决。</w:t>
      </w:r>
      <w:r>
        <w:rPr>
          <w:rFonts w:hint="eastAsia" w:ascii="仿宋_GB2312" w:hAnsi="华文仿宋" w:eastAsia="仿宋_GB2312" w:cs="华文仿宋"/>
          <w:szCs w:val="32"/>
          <w:lang w:eastAsia="zh-CN"/>
        </w:rPr>
        <w:t>三是扶持招大引强，阎良吸引力逐渐增强，共接待企业来阎良投资考察企业145批次，其中接待考察团50批次，涉及企业326家次，共计818人次，</w:t>
      </w:r>
      <w:r>
        <w:rPr>
          <w:rFonts w:hint="eastAsia" w:ascii="仿宋_GB2312" w:hAnsi="华文仿宋" w:eastAsia="仿宋_GB2312" w:cs="华文仿宋"/>
          <w:szCs w:val="32"/>
        </w:rPr>
        <w:t>招商引资工作取得了丰硕成果，共签</w:t>
      </w:r>
      <w:r>
        <w:rPr>
          <w:rFonts w:hint="eastAsia" w:ascii="仿宋_GB2312" w:hAnsi="华文仿宋" w:eastAsia="仿宋_GB2312" w:cs="华文仿宋"/>
          <w:szCs w:val="32"/>
          <w:lang w:val="en-US" w:eastAsia="zh-CN"/>
        </w:rPr>
        <w:t>订</w:t>
      </w:r>
      <w:r>
        <w:rPr>
          <w:rFonts w:hint="eastAsia" w:ascii="仿宋_GB2312" w:hAnsi="华文仿宋" w:eastAsia="仿宋_GB2312" w:cs="华文仿宋"/>
          <w:szCs w:val="32"/>
        </w:rPr>
        <w:t>合同项目52项，总投资299.19亿元人民币。</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（二）</w:t>
      </w:r>
      <w:r>
        <w:rPr>
          <w:rFonts w:hint="eastAsia" w:ascii="仿宋_GB2312" w:hAnsi="华文仿宋" w:eastAsia="仿宋_GB2312" w:cs="华文仿宋"/>
          <w:szCs w:val="32"/>
          <w:lang w:eastAsia="zh-CN"/>
        </w:rPr>
        <w:t>深化改革</w:t>
      </w:r>
      <w:r>
        <w:rPr>
          <w:rFonts w:hint="eastAsia" w:ascii="仿宋_GB2312" w:hAnsi="华文仿宋" w:eastAsia="仿宋_GB2312" w:cs="华文仿宋"/>
          <w:szCs w:val="32"/>
        </w:rPr>
        <w:t>补短板求发展，抢抓重大发展机遇。</w:t>
      </w:r>
    </w:p>
    <w:p>
      <w:pPr>
        <w:spacing w:line="560" w:lineRule="exact"/>
        <w:ind w:firstLine="640" w:firstLineChars="200"/>
        <w:rPr>
          <w:rFonts w:hint="eastAsia" w:ascii="仿宋_GB2312" w:hAnsi="华文仿宋" w:eastAsia="仿宋_GB2312" w:cs="华文仿宋"/>
          <w:szCs w:val="32"/>
          <w:lang w:val="en-US" w:eastAsia="zh-CN"/>
        </w:rPr>
      </w:pPr>
      <w:r>
        <w:rPr>
          <w:rFonts w:hint="eastAsia" w:ascii="仿宋_GB2312" w:hAnsi="华文仿宋" w:eastAsia="仿宋_GB2312" w:cs="华文仿宋"/>
          <w:szCs w:val="32"/>
          <w:lang w:val="en-US" w:eastAsia="zh-CN"/>
        </w:rPr>
        <w:t>1、全面推进深化改革进程。2017年我局三个深化改革专项小组共承担深化改革任务26项，其中</w:t>
      </w:r>
      <w:r>
        <w:rPr>
          <w:rFonts w:hint="eastAsia" w:ascii="仿宋_GB2312" w:hAnsi="华文仿宋" w:eastAsia="仿宋_GB2312" w:cs="华文仿宋"/>
          <w:szCs w:val="32"/>
        </w:rPr>
        <w:t>军民融合</w:t>
      </w:r>
      <w:r>
        <w:rPr>
          <w:rFonts w:hint="eastAsia" w:ascii="仿宋_GB2312" w:hAnsi="华文仿宋" w:eastAsia="仿宋_GB2312" w:cs="华文仿宋"/>
          <w:szCs w:val="32"/>
          <w:lang w:eastAsia="zh-CN"/>
        </w:rPr>
        <w:t>改革</w:t>
      </w:r>
      <w:r>
        <w:rPr>
          <w:rFonts w:hint="eastAsia" w:ascii="仿宋_GB2312" w:hAnsi="华文仿宋" w:eastAsia="仿宋_GB2312" w:cs="华文仿宋"/>
          <w:szCs w:val="32"/>
        </w:rPr>
        <w:t>专项小组</w:t>
      </w:r>
      <w:r>
        <w:rPr>
          <w:rFonts w:hint="eastAsia" w:ascii="仿宋_GB2312" w:hAnsi="华文仿宋" w:eastAsia="仿宋_GB2312" w:cs="华文仿宋"/>
          <w:szCs w:val="32"/>
          <w:lang w:eastAsia="zh-CN"/>
        </w:rPr>
        <w:t>改革任务</w:t>
      </w:r>
      <w:r>
        <w:rPr>
          <w:rFonts w:hint="eastAsia" w:ascii="仿宋_GB2312" w:hAnsi="华文仿宋" w:eastAsia="仿宋_GB2312" w:cs="华文仿宋"/>
          <w:szCs w:val="32"/>
          <w:lang w:val="en-US" w:eastAsia="zh-CN"/>
        </w:rPr>
        <w:t>5项、</w:t>
      </w:r>
      <w:r>
        <w:rPr>
          <w:rFonts w:hint="eastAsia" w:ascii="仿宋_GB2312" w:hAnsi="华文仿宋" w:eastAsia="仿宋_GB2312" w:cs="华文仿宋"/>
          <w:szCs w:val="32"/>
        </w:rPr>
        <w:t>促进民营经济改革专项小组</w:t>
      </w:r>
      <w:r>
        <w:rPr>
          <w:rFonts w:hint="eastAsia" w:ascii="仿宋_GB2312" w:hAnsi="华文仿宋" w:eastAsia="仿宋_GB2312" w:cs="华文仿宋"/>
          <w:szCs w:val="32"/>
          <w:lang w:eastAsia="zh-CN"/>
        </w:rPr>
        <w:t>改革任务</w:t>
      </w:r>
      <w:r>
        <w:rPr>
          <w:rFonts w:hint="eastAsia" w:ascii="仿宋_GB2312" w:hAnsi="华文仿宋" w:eastAsia="仿宋_GB2312" w:cs="华文仿宋"/>
          <w:szCs w:val="32"/>
          <w:lang w:val="en-US" w:eastAsia="zh-CN"/>
        </w:rPr>
        <w:t>3项、</w:t>
      </w:r>
      <w:r>
        <w:rPr>
          <w:rFonts w:hint="eastAsia" w:ascii="仿宋_GB2312" w:hAnsi="华文仿宋" w:eastAsia="仿宋_GB2312" w:cs="华文仿宋"/>
          <w:szCs w:val="32"/>
          <w:lang w:eastAsia="zh-CN"/>
        </w:rPr>
        <w:t>经济体制改革领导小组改革任务</w:t>
      </w:r>
      <w:r>
        <w:rPr>
          <w:rFonts w:hint="eastAsia" w:ascii="仿宋_GB2312" w:hAnsi="华文仿宋" w:eastAsia="仿宋_GB2312" w:cs="华文仿宋"/>
          <w:szCs w:val="32"/>
          <w:lang w:val="en-US" w:eastAsia="zh-CN"/>
        </w:rPr>
        <w:t>18项，</w:t>
      </w:r>
      <w:r>
        <w:rPr>
          <w:rFonts w:hint="eastAsia" w:ascii="仿宋_GB2312" w:hAnsi="华文仿宋" w:eastAsia="仿宋_GB2312" w:cs="华文仿宋"/>
          <w:szCs w:val="32"/>
        </w:rPr>
        <w:t>起草了《关于成立阎良区军民融合组织机构的意见》</w:t>
      </w:r>
      <w:r>
        <w:rPr>
          <w:rFonts w:hint="eastAsia" w:ascii="仿宋_GB2312" w:hAnsi="华文仿宋" w:eastAsia="仿宋_GB2312" w:cs="华文仿宋"/>
          <w:szCs w:val="32"/>
          <w:lang w:eastAsia="zh-CN"/>
        </w:rPr>
        <w:t>，</w:t>
      </w:r>
      <w:r>
        <w:rPr>
          <w:rFonts w:hint="eastAsia" w:ascii="仿宋_GB2312" w:hAnsi="华文仿宋" w:eastAsia="仿宋_GB2312" w:cs="华文仿宋"/>
          <w:szCs w:val="32"/>
        </w:rPr>
        <w:t>制定</w:t>
      </w:r>
      <w:r>
        <w:rPr>
          <w:rFonts w:hint="eastAsia" w:ascii="仿宋_GB2312" w:hAnsi="华文仿宋" w:eastAsia="仿宋_GB2312" w:cs="华文仿宋"/>
          <w:szCs w:val="32"/>
          <w:lang w:eastAsia="zh-CN"/>
        </w:rPr>
        <w:t>了</w:t>
      </w:r>
      <w:r>
        <w:rPr>
          <w:rFonts w:hint="eastAsia" w:ascii="仿宋_GB2312" w:hAnsi="华文仿宋" w:eastAsia="仿宋_GB2312" w:cs="华文仿宋"/>
          <w:szCs w:val="32"/>
        </w:rPr>
        <w:t>《关于补齐军民融合短板的工作方案》</w:t>
      </w:r>
      <w:r>
        <w:rPr>
          <w:rFonts w:hint="eastAsia" w:ascii="仿宋_GB2312" w:hAnsi="华文仿宋" w:eastAsia="仿宋_GB2312" w:cs="华文仿宋"/>
          <w:szCs w:val="32"/>
          <w:lang w:eastAsia="zh-CN"/>
        </w:rPr>
        <w:t>，出台了</w:t>
      </w:r>
      <w:r>
        <w:rPr>
          <w:rFonts w:hint="eastAsia" w:ascii="仿宋_GB2312" w:hAnsi="华文仿宋" w:eastAsia="仿宋_GB2312" w:cs="华文仿宋"/>
          <w:szCs w:val="32"/>
        </w:rPr>
        <w:t>《阎良区关于促进民营经济加快发展的若干意见》。</w:t>
      </w:r>
      <w:r>
        <w:rPr>
          <w:rFonts w:hint="eastAsia" w:ascii="仿宋_GB2312" w:hAnsi="华文仿宋" w:eastAsia="仿宋_GB2312" w:cs="华文仿宋"/>
          <w:szCs w:val="32"/>
          <w:lang w:val="en-US" w:eastAsia="zh-CN"/>
        </w:rPr>
        <w:t>3个专项小组深化改革任务均已全面完成。</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持续开展新型城镇化建设。按照中省市推进新型城镇化建设和试点工作要求，我区紧扣人的城镇化这个核心和提高质量这个关键，坚持规划引领、产业支撑、项目带动、环境保障，以工业化带动城镇化、城镇化促进工业化，加快推进产业与城市互动融合发展，新型城镇化综合试点各项工作任务稳步推进。截至1</w:t>
      </w:r>
      <w:r>
        <w:rPr>
          <w:rFonts w:hint="eastAsia" w:ascii="仿宋_GB2312" w:hAnsi="华文仿宋" w:eastAsia="仿宋_GB2312" w:cs="华文仿宋"/>
          <w:szCs w:val="32"/>
          <w:lang w:val="en-US" w:eastAsia="zh-CN"/>
        </w:rPr>
        <w:t>2</w:t>
      </w:r>
      <w:r>
        <w:rPr>
          <w:rFonts w:hint="eastAsia" w:ascii="仿宋_GB2312" w:hAnsi="华文仿宋" w:eastAsia="仿宋_GB2312" w:cs="华文仿宋"/>
          <w:szCs w:val="32"/>
        </w:rPr>
        <w:t>月底，2017年计划实施的45项新型城镇化建设项目，已开工45项（已竣工或完成年度计划任务</w:t>
      </w:r>
      <w:r>
        <w:rPr>
          <w:rFonts w:hint="eastAsia" w:ascii="仿宋_GB2312" w:hAnsi="华文仿宋" w:eastAsia="仿宋_GB2312" w:cs="华文仿宋"/>
          <w:szCs w:val="32"/>
          <w:lang w:val="en-US" w:eastAsia="zh-CN"/>
        </w:rPr>
        <w:t>42</w:t>
      </w:r>
      <w:r>
        <w:rPr>
          <w:rFonts w:hint="eastAsia" w:ascii="仿宋_GB2312" w:hAnsi="华文仿宋" w:eastAsia="仿宋_GB2312" w:cs="华文仿宋"/>
          <w:szCs w:val="32"/>
        </w:rPr>
        <w:t>项,</w:t>
      </w: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项正在推进中）。累计完成投资</w:t>
      </w:r>
      <w:r>
        <w:rPr>
          <w:rFonts w:hint="eastAsia" w:ascii="仿宋_GB2312" w:hAnsi="华文仿宋" w:eastAsia="仿宋_GB2312" w:cs="华文仿宋"/>
          <w:szCs w:val="32"/>
          <w:lang w:val="en-US" w:eastAsia="zh-CN"/>
        </w:rPr>
        <w:t>13.45</w:t>
      </w:r>
      <w:r>
        <w:rPr>
          <w:rFonts w:hint="eastAsia" w:ascii="仿宋_GB2312" w:hAnsi="华文仿宋" w:eastAsia="仿宋_GB2312" w:cs="华文仿宋"/>
          <w:szCs w:val="32"/>
        </w:rPr>
        <w:t>亿元，占当年计划投资12.82亿元的</w:t>
      </w:r>
      <w:r>
        <w:rPr>
          <w:rFonts w:hint="eastAsia" w:ascii="仿宋_GB2312" w:hAnsi="华文仿宋" w:eastAsia="仿宋_GB2312" w:cs="华文仿宋"/>
          <w:szCs w:val="32"/>
          <w:lang w:val="en-US" w:eastAsia="zh-CN"/>
        </w:rPr>
        <w:t>104.93</w:t>
      </w:r>
      <w:r>
        <w:rPr>
          <w:rFonts w:hint="eastAsia" w:ascii="仿宋_GB2312" w:hAnsi="华文仿宋" w:eastAsia="仿宋_GB2312" w:cs="华文仿宋"/>
          <w:szCs w:val="32"/>
        </w:rPr>
        <w:t>%。</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大力促进民营经济发展。为认真落实省市促进民营经济发展会议精神，鼓励、支持和引导我区民营经济加快发展，根据西安市人民政府《关于促进民营经济加快发展的若干意见》（市政发〔2017〕35号）文件精神和区政府主要领导批示精神，我局结合我区实际，先后出台了《阎良区促进民营经济加快发展实施意见》和《阎良区工业补短板实施方案和民营经济补短板实施方案》，有力推进了我区民营经济和工业发展。</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4</w:t>
      </w:r>
      <w:r>
        <w:rPr>
          <w:rFonts w:hint="eastAsia" w:ascii="仿宋_GB2312" w:hAnsi="华文仿宋" w:eastAsia="仿宋_GB2312" w:cs="华文仿宋"/>
          <w:szCs w:val="32"/>
        </w:rPr>
        <w:t>、统筹军民融合建设。开展全区企业统计调研，全面、客观、准确掌握我区军民融合类企业基本情况，引导并培养一批军民融合配套企业，推动军民融合健康发展。目前全区规模以上“民参军”企业数11家，征集中航工业西安飞机设计研究所“2017年军民融合技术（专利）”35项；西安航空学院“2017年军民融合项目”6项，“2017年军民融合技术（专利）转让”197项。2017年6月，制定了《西安市阎良区军民融合改革要点》，明确提出成立阎良区委军民融合专项工作组织机构等事项，统筹协调全区军民融合发展，推进军民融合创新改革工作。依据《中共西安市委、西安市人民政府&lt;关于成立市委军民融合发展委员会和市推进物流发展工作领导小组的通知》市字〔2017〕67号文件精神，结合阎良实际，起草了《关于成立阎良区军民融合组织机构的意见》。积极开展各项推介活动，宣传我区航空工业优势，吸引企业来阎投资。坚持把招商引资作为加快推进军民融合工作的重要抓手，以重大项目为载体，引导军工集团项目落户阎良。</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5、争取项目扶持资金和项目取得重大进展。</w:t>
      </w:r>
      <w:r>
        <w:rPr>
          <w:rFonts w:hint="eastAsia" w:ascii="仿宋_GB2312" w:hAnsi="华文仿宋" w:eastAsia="仿宋_GB2312" w:cs="华文仿宋"/>
          <w:szCs w:val="32"/>
        </w:rPr>
        <w:t>我们密切关注中省市政策动向，深入研究上级投资政策和产业政策，围绕中省市重点支持领域，提前策划储备一批事关全局、打基础、管长远的争取资金重大项目，做深做实做细项目前期工作，全力协调争取上级资金扶持。全年共争取上级专项资金6726万元，其中发改口资金5244万元，工信口资金982万元，商贸口资金500万元。</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（三）服务保障能力全面提升，蓄积经济发展动力。</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1、重点项目进展顺利。</w:t>
      </w:r>
      <w:r>
        <w:rPr>
          <w:rFonts w:hint="eastAsia" w:ascii="仿宋_GB2312" w:hAnsi="华文仿宋" w:eastAsia="仿宋_GB2312" w:cs="华文仿宋"/>
          <w:szCs w:val="32"/>
        </w:rPr>
        <w:t>按照全市统一安排，年内举行了三次重点项目集中开工活动，其中两次设立阎良分会场，参与全市三次集中开工项目共29个，目前已开工28个，已竣工或完成年度投资计划任务12个。贯彻落实重点项目月推进会制度，年内召开了五次项目推进会，协调解决项目建设中的困难和问题。筹办了第四期追赶超越擂台赛项目观摩活动，年内组织了10次以上项目观摩和联合督查等活动。市考市级重点项目共计20个，19个开工建设，开工率95%，累计完成投资20.92亿元，完成年计划投资任务的122.7%。区级重点建设项目81项，已开工72项（已竣工或完成年度计划投资任务70项），开工率88.9%，未开工项目9项。累计完成投资34.59亿元，占当年计划投资31.27亿元的110.6%。惠民实事项目21项，已全部开工或启动实施（已竣工或完成年度计划任务20项），开工率100%。累计完成投资3.59亿元，完成当年计划投资2.72亿元的132%。</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2、认真谋划2018年重点建设项目。</w:t>
      </w:r>
      <w:r>
        <w:rPr>
          <w:rFonts w:hint="eastAsia" w:ascii="仿宋_GB2312" w:hAnsi="华文仿宋" w:eastAsia="仿宋_GB2312" w:cs="华文仿宋"/>
          <w:szCs w:val="32"/>
        </w:rPr>
        <w:t>我区2018年重点建设项目从10月初开始征集，经过区政府常务会、区人大常委会及区委常委会审议。确定区级重点建设项目81个，总投资227.69亿元，2018年计划完成投资102.73亿元，当年计划投资较2017年净增66.97亿元。其中产业类项目增幅较大，安排项目49个，年计划投资83.35亿元，占全年投资任务的81.1%。惠民实事（民生）项目13个，总投资1.83亿元，2018年计划完成投资1.55亿元。前期项目13个，总投资229.35亿元。</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 xml:space="preserve">    </w:t>
      </w:r>
      <w:r>
        <w:rPr>
          <w:rFonts w:hint="eastAsia" w:ascii="仿宋_GB2312" w:hAnsi="华文仿宋" w:eastAsia="仿宋_GB2312" w:cs="华文仿宋"/>
          <w:szCs w:val="32"/>
          <w:lang w:val="en-US" w:eastAsia="zh-CN"/>
        </w:rPr>
        <w:t>3、亲商助企活动重实效，投资环境持续优化。</w:t>
      </w:r>
      <w:r>
        <w:rPr>
          <w:rFonts w:hint="eastAsia" w:ascii="仿宋_GB2312" w:hAnsi="华文仿宋" w:eastAsia="仿宋_GB2312" w:cs="华文仿宋"/>
          <w:szCs w:val="32"/>
        </w:rPr>
        <w:t>今年以来,我区参与市区两级“亲商助企”活动的所有助企干部均能按照市、区亲商助企办公室对活动开展的要求，认认真真深入企业和项目单位，扎扎实实开展服务工作，为企业和项目单位化解难题、搞好服务。主动深入企业，热情助企发展，及时落实全市工作部署，加大活动和政策宣传，及时更新亲商助企干部信息，常态督导检查。105名助企干部累计下企业2650余人次。其中，包抓市级任务的54名助企干部累计入企1380余人次，收集问题35个，分别属A类问题3个，B类问题31个, C类问题1个，35个问题已全部解决，并录入后台（4个新增企业解决问题未录入）。收集区级任务问题16个，其中A类问题1个，B类问题15个。已解决问题11个，A类1个，B类13个，还有2个正在解决。</w:t>
      </w:r>
      <w:r>
        <w:rPr>
          <w:rFonts w:hint="eastAsia" w:ascii="仿宋_GB2312" w:hAnsi="华文仿宋" w:eastAsia="仿宋_GB2312" w:cs="华文仿宋"/>
          <w:szCs w:val="32"/>
          <w:lang w:eastAsia="zh-CN"/>
        </w:rPr>
        <w:t>净增规模以上工业企业</w:t>
      </w:r>
      <w:r>
        <w:rPr>
          <w:rFonts w:hint="eastAsia" w:ascii="仿宋_GB2312" w:hAnsi="华文仿宋" w:eastAsia="仿宋_GB2312" w:cs="华文仿宋"/>
          <w:szCs w:val="32"/>
          <w:lang w:val="en-US" w:eastAsia="zh-CN"/>
        </w:rPr>
        <w:t>3家，净增限额以上商贸企业22家，净增规模以上服务业企业6家，均超额完成年度任务。</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 xml:space="preserve">    </w:t>
      </w:r>
      <w:r>
        <w:rPr>
          <w:rFonts w:hint="eastAsia" w:ascii="仿宋_GB2312" w:hAnsi="华文仿宋" w:eastAsia="仿宋_GB2312" w:cs="华文仿宋"/>
          <w:szCs w:val="32"/>
          <w:lang w:val="en-US" w:eastAsia="zh-CN"/>
        </w:rPr>
        <w:t>4、行政效能革命扎实推进。</w:t>
      </w:r>
      <w:r>
        <w:rPr>
          <w:rFonts w:hint="eastAsia" w:ascii="仿宋_GB2312" w:hAnsi="华文仿宋" w:eastAsia="仿宋_GB2312" w:cs="华文仿宋"/>
          <w:szCs w:val="32"/>
        </w:rPr>
        <w:t>项目审批监管平台全面运行，实现网上受理、网上办结，为企业提供全程优质服务，在全市处于领先水平。全年受理平台办理项目103项，办结103项目，未有一例群众投诉，满意率100%。</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5、特色小镇建设顺利开展。</w:t>
      </w:r>
      <w:r>
        <w:rPr>
          <w:rFonts w:hint="eastAsia" w:ascii="仿宋_GB2312" w:hAnsi="华文仿宋" w:eastAsia="仿宋_GB2312" w:cs="华文仿宋"/>
          <w:szCs w:val="32"/>
        </w:rPr>
        <w:t>2017年我区航空特色科技旅游小镇和武屯羊乳小镇进入2017年西安市第一批特色小镇创建建议名单。为了加快特色小镇建设，起草了《</w:t>
      </w:r>
      <w:bookmarkStart w:id="0" w:name="_Toc470930575"/>
      <w:r>
        <w:rPr>
          <w:rFonts w:hint="eastAsia" w:ascii="仿宋_GB2312" w:hAnsi="华文仿宋" w:eastAsia="仿宋_GB2312" w:cs="华文仿宋"/>
          <w:szCs w:val="32"/>
        </w:rPr>
        <w:t>阎良区加快特色小镇规划建设实施方案</w:t>
      </w:r>
      <w:bookmarkEnd w:id="0"/>
      <w:r>
        <w:rPr>
          <w:rFonts w:hint="eastAsia" w:ascii="仿宋_GB2312" w:hAnsi="华文仿宋" w:eastAsia="仿宋_GB2312" w:cs="华文仿宋"/>
          <w:szCs w:val="32"/>
        </w:rPr>
        <w:t>》</w:t>
      </w:r>
      <w:bookmarkStart w:id="1" w:name="_Toc470930574"/>
      <w:r>
        <w:rPr>
          <w:rFonts w:hint="eastAsia" w:ascii="仿宋_GB2312" w:hAnsi="华文仿宋" w:eastAsia="仿宋_GB2312" w:cs="华文仿宋"/>
          <w:szCs w:val="32"/>
        </w:rPr>
        <w:t>《阎良区人民政府关于加快推进特色小镇规划建设的实施意见》</w:t>
      </w:r>
      <w:bookmarkEnd w:id="1"/>
      <w:r>
        <w:rPr>
          <w:rFonts w:hint="eastAsia" w:ascii="仿宋_GB2312" w:hAnsi="华文仿宋" w:eastAsia="仿宋_GB2312" w:cs="华文仿宋"/>
          <w:szCs w:val="32"/>
        </w:rPr>
        <w:t>。在文件中明确了特色小镇建设工作机构、工作流程和有关规定。目前，武屯羊乳小镇整体规划完成，主要项目万吨智能配方羊乳生产线项目开工建设，褐蘑菇项目顺利开展前期工作。完成投资3.35亿元，完成任务100%。航空特色科技旅游小镇区委区政府正在加大工作力度，选择有实力企业推进建设。</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（四）协调牵总职能发挥充分，重大工作实效开展。</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lang w:val="en-US" w:eastAsia="zh-CN"/>
        </w:rPr>
        <w:t>1、积极组织开展社会信用体系建设工作。</w:t>
      </w:r>
      <w:r>
        <w:rPr>
          <w:rFonts w:hint="eastAsia" w:ascii="仿宋_GB2312" w:hAnsi="华文仿宋" w:eastAsia="仿宋_GB2312" w:cs="华文仿宋"/>
          <w:szCs w:val="32"/>
        </w:rPr>
        <w:t>一是精心安排我区社会信用体系建设工作，指导成员单位公示各类信用信息，有效推进我区政务诚信、商务诚信、社会诚信和司法诚信体系建设，全面促进我区信用信用体系建设工作可持续推进。截</w:t>
      </w:r>
      <w:r>
        <w:rPr>
          <w:rFonts w:hint="eastAsia" w:ascii="仿宋_GB2312" w:hAnsi="华文仿宋" w:eastAsia="仿宋_GB2312" w:cs="华文仿宋"/>
          <w:szCs w:val="32"/>
          <w:lang w:val="en-US" w:eastAsia="zh-CN"/>
        </w:rPr>
        <w:t>至</w:t>
      </w:r>
      <w:r>
        <w:rPr>
          <w:rFonts w:hint="eastAsia" w:ascii="仿宋_GB2312" w:hAnsi="华文仿宋" w:eastAsia="仿宋_GB2312" w:cs="华文仿宋"/>
          <w:szCs w:val="32"/>
        </w:rPr>
        <w:t>目前，指导辖区成员单位公示各类信用信息1.5万余条，有效推进我区社会信用工作步伐。</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2．“散乱污”治理和“四改两拆”成效显著。起草了《阎良区铁腕治霾散乱污企业整治实施方案》，成立了“散乱污”企业整治工作组，对全区92户散乱污企业进行整治，建立了散乱污企业取缔档案（一企一档），目前已完成整改工作77户（目标任务37户），超额完成全年目标任务，年底完成了“散乱污”企业整治的验收工作。积极组织开展阎良区旧厂区改造工作，制定了《阎良区“四改两拆”三年攻坚行动旧厂区改造实施方案》，扎实开展辖区旧厂区改造工作。目前已提前完成改造任务，被市工信委评</w:t>
      </w:r>
      <w:r>
        <w:rPr>
          <w:rFonts w:hint="eastAsia" w:ascii="仿宋_GB2312" w:hAnsi="华文仿宋" w:eastAsia="仿宋_GB2312" w:cs="华文仿宋"/>
          <w:szCs w:val="32"/>
          <w:lang w:eastAsia="zh-CN"/>
        </w:rPr>
        <w:t>为</w:t>
      </w:r>
      <w:r>
        <w:rPr>
          <w:rFonts w:hint="eastAsia" w:ascii="仿宋_GB2312" w:hAnsi="华文仿宋" w:eastAsia="仿宋_GB2312" w:cs="华文仿宋"/>
          <w:szCs w:val="32"/>
        </w:rPr>
        <w:t>优秀单位。</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3、铁腕治霾成绩突出。洁净煤供应网络建设不断推进，召开煤炭治理工作推进会11次，对全区20个煤炭经营网点进行常态化、规范化管理，组织检查30余次，先进经验得到兄弟市县考察学习，西安日报、三秦都市报、西部网等媒体竞相报道我区洁净煤供应管理工作先进经验，工作受到市商务局通报表彰。加油站油气回收治理顺利开展，加油站双层罐改造在全市率先完成改造任务。</w:t>
      </w:r>
      <w:bookmarkStart w:id="2" w:name="_GoBack"/>
      <w:bookmarkEnd w:id="2"/>
      <w:r>
        <w:rPr>
          <w:rFonts w:hint="eastAsia" w:ascii="仿宋_GB2312" w:hAnsi="华文仿宋" w:eastAsia="仿宋_GB2312" w:cs="华文仿宋"/>
          <w:szCs w:val="32"/>
          <w:lang w:eastAsia="zh-CN"/>
        </w:rPr>
        <w:t>截止</w:t>
      </w:r>
      <w:r>
        <w:rPr>
          <w:rFonts w:hint="eastAsia" w:ascii="仿宋_GB2312" w:hAnsi="华文仿宋" w:eastAsia="仿宋_GB2312" w:cs="华文仿宋"/>
          <w:szCs w:val="32"/>
          <w:lang w:val="en-US" w:eastAsia="zh-CN"/>
        </w:rPr>
        <w:t>12月底，我区煤炭削减已完成12.82万吨。</w:t>
      </w:r>
      <w:r>
        <w:rPr>
          <w:rFonts w:hint="eastAsia" w:ascii="仿宋_GB2312" w:hAnsi="华文仿宋" w:eastAsia="仿宋_GB2312" w:cs="华文仿宋"/>
          <w:szCs w:val="32"/>
        </w:rPr>
        <w:t xml:space="preserve"> </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4．持续繁荣商贸服务业发展。积极开展农贸市场改造提升，争取到市级第一批改造专项资金240万元，完成公园路综合市场改造提升。加快商圈建设，千禧核心商圈、腾飞商圈顺利完成全年建设任务，两大商圈WIFI基本实现全覆盖。首映国际影城、中国黄金、老庙黄金、利郎服饰等知名品牌已开门迎客，好利来、客都超市、奥斯卡国际影城、百丽、乐宝王国等连锁品牌入住营业。完成胜利路精品服装街、大良路美食餐饮街、润天路休闲娱乐街、凤凰路全段、迎宾大道北段、前进路西段等街区路段的美化和提档升级，</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5．着力培育我区电商经济。建成阎良区电子商务产业园，加强电子商务培训，带动电子商务加快发展。全区从事电子商务的企业、专业合作社、个体网店达216家，直接或间接带动农村就业3500余人，全区以地产品销售为主的线上交易额达6000余万元，较去年同期相比增长450%以上。创建电子商务示范村镇取得成效，关山、武屯两镇以及西相、三合、北冯、东丁四村被市级部门评定为市级示范村镇。</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（五）宏观谋划能力不断提升，助推全区经济稳健向好。</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1．集聚追赶超越新动能。为了贯彻落实2014年习近平总书记回陕视察时对陕西提出“追赶超越”和“五个扎实”的要求，按照省委、省政府和市委市政府的要求，阎良区委区政府制定了《阎良区关于加快追赶超越的总体方案》，提出了远赶成都市青白江区，超越珠海市金湾区的目标，并设定了追赶超越的目标任务和指标体系。</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 xml:space="preserve">2.切实抓好全年经济工作，打好稳定增长基础。在充分调研、反复论证基础上，初步形成了《阎良区2017年国民经济和社会发展计划》。对经济指标科学合理测算分解至各部门和镇办。  </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3．准确把握经济运行状态，服务领导科学决策。上半年我区经济运行出现前所未有的困难，我局及时监测掌握全区经济运行数据，准确研判我区宏观经济走势，经过论证分析，相继形成一季度、上半年、三季度经济社会运行情况分析报告，提出了促发展稳增长的合理化建议和措施，三季度，大部分主要经济指标由负转正，发挥了参谋助手职能。</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4、富阎板块建设取得新进展。认真落实省市富阎合作工作部署，积极协调对接，与富平签订战略合作框架协议。编制富阎合作建设方案，推动富阎一体化发展。富阎一体化发展形成省市区三级联动共建机制，富阎城市协同发展总体规划启动编制，富阎产业合作园区总体规划基本形成。富阎一体化基础设施、生态治理等11项目陆续启动实施，富阎连接线建成通车，富阎板块供水工程开工建设，富阎两地石川河综合治理即将实现贯通。</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（七）履职能力持续提升，全力服务发展大局。</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1、加强制度建设，锻造发改铁军。一是完善党建工作例会制。定期召集支委员和党员大会，认真传达贯彻执行党的路线、方针、政策和上级的决议、指示。二是探索推行党员“积分制”管理，对党员进行量化积分，实行量化考核,考核结果与干部年终待遇直接挂钩。三是制定《党组班子成员抓党建工作“一岗双责”制度》，制定印发了《党组班子成员抓党建工作“一岗双责”制度》，明晰了党组班子成员抓基层党建“一岗双责”的主要职责。</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2、加强思想建设，培养“五星级”店小二。一是加强特色社会主义理论学习，树立政治品质和政治标准。加强习近平新时代中国特色社会主义思想关于全面从严治党的学习，教育全体党员干部应该增强“四个意识”。认真贯彻十九大“九个一活动”要求，制订了支部《九个一活动方案》，开展了一系列学习活动。二是开展了系列主题教育活动。按照区委统一安排，开展了系列主题教育活动，推进“两学一做”学习教育常态化制度化。</w:t>
      </w:r>
      <w:r>
        <w:rPr>
          <w:rFonts w:hint="eastAsia" w:ascii="仿宋_GB2312" w:hAnsi="华文仿宋" w:eastAsia="仿宋_GB2312" w:cs="华文仿宋"/>
          <w:szCs w:val="32"/>
          <w:lang w:val="en-US" w:eastAsia="zh-CN"/>
        </w:rPr>
        <w:t>每月选取一个主题丰富党员活动日载体，培养领导干部敢担当、善作为，遇到矛盾和问题不敷衍、不回避，始终以无私奉献、夙夜在公的精神干事创业，时刻保持攻坚克难的拼劲和奋勇争先的闯劲。</w:t>
      </w:r>
      <w:r>
        <w:rPr>
          <w:rFonts w:hint="eastAsia" w:ascii="仿宋_GB2312" w:hAnsi="华文仿宋" w:eastAsia="仿宋_GB2312" w:cs="华文仿宋"/>
          <w:szCs w:val="32"/>
        </w:rPr>
        <w:t>三是开展“对标定位、晋级争星”活动。推进“创先争优”活动深入开展，提升机关基层党建工作整体水平，20名党员被评定为四星，12名党员被评定为三星。</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3、加强廉政建设，营造风清气正环境。一是强化责任。针对党风廉政建设责任制工作，成立了专门的领导小组，制定了领导班子党风廉政建设责任制目标分解方案和领导干部党风廉政建设责任制目标。制定党风廉政责任清单，组织局党组领导班子成员，局党组领导班子成员分别与所分管科室签订年度党风廉政建设责任书。二是完善制度，积极建立党风廉政惩防体系。先后制订了《关于贯彻党风廉政建设责任制的实施意见》、《党风廉政建设学习教育制度》、《关于廉政风险点防控办法》、《财务管理制度》、《争取资金项目管理办法》等一系列制度，把管理重点放在领导干部权力的运用约束上，从根本上铲除滋生腐败的土壤。三是加强廉政风险防控。建立健全局主要领导对廉政风险点防控工作负总责，其他班子成员对分管科室廉政风险点防控工作负责，各科室负责人对本科室廉政风险点防控工作负直接责任的廉政风险防控机制。四是接受约束监督。组织召开廉政建设干部家属座谈会和廉政教育观摩活动。建立并公开局党组政风行风举报电话，发放廉政监督卡公布举报电话，主动接受社会各界监督。五是加强廉政教育，筑牢思想防线。把反腐倡廉教育纳入干部教育培训工作总体部署，列为集体学习、民主生活会和“三会一课”必学内容，教育引导党员干部自觉划好纪律规矩底线，筑牢“不想腐”的思想防线。</w:t>
      </w:r>
      <w:r>
        <w:rPr>
          <w:rFonts w:hint="eastAsia" w:ascii="仿宋_GB2312" w:hAnsi="华文仿宋" w:eastAsia="仿宋_GB2312" w:cs="华文仿宋"/>
          <w:szCs w:val="32"/>
          <w:lang w:val="en-US" w:eastAsia="zh-CN"/>
        </w:rPr>
        <w:t>按照区委组织部和区纪委部署要求召开肃清魏民洲流毒、环保阎良分局数据造假案等廉政教育专题民主生活会、专题组织生活会、研讨交流会8次以上。教育引导党员干部自觉划好纪律规矩底线，筑牢“不想腐”的思想防线。</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4、加强作风建设，打造干事创业氛围。</w:t>
      </w:r>
      <w:r>
        <w:rPr>
          <w:rFonts w:hint="eastAsia" w:ascii="仿宋_GB2312" w:hAnsi="华文仿宋" w:eastAsia="仿宋_GB2312" w:cs="华文仿宋"/>
          <w:szCs w:val="32"/>
        </w:rPr>
        <w:tab/>
      </w:r>
      <w:r>
        <w:rPr>
          <w:rFonts w:hint="eastAsia" w:ascii="仿宋_GB2312" w:hAnsi="华文仿宋" w:eastAsia="仿宋_GB2312" w:cs="华文仿宋"/>
          <w:szCs w:val="32"/>
        </w:rPr>
        <w:t>一年来，严格执行从严加强干部队伍建设打造追赶超越阎良铁军实施意见，努力打造一支“对党忠诚、勇于担当、干净干事、充满活力”的发改铁军。加强思想理论武装，改进集体学习制度，主动适应时代进步和“聚焦369,建设大西安”、“一环五片区”发展思路，不断组织领导干部广泛学习新知识新技能，不断拓宽新视野、树立新理念、掌握新技能、提升新胆识，自觉提高专业能力，涵养专业精神。一是抓人才工作。进一步优化人才政策环境，把识才、育才、选才、用才作为首要任务。全年组织党员干部集体学习40次以上，积极学习借鉴先进地区的发展经验，开拓干部发展视野，提升追赶超越能力，先后组织领导干部赴成都、杭州、友好区县等地学习6次以上。完善年轻干部实践挂职锻炼，选派1名年轻到市发改委挂职培训。二是落实三项机制。认真执行谈心谈话制度，全年党组书记与班子成员、班子成员与分管科室干部要开展一次谈心谈话。建立优秀评选表彰机制，全年向区委、组织部推荐在重点项目、招商引资、治污减霾、脱贫攻坚表现优秀的领导干部6人次。探索建立局内考核办法，健全干部日常考核、重点工作考核办法，实现目标责任考核差异化发放。</w:t>
      </w:r>
      <w:r>
        <w:rPr>
          <w:rFonts w:hint="eastAsia" w:ascii="仿宋_GB2312" w:hAnsi="华文仿宋" w:eastAsia="仿宋_GB2312" w:cs="华文仿宋"/>
          <w:szCs w:val="32"/>
          <w:lang w:val="en-US" w:eastAsia="zh-CN"/>
        </w:rPr>
        <w:t>为全局36名干部建立实绩档案，量出干部干多干少长短，卡出干部干与不干尺寸，把敢于担当改革发展重任、开创事业新局面干部选出来。</w:t>
      </w:r>
      <w:r>
        <w:rPr>
          <w:rFonts w:hint="eastAsia" w:ascii="仿宋_GB2312" w:hAnsi="华文仿宋" w:eastAsia="仿宋_GB2312" w:cs="华文仿宋"/>
          <w:szCs w:val="32"/>
        </w:rPr>
        <w:t>拓宽用人视野，打破体制壁垒，加大事业单位与机关干部交流力度，</w:t>
      </w:r>
      <w:r>
        <w:rPr>
          <w:rFonts w:hint="eastAsia" w:ascii="仿宋_GB2312" w:hAnsi="华文仿宋" w:eastAsia="仿宋_GB2312" w:cs="华文仿宋"/>
          <w:szCs w:val="32"/>
          <w:lang w:eastAsia="zh-CN"/>
        </w:rPr>
        <w:t>探索推行调任事业科级干部担任行政科室领导职务。</w:t>
      </w:r>
      <w:r>
        <w:rPr>
          <w:rFonts w:hint="eastAsia" w:ascii="仿宋_GB2312" w:hAnsi="华文仿宋" w:eastAsia="仿宋_GB2312" w:cs="华文仿宋"/>
          <w:szCs w:val="32"/>
        </w:rPr>
        <w:t>三是实施效能革命。认真落实王永康书记“事不过夜马上办”的要求，全力抓好企业问询办事、群众关切事项工作落实。对目标任务按月细化分解，每月通报承担目标任务进展情况。对重点任务推进不力、企业反映问题协调解决不力、服务效果反馈差等情况，按有关规定进行严肃问责。</w:t>
      </w:r>
    </w:p>
    <w:p>
      <w:pPr>
        <w:pStyle w:val="4"/>
        <w:shd w:val="clear" w:color="auto" w:fill="FFFFFF"/>
        <w:spacing w:before="0" w:beforeAutospacing="0" w:after="0" w:afterAutospacing="0" w:line="560" w:lineRule="exact"/>
        <w:ind w:firstLine="640" w:firstLineChars="200"/>
        <w:rPr>
          <w:rStyle w:val="7"/>
          <w:rFonts w:hint="eastAsia" w:ascii="黑体" w:eastAsia="黑体" w:cs="黑体"/>
          <w:b w:val="0"/>
          <w:color w:val="000000"/>
          <w:sz w:val="32"/>
          <w:szCs w:val="32"/>
        </w:rPr>
      </w:pPr>
    </w:p>
    <w:p>
      <w:pPr>
        <w:pStyle w:val="4"/>
        <w:shd w:val="clear" w:color="auto" w:fill="FFFFFF"/>
        <w:spacing w:before="0" w:beforeAutospacing="0" w:after="0" w:afterAutospacing="0" w:line="560" w:lineRule="exact"/>
        <w:ind w:firstLine="640" w:firstLineChars="200"/>
        <w:rPr>
          <w:rStyle w:val="7"/>
          <w:rFonts w:ascii="黑体" w:eastAsia="黑体" w:cs="黑体"/>
          <w:b w:val="0"/>
          <w:color w:val="000000"/>
          <w:sz w:val="32"/>
          <w:szCs w:val="32"/>
        </w:rPr>
      </w:pPr>
      <w:r>
        <w:rPr>
          <w:rStyle w:val="7"/>
          <w:rFonts w:hint="eastAsia" w:ascii="黑体" w:eastAsia="黑体" w:cs="黑体"/>
          <w:b w:val="0"/>
          <w:color w:val="000000"/>
          <w:sz w:val="32"/>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1</w:t>
      </w:r>
      <w:r>
        <w:rPr>
          <w:rFonts w:hint="eastAsia" w:ascii="仿宋_GB2312" w:hAnsi="华文仿宋" w:eastAsia="仿宋_GB2312" w:cs="华文仿宋"/>
          <w:sz w:val="32"/>
          <w:szCs w:val="32"/>
        </w:rPr>
        <w:t>）</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年度本年收入合计</w:t>
      </w:r>
      <w:r>
        <w:rPr>
          <w:rFonts w:ascii="仿宋_GB2312" w:hAnsi="华文仿宋" w:eastAsia="仿宋_GB2312" w:cs="华文仿宋"/>
          <w:sz w:val="32"/>
          <w:szCs w:val="32"/>
        </w:rPr>
        <w:t>2108.9</w:t>
      </w:r>
      <w:r>
        <w:rPr>
          <w:rFonts w:hint="eastAsia" w:ascii="仿宋_GB2312" w:hAnsi="华文仿宋" w:eastAsia="仿宋_GB2312" w:cs="华文仿宋"/>
          <w:sz w:val="32"/>
          <w:szCs w:val="32"/>
        </w:rPr>
        <w:t>万元，较上年增加</w:t>
      </w:r>
      <w:r>
        <w:rPr>
          <w:rFonts w:ascii="仿宋_GB2312" w:hAnsi="华文仿宋" w:eastAsia="仿宋_GB2312" w:cs="华文仿宋"/>
          <w:sz w:val="32"/>
          <w:szCs w:val="32"/>
        </w:rPr>
        <w:t>374.44</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color w:val="000000"/>
          <w:sz w:val="32"/>
          <w:szCs w:val="32"/>
        </w:rPr>
        <w:t>对企业的政策补贴增加</w:t>
      </w:r>
      <w:r>
        <w:rPr>
          <w:rFonts w:hint="eastAsia"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2</w:t>
      </w:r>
      <w:r>
        <w:rPr>
          <w:rFonts w:hint="eastAsia" w:ascii="仿宋_GB2312" w:hAnsi="华文仿宋" w:eastAsia="仿宋_GB2312" w:cs="华文仿宋"/>
          <w:sz w:val="32"/>
          <w:szCs w:val="32"/>
        </w:rPr>
        <w:t>）</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年度本年支出合计</w:t>
      </w:r>
      <w:r>
        <w:rPr>
          <w:rFonts w:ascii="仿宋_GB2312" w:hAnsi="华文仿宋" w:eastAsia="仿宋_GB2312" w:cs="华文仿宋"/>
          <w:sz w:val="32"/>
          <w:szCs w:val="32"/>
        </w:rPr>
        <w:t>2683.72</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1485.18</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color w:val="000000"/>
          <w:sz w:val="32"/>
          <w:szCs w:val="32"/>
        </w:rPr>
        <w:t>对企业的政策补贴支出增加</w:t>
      </w:r>
      <w:r>
        <w:rPr>
          <w:rFonts w:hint="eastAsia"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年本年收入合计</w:t>
      </w:r>
      <w:r>
        <w:rPr>
          <w:rFonts w:ascii="仿宋_GB2312" w:hAnsi="华文仿宋" w:eastAsia="仿宋_GB2312" w:cs="华文仿宋"/>
          <w:sz w:val="32"/>
          <w:szCs w:val="32"/>
        </w:rPr>
        <w:t>2108.90</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w:t>
      </w:r>
      <w:r>
        <w:rPr>
          <w:rFonts w:ascii="仿宋_GB2312" w:hAnsi="华文仿宋" w:eastAsia="仿宋_GB2312" w:cs="华文仿宋"/>
          <w:sz w:val="32"/>
          <w:szCs w:val="32"/>
        </w:rPr>
        <w:t>2108.9</w:t>
      </w:r>
      <w:r>
        <w:rPr>
          <w:rFonts w:hint="eastAsia" w:ascii="仿宋_GB2312" w:hAnsi="华文仿宋" w:eastAsia="仿宋_GB2312" w:cs="华文仿宋"/>
          <w:sz w:val="32"/>
          <w:szCs w:val="32"/>
        </w:rPr>
        <w:t>万元，占总收入的</w:t>
      </w:r>
      <w:r>
        <w:rPr>
          <w:rFonts w:ascii="仿宋_GB2312" w:hAnsi="华文仿宋" w:eastAsia="仿宋_GB2312" w:cs="华文仿宋"/>
          <w:sz w:val="32"/>
          <w:szCs w:val="32"/>
        </w:rPr>
        <w:t>100%</w:t>
      </w:r>
      <w:r>
        <w:rPr>
          <w:rFonts w:hint="eastAsia" w:ascii="仿宋_GB2312" w:hAnsi="华文仿宋" w:eastAsia="仿宋_GB2312" w:cs="华文仿宋"/>
          <w:sz w:val="32"/>
          <w:szCs w:val="32"/>
        </w:rPr>
        <w:t>，包括一般公共预算财政拨款</w:t>
      </w:r>
      <w:r>
        <w:rPr>
          <w:rFonts w:ascii="仿宋_GB2312" w:hAnsi="华文仿宋" w:eastAsia="仿宋_GB2312" w:cs="华文仿宋"/>
          <w:sz w:val="32"/>
          <w:szCs w:val="32"/>
        </w:rPr>
        <w:t>2108.9</w:t>
      </w:r>
      <w:r>
        <w:rPr>
          <w:rFonts w:hint="eastAsia" w:ascii="仿宋_GB2312" w:hAnsi="华文仿宋" w:eastAsia="仿宋_GB2312" w:cs="华文仿宋"/>
          <w:sz w:val="32"/>
          <w:szCs w:val="32"/>
        </w:rPr>
        <w:t>万元、政府性基金预算财政拨款</w:t>
      </w:r>
      <w:r>
        <w:rPr>
          <w:rFonts w:ascii="仿宋_GB2312" w:hAnsi="华文仿宋" w:eastAsia="仿宋_GB2312" w:cs="华文仿宋"/>
          <w:sz w:val="32"/>
          <w:szCs w:val="32"/>
        </w:rPr>
        <w:t>0</w:t>
      </w:r>
      <w:r>
        <w:rPr>
          <w:rFonts w:hint="eastAsia" w:ascii="仿宋_GB2312" w:hAnsi="华文仿宋" w:eastAsia="仿宋_GB2312" w:cs="华文仿宋"/>
          <w:sz w:val="32"/>
          <w:szCs w:val="32"/>
        </w:rPr>
        <w:t>万元。</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无事业收入。</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无经营收入。</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无其他收入。</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本年支出构成情况（并用图表进行辅助说明）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年本年支出合计</w:t>
      </w:r>
      <w:r>
        <w:rPr>
          <w:rFonts w:ascii="仿宋_GB2312" w:hAnsi="华文仿宋" w:eastAsia="仿宋_GB2312" w:cs="华文仿宋"/>
          <w:sz w:val="32"/>
          <w:szCs w:val="32"/>
        </w:rPr>
        <w:t>2683.72</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1</w:t>
      </w:r>
      <w:r>
        <w:rPr>
          <w:rFonts w:hint="eastAsia" w:ascii="仿宋_GB2312" w:hAnsi="华文仿宋" w:eastAsia="仿宋_GB2312" w:cs="华文仿宋"/>
          <w:sz w:val="32"/>
          <w:szCs w:val="32"/>
        </w:rPr>
        <w:t>）基本支出</w:t>
      </w:r>
      <w:r>
        <w:rPr>
          <w:rFonts w:ascii="仿宋_GB2312" w:hAnsi="华文仿宋" w:eastAsia="仿宋_GB2312" w:cs="华文仿宋"/>
          <w:sz w:val="32"/>
          <w:szCs w:val="32"/>
        </w:rPr>
        <w:t>457.19</w:t>
      </w:r>
      <w:r>
        <w:rPr>
          <w:rFonts w:hint="eastAsia" w:ascii="仿宋_GB2312" w:hAnsi="华文仿宋" w:eastAsia="仿宋_GB2312" w:cs="华文仿宋"/>
          <w:sz w:val="32"/>
          <w:szCs w:val="32"/>
        </w:rPr>
        <w:t>万元，占总支出的</w:t>
      </w:r>
      <w:r>
        <w:rPr>
          <w:rFonts w:ascii="仿宋_GB2312" w:hAnsi="华文仿宋" w:eastAsia="仿宋_GB2312" w:cs="华文仿宋"/>
          <w:sz w:val="32"/>
          <w:szCs w:val="32"/>
        </w:rPr>
        <w:t>17%</w:t>
      </w:r>
      <w:r>
        <w:rPr>
          <w:rFonts w:hint="eastAsia" w:ascii="仿宋_GB2312" w:hAnsi="华文仿宋" w:eastAsia="仿宋_GB2312" w:cs="华文仿宋"/>
          <w:sz w:val="32"/>
          <w:szCs w:val="32"/>
        </w:rPr>
        <w:t>，是为保障机构正常运转、完成日常工作任务而发生的各项支出，包括人员经费</w:t>
      </w:r>
      <w:r>
        <w:rPr>
          <w:rFonts w:ascii="仿宋_GB2312" w:hAnsi="华文仿宋" w:eastAsia="仿宋_GB2312" w:cs="华文仿宋"/>
          <w:sz w:val="32"/>
          <w:szCs w:val="32"/>
        </w:rPr>
        <w:t>444.54</w:t>
      </w:r>
      <w:r>
        <w:rPr>
          <w:rFonts w:hint="eastAsia" w:ascii="仿宋_GB2312" w:hAnsi="华文仿宋" w:eastAsia="仿宋_GB2312" w:cs="华文仿宋"/>
          <w:sz w:val="32"/>
          <w:szCs w:val="32"/>
        </w:rPr>
        <w:t>万元和公用经费</w:t>
      </w:r>
      <w:r>
        <w:rPr>
          <w:rFonts w:ascii="仿宋_GB2312" w:hAnsi="华文仿宋" w:eastAsia="仿宋_GB2312" w:cs="华文仿宋"/>
          <w:sz w:val="32"/>
          <w:szCs w:val="32"/>
        </w:rPr>
        <w:t>12.65</w:t>
      </w:r>
      <w:r>
        <w:rPr>
          <w:rFonts w:hint="eastAsia" w:ascii="仿宋_GB2312" w:hAnsi="华文仿宋" w:eastAsia="仿宋_GB2312" w:cs="华文仿宋"/>
          <w:sz w:val="32"/>
          <w:szCs w:val="32"/>
        </w:rPr>
        <w:t>万元。</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ascii="仿宋_GB2312" w:hAnsi="华文仿宋" w:eastAsia="仿宋_GB2312" w:cs="华文仿宋"/>
          <w:sz w:val="32"/>
          <w:szCs w:val="32"/>
        </w:rPr>
        <w:t>2</w:t>
      </w:r>
      <w:r>
        <w:rPr>
          <w:rFonts w:hint="eastAsia" w:ascii="仿宋_GB2312" w:hAnsi="华文仿宋" w:eastAsia="仿宋_GB2312" w:cs="华文仿宋"/>
          <w:sz w:val="32"/>
          <w:szCs w:val="32"/>
        </w:rPr>
        <w:t>）项目支出</w:t>
      </w:r>
      <w:r>
        <w:rPr>
          <w:rFonts w:ascii="仿宋_GB2312" w:hAnsi="华文仿宋" w:eastAsia="仿宋_GB2312" w:cs="华文仿宋"/>
          <w:sz w:val="32"/>
          <w:szCs w:val="32"/>
        </w:rPr>
        <w:t>2226.53</w:t>
      </w:r>
      <w:r>
        <w:rPr>
          <w:rFonts w:hint="eastAsia" w:ascii="仿宋_GB2312" w:hAnsi="华文仿宋" w:eastAsia="仿宋_GB2312" w:cs="华文仿宋"/>
          <w:sz w:val="32"/>
          <w:szCs w:val="32"/>
        </w:rPr>
        <w:t>万元，占总支出的</w:t>
      </w:r>
      <w:r>
        <w:rPr>
          <w:rFonts w:ascii="仿宋_GB2312" w:hAnsi="华文仿宋" w:eastAsia="仿宋_GB2312" w:cs="华文仿宋"/>
          <w:sz w:val="32"/>
          <w:szCs w:val="32"/>
        </w:rPr>
        <w:t>83%</w:t>
      </w:r>
      <w:r>
        <w:rPr>
          <w:rFonts w:hint="eastAsia" w:ascii="仿宋_GB2312" w:hAnsi="华文仿宋" w:eastAsia="仿宋_GB2312" w:cs="华文仿宋"/>
          <w:sz w:val="32"/>
          <w:szCs w:val="32"/>
        </w:rPr>
        <w:t>，是为完成特定的工作任务或事业发展目标，在基本支出之外发生的支出。主要包括商业服务业等项目支出</w:t>
      </w:r>
      <w:r>
        <w:rPr>
          <w:rFonts w:ascii="仿宋_GB2312" w:hAnsi="华文仿宋" w:eastAsia="仿宋_GB2312" w:cs="华文仿宋"/>
          <w:sz w:val="32"/>
          <w:szCs w:val="32"/>
        </w:rPr>
        <w:t>442</w:t>
      </w:r>
      <w:r>
        <w:rPr>
          <w:rFonts w:hint="eastAsia" w:ascii="仿宋_GB2312" w:hAnsi="华文仿宋" w:eastAsia="仿宋_GB2312" w:cs="华文仿宋"/>
          <w:sz w:val="32"/>
          <w:szCs w:val="32"/>
        </w:rPr>
        <w:t>万元，资源勘探信息项目支出</w:t>
      </w:r>
      <w:r>
        <w:rPr>
          <w:rFonts w:ascii="仿宋_GB2312" w:hAnsi="华文仿宋" w:eastAsia="仿宋_GB2312" w:cs="华文仿宋"/>
          <w:sz w:val="32"/>
          <w:szCs w:val="32"/>
        </w:rPr>
        <w:t>188</w:t>
      </w:r>
      <w:r>
        <w:rPr>
          <w:rFonts w:hint="eastAsia" w:ascii="仿宋_GB2312" w:hAnsi="华文仿宋" w:eastAsia="仿宋_GB2312" w:cs="华文仿宋"/>
          <w:sz w:val="32"/>
          <w:szCs w:val="32"/>
        </w:rPr>
        <w:t>万元，节能环保项目支出</w:t>
      </w:r>
      <w:r>
        <w:rPr>
          <w:rFonts w:ascii="仿宋_GB2312" w:hAnsi="华文仿宋" w:eastAsia="仿宋_GB2312" w:cs="华文仿宋"/>
          <w:sz w:val="32"/>
          <w:szCs w:val="32"/>
        </w:rPr>
        <w:t>25</w:t>
      </w:r>
      <w:r>
        <w:rPr>
          <w:rFonts w:hint="eastAsia" w:ascii="仿宋_GB2312" w:hAnsi="华文仿宋" w:eastAsia="仿宋_GB2312" w:cs="华文仿宋"/>
          <w:sz w:val="32"/>
          <w:szCs w:val="32"/>
        </w:rPr>
        <w:t>万元，招商引资项目支出</w:t>
      </w:r>
      <w:r>
        <w:rPr>
          <w:rFonts w:ascii="仿宋_GB2312" w:hAnsi="华文仿宋" w:eastAsia="仿宋_GB2312" w:cs="华文仿宋"/>
          <w:sz w:val="32"/>
          <w:szCs w:val="32"/>
        </w:rPr>
        <w:t>143.89</w:t>
      </w:r>
      <w:r>
        <w:rPr>
          <w:rFonts w:hint="eastAsia" w:ascii="仿宋_GB2312" w:hAnsi="华文仿宋" w:eastAsia="仿宋_GB2312" w:cs="华文仿宋"/>
          <w:sz w:val="32"/>
          <w:szCs w:val="32"/>
        </w:rPr>
        <w:t>万元。</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年度财政拨款收入支出总体情况说明</w:t>
      </w:r>
    </w:p>
    <w:p>
      <w:pPr>
        <w:pStyle w:val="4"/>
        <w:numPr>
          <w:ilvl w:val="0"/>
          <w:numId w:val="2"/>
        </w:numPr>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年财政拨款收入</w:t>
      </w:r>
      <w:r>
        <w:rPr>
          <w:rFonts w:ascii="仿宋_GB2312" w:hAnsi="华文仿宋" w:eastAsia="仿宋_GB2312" w:cs="华文仿宋"/>
          <w:sz w:val="32"/>
          <w:szCs w:val="32"/>
        </w:rPr>
        <w:t>2108.90</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374.44</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color w:val="000000"/>
          <w:sz w:val="32"/>
          <w:szCs w:val="32"/>
        </w:rPr>
        <w:t>对企业的政策补贴增加。</w:t>
      </w:r>
      <w:r>
        <w:rPr>
          <w:rFonts w:ascii="仿宋_GB2312" w:hAnsi="华文仿宋" w:eastAsia="仿宋_GB2312" w:cs="华文仿宋"/>
          <w:sz w:val="32"/>
          <w:szCs w:val="32"/>
        </w:rPr>
        <w:t>2017</w:t>
      </w:r>
      <w:r>
        <w:rPr>
          <w:rFonts w:hint="eastAsia" w:ascii="仿宋_GB2312" w:hAnsi="华文仿宋" w:eastAsia="仿宋_GB2312" w:cs="华文仿宋"/>
          <w:sz w:val="32"/>
          <w:szCs w:val="32"/>
        </w:rPr>
        <w:t>年财政拨款支出</w:t>
      </w:r>
      <w:r>
        <w:rPr>
          <w:rFonts w:ascii="仿宋_GB2312" w:hAnsi="华文仿宋" w:eastAsia="仿宋_GB2312" w:cs="华文仿宋"/>
          <w:sz w:val="32"/>
          <w:szCs w:val="32"/>
        </w:rPr>
        <w:t>2108.90</w:t>
      </w:r>
      <w:r>
        <w:rPr>
          <w:rFonts w:hint="eastAsia" w:ascii="仿宋_GB2312" w:hAnsi="华文仿宋" w:eastAsia="仿宋_GB2312" w:cs="华文仿宋"/>
          <w:sz w:val="32"/>
          <w:szCs w:val="32"/>
        </w:rPr>
        <w:t>万元，比上年增加</w:t>
      </w:r>
      <w:r>
        <w:rPr>
          <w:rFonts w:ascii="仿宋_GB2312" w:hAnsi="华文仿宋" w:eastAsia="仿宋_GB2312" w:cs="华文仿宋"/>
          <w:sz w:val="32"/>
          <w:szCs w:val="32"/>
        </w:rPr>
        <w:t>374.44</w:t>
      </w:r>
      <w:r>
        <w:rPr>
          <w:rFonts w:hint="eastAsia" w:ascii="仿宋_GB2312" w:hAnsi="华文仿宋" w:eastAsia="仿宋_GB2312" w:cs="华文仿宋"/>
          <w:sz w:val="32"/>
          <w:szCs w:val="32"/>
        </w:rPr>
        <w:t>万元，主要原因是</w:t>
      </w:r>
      <w:r>
        <w:rPr>
          <w:rFonts w:hint="eastAsia" w:ascii="仿宋_GB2312" w:hAnsi="华文仿宋" w:eastAsia="仿宋_GB2312" w:cs="华文仿宋"/>
          <w:color w:val="000000"/>
          <w:sz w:val="32"/>
          <w:szCs w:val="32"/>
        </w:rPr>
        <w:t>对企业的政策补贴增加。</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一般公共预算财政拨款支出情况（按政府功能分类科目细化到项级科目并说明支出具体内容）</w:t>
      </w:r>
    </w:p>
    <w:p>
      <w:pPr>
        <w:pStyle w:val="4"/>
        <w:spacing w:before="0" w:beforeAutospacing="0" w:after="0" w:afterAutospacing="0" w:line="560" w:lineRule="exact"/>
        <w:ind w:left="480" w:leftChars="15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年度一般公共预算财政拨款支出</w:t>
      </w:r>
      <w:r>
        <w:rPr>
          <w:rFonts w:ascii="仿宋_GB2312" w:hAnsi="华文仿宋" w:eastAsia="仿宋_GB2312" w:cs="华文仿宋"/>
          <w:sz w:val="32"/>
          <w:szCs w:val="32"/>
        </w:rPr>
        <w:t>2683.72</w:t>
      </w:r>
      <w:r>
        <w:rPr>
          <w:rFonts w:hint="eastAsia" w:ascii="仿宋_GB2312" w:hAnsi="华文仿宋" w:eastAsia="仿宋_GB2312" w:cs="华文仿宋"/>
          <w:sz w:val="32"/>
          <w:szCs w:val="32"/>
        </w:rPr>
        <w:t>万元，按支出功能科目分，包括</w:t>
      </w:r>
      <w:r>
        <w:rPr>
          <w:rFonts w:ascii="仿宋_GB2312" w:hAnsi="华文仿宋" w:eastAsia="仿宋_GB2312" w:cs="华文仿宋"/>
          <w:sz w:val="32"/>
          <w:szCs w:val="32"/>
        </w:rPr>
        <w:t>:</w:t>
      </w:r>
    </w:p>
    <w:p>
      <w:pPr>
        <w:pStyle w:val="4"/>
        <w:spacing w:before="0" w:beforeAutospacing="0" w:after="0" w:afterAutospacing="0" w:line="560" w:lineRule="exact"/>
        <w:ind w:left="480" w:leftChars="150" w:firstLine="480" w:firstLineChars="150"/>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一般公共服务支出</w:t>
      </w:r>
      <w:r>
        <w:rPr>
          <w:rFonts w:ascii="仿宋_GB2312" w:hAnsi="华文仿宋" w:eastAsia="仿宋_GB2312" w:cs="华文仿宋"/>
          <w:color w:val="000000"/>
          <w:sz w:val="32"/>
          <w:szCs w:val="32"/>
        </w:rPr>
        <w:t>1236.72</w:t>
      </w:r>
      <w:r>
        <w:rPr>
          <w:rFonts w:hint="eastAsia" w:ascii="仿宋_GB2312" w:hAnsi="华文仿宋" w:eastAsia="仿宋_GB2312" w:cs="华文仿宋"/>
          <w:color w:val="000000"/>
          <w:sz w:val="32"/>
          <w:szCs w:val="32"/>
        </w:rPr>
        <w:t>万元。其中：行政运行</w:t>
      </w:r>
      <w:r>
        <w:rPr>
          <w:rFonts w:ascii="仿宋_GB2312" w:hAnsi="华文仿宋" w:eastAsia="仿宋_GB2312" w:cs="华文仿宋"/>
          <w:color w:val="000000"/>
          <w:sz w:val="32"/>
          <w:szCs w:val="32"/>
        </w:rPr>
        <w:t>244.83</w:t>
      </w:r>
      <w:r>
        <w:rPr>
          <w:rFonts w:hint="eastAsia" w:ascii="仿宋_GB2312" w:hAnsi="华文仿宋" w:eastAsia="仿宋_GB2312" w:cs="华文仿宋"/>
          <w:color w:val="000000"/>
          <w:sz w:val="32"/>
          <w:szCs w:val="32"/>
        </w:rPr>
        <w:t>万元，主要反映行政人员工资，一般行政管理事务</w:t>
      </w:r>
      <w:r>
        <w:rPr>
          <w:rFonts w:ascii="仿宋_GB2312" w:hAnsi="华文仿宋" w:eastAsia="仿宋_GB2312" w:cs="华文仿宋"/>
          <w:color w:val="000000"/>
          <w:sz w:val="32"/>
          <w:szCs w:val="32"/>
        </w:rPr>
        <w:t>550.90</w:t>
      </w:r>
      <w:r>
        <w:rPr>
          <w:rFonts w:hint="eastAsia" w:ascii="仿宋_GB2312" w:hAnsi="华文仿宋" w:eastAsia="仿宋_GB2312" w:cs="华文仿宋"/>
          <w:color w:val="000000"/>
          <w:sz w:val="32"/>
          <w:szCs w:val="32"/>
        </w:rPr>
        <w:t>万元，主要反映行政事务处理。</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一般公共预算财政拨款基本支出决算情况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年度一般公共预算财政拨款基本支出</w:t>
      </w:r>
      <w:r>
        <w:rPr>
          <w:rFonts w:ascii="仿宋_GB2312" w:hAnsi="华文仿宋" w:eastAsia="仿宋_GB2312" w:cs="华文仿宋"/>
          <w:sz w:val="32"/>
          <w:szCs w:val="32"/>
        </w:rPr>
        <w:t>2683.72</w:t>
      </w:r>
      <w:r>
        <w:rPr>
          <w:rFonts w:hint="eastAsia" w:ascii="仿宋_GB2312" w:hAnsi="华文仿宋" w:eastAsia="仿宋_GB2312" w:cs="华文仿宋"/>
          <w:sz w:val="32"/>
          <w:szCs w:val="32"/>
        </w:rPr>
        <w:t>万元，其中：人员经费</w:t>
      </w:r>
      <w:r>
        <w:rPr>
          <w:rFonts w:ascii="仿宋_GB2312" w:hAnsi="华文仿宋" w:eastAsia="仿宋_GB2312" w:cs="华文仿宋"/>
          <w:sz w:val="32"/>
          <w:szCs w:val="32"/>
        </w:rPr>
        <w:t>444.54</w:t>
      </w:r>
      <w:r>
        <w:rPr>
          <w:rFonts w:hint="eastAsia" w:ascii="仿宋_GB2312" w:hAnsi="华文仿宋" w:eastAsia="仿宋_GB2312" w:cs="华文仿宋"/>
          <w:sz w:val="32"/>
          <w:szCs w:val="32"/>
        </w:rPr>
        <w:t>万元，公用经费</w:t>
      </w:r>
      <w:r>
        <w:rPr>
          <w:rFonts w:ascii="仿宋_GB2312" w:hAnsi="华文仿宋" w:eastAsia="仿宋_GB2312" w:cs="华文仿宋"/>
          <w:sz w:val="32"/>
          <w:szCs w:val="32"/>
        </w:rPr>
        <w:t>12.65</w:t>
      </w:r>
      <w:r>
        <w:rPr>
          <w:rFonts w:hint="eastAsia" w:ascii="仿宋_GB2312" w:hAnsi="华文仿宋" w:eastAsia="仿宋_GB2312" w:cs="华文仿宋"/>
          <w:sz w:val="32"/>
          <w:szCs w:val="32"/>
        </w:rPr>
        <w:t>万元，用于保障机构正常运转和日常工作需要。</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color w:val="000000"/>
          <w:sz w:val="32"/>
          <w:szCs w:val="32"/>
        </w:rPr>
        <w:t>本部门无政府性基金决算收支，并已公开空表。</w:t>
      </w:r>
      <w:r>
        <w:rPr>
          <w:rFonts w:ascii="仿宋_GB2312" w:hAnsi="华文仿宋" w:eastAsia="仿宋_GB2312" w:cs="华文仿宋"/>
          <w:sz w:val="32"/>
          <w:szCs w:val="32"/>
        </w:rPr>
        <w:t xml:space="preserve"> </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本部门无国有资本经营决算拨款收支。</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本部门</w:t>
      </w:r>
      <w:r>
        <w:rPr>
          <w:rFonts w:ascii="仿宋_GB2312" w:hAnsi="华文仿宋" w:eastAsia="仿宋_GB2312" w:cs="华文仿宋"/>
          <w:szCs w:val="32"/>
        </w:rPr>
        <w:t>2017</w:t>
      </w:r>
      <w:r>
        <w:rPr>
          <w:rFonts w:hint="eastAsia" w:ascii="仿宋_GB2312" w:hAnsi="华文仿宋" w:eastAsia="仿宋_GB2312" w:cs="华文仿宋"/>
          <w:szCs w:val="32"/>
        </w:rPr>
        <w:t>年无政府采购支出。</w:t>
      </w:r>
    </w:p>
    <w:p>
      <w:pPr>
        <w:spacing w:line="560" w:lineRule="exact"/>
        <w:ind w:firstLine="643" w:firstLineChars="200"/>
        <w:rPr>
          <w:rFonts w:ascii="楷体_GB2312" w:hAnsi="楷体_GB2312" w:eastAsia="楷体_GB2312" w:cs="楷体_GB2312"/>
          <w:b/>
          <w:bCs/>
          <w:szCs w:val="32"/>
        </w:rPr>
      </w:pPr>
      <w:r>
        <w:rPr>
          <w:rFonts w:ascii="楷体_GB2312" w:hAnsi="楷体_GB2312" w:eastAsia="楷体_GB2312" w:cs="楷体_GB2312"/>
          <w:b/>
          <w:bCs/>
          <w:szCs w:val="32"/>
        </w:rPr>
        <w:t>(</w:t>
      </w:r>
      <w:r>
        <w:rPr>
          <w:rFonts w:hint="eastAsia" w:ascii="楷体_GB2312" w:hAnsi="楷体_GB2312" w:eastAsia="楷体_GB2312" w:cs="楷体_GB2312"/>
          <w:b/>
          <w:bCs/>
          <w:szCs w:val="32"/>
        </w:rPr>
        <w:t>三</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年“三公”经费、培训费及会议费支出情况</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年度一般公共预算财政拨款安排的“三公”经费支出</w:t>
      </w:r>
      <w:r>
        <w:rPr>
          <w:rFonts w:ascii="仿宋_GB2312" w:hAnsi="华文仿宋" w:eastAsia="仿宋_GB2312" w:cs="华文仿宋"/>
          <w:szCs w:val="32"/>
        </w:rPr>
        <w:t>12.13</w:t>
      </w:r>
      <w:r>
        <w:rPr>
          <w:rFonts w:hint="eastAsia" w:ascii="仿宋_GB2312" w:hAnsi="华文仿宋" w:eastAsia="仿宋_GB2312" w:cs="华文仿宋"/>
          <w:szCs w:val="32"/>
        </w:rPr>
        <w:t>万元，其中：因公出国（境）费支出</w:t>
      </w:r>
      <w:r>
        <w:rPr>
          <w:rFonts w:ascii="仿宋_GB2312" w:hAnsi="华文仿宋" w:eastAsia="仿宋_GB2312" w:cs="华文仿宋"/>
          <w:szCs w:val="32"/>
        </w:rPr>
        <w:t>0</w:t>
      </w:r>
      <w:r>
        <w:rPr>
          <w:rFonts w:hint="eastAsia" w:ascii="仿宋_GB2312" w:hAnsi="华文仿宋" w:eastAsia="仿宋_GB2312" w:cs="华文仿宋"/>
          <w:szCs w:val="32"/>
        </w:rPr>
        <w:t>万元，占“三公”经费的</w:t>
      </w:r>
      <w:r>
        <w:rPr>
          <w:rFonts w:ascii="仿宋_GB2312" w:hAnsi="华文仿宋" w:eastAsia="仿宋_GB2312" w:cs="华文仿宋"/>
          <w:szCs w:val="32"/>
        </w:rPr>
        <w:t>0%</w:t>
      </w:r>
      <w:r>
        <w:rPr>
          <w:rFonts w:hint="eastAsia" w:ascii="仿宋_GB2312" w:hAnsi="华文仿宋" w:eastAsia="仿宋_GB2312" w:cs="华文仿宋"/>
          <w:szCs w:val="32"/>
        </w:rPr>
        <w:t>；公务接待费支出</w:t>
      </w:r>
      <w:r>
        <w:rPr>
          <w:rFonts w:ascii="仿宋_GB2312" w:hAnsi="华文仿宋" w:eastAsia="仿宋_GB2312" w:cs="华文仿宋"/>
          <w:szCs w:val="32"/>
        </w:rPr>
        <w:t>9.66</w:t>
      </w:r>
      <w:r>
        <w:rPr>
          <w:rFonts w:hint="eastAsia" w:ascii="仿宋_GB2312" w:hAnsi="华文仿宋" w:eastAsia="仿宋_GB2312" w:cs="华文仿宋"/>
          <w:szCs w:val="32"/>
        </w:rPr>
        <w:t>万元，占“三公”经费的</w:t>
      </w:r>
      <w:r>
        <w:rPr>
          <w:rFonts w:ascii="仿宋_GB2312" w:hAnsi="华文仿宋" w:eastAsia="仿宋_GB2312" w:cs="华文仿宋"/>
          <w:szCs w:val="32"/>
        </w:rPr>
        <w:t>80%</w:t>
      </w:r>
      <w:r>
        <w:rPr>
          <w:rFonts w:hint="eastAsia" w:ascii="仿宋_GB2312" w:hAnsi="华文仿宋" w:eastAsia="仿宋_GB2312" w:cs="华文仿宋"/>
          <w:szCs w:val="32"/>
        </w:rPr>
        <w:t>；公务用车购置及运行费支出</w:t>
      </w:r>
      <w:r>
        <w:rPr>
          <w:rFonts w:ascii="仿宋_GB2312" w:hAnsi="华文仿宋" w:eastAsia="仿宋_GB2312" w:cs="华文仿宋"/>
          <w:szCs w:val="32"/>
        </w:rPr>
        <w:t>2.47</w:t>
      </w:r>
      <w:r>
        <w:rPr>
          <w:rFonts w:hint="eastAsia" w:ascii="仿宋_GB2312" w:hAnsi="华文仿宋" w:eastAsia="仿宋_GB2312" w:cs="华文仿宋"/>
          <w:szCs w:val="32"/>
        </w:rPr>
        <w:t>万元，占“三公”经费的</w:t>
      </w:r>
      <w:r>
        <w:rPr>
          <w:rFonts w:ascii="仿宋_GB2312" w:hAnsi="华文仿宋" w:eastAsia="仿宋_GB2312" w:cs="华文仿宋"/>
          <w:szCs w:val="32"/>
        </w:rPr>
        <w:t>20%</w:t>
      </w:r>
      <w:r>
        <w:rPr>
          <w:rFonts w:hint="eastAsia" w:ascii="仿宋_GB2312" w:hAnsi="华文仿宋" w:eastAsia="仿宋_GB2312" w:cs="华文仿宋"/>
          <w:szCs w:val="32"/>
        </w:rPr>
        <w:t>。</w:t>
      </w:r>
      <w:r>
        <w:rPr>
          <w:rFonts w:ascii="仿宋_GB2312" w:hAnsi="华文仿宋" w:eastAsia="仿宋_GB2312" w:cs="华文仿宋"/>
          <w:szCs w:val="32"/>
        </w:rPr>
        <w:t>2017</w:t>
      </w:r>
      <w:r>
        <w:rPr>
          <w:rFonts w:hint="eastAsia" w:ascii="仿宋_GB2312" w:hAnsi="华文仿宋" w:eastAsia="仿宋_GB2312" w:cs="华文仿宋"/>
          <w:szCs w:val="32"/>
        </w:rPr>
        <w:t>年度“三公”经费支出比上年增加</w:t>
      </w:r>
      <w:r>
        <w:rPr>
          <w:rFonts w:ascii="仿宋_GB2312" w:hAnsi="华文仿宋" w:eastAsia="仿宋_GB2312" w:cs="华文仿宋"/>
          <w:szCs w:val="32"/>
        </w:rPr>
        <w:t>9.85</w:t>
      </w:r>
      <w:r>
        <w:rPr>
          <w:rFonts w:hint="eastAsia" w:ascii="仿宋_GB2312" w:hAnsi="华文仿宋" w:eastAsia="仿宋_GB2312" w:cs="华文仿宋"/>
          <w:szCs w:val="32"/>
        </w:rPr>
        <w:t>万元，增长</w:t>
      </w:r>
      <w:r>
        <w:rPr>
          <w:rFonts w:ascii="仿宋_GB2312" w:hAnsi="华文仿宋" w:eastAsia="仿宋_GB2312" w:cs="华文仿宋"/>
          <w:szCs w:val="32"/>
        </w:rPr>
        <w:t>81%</w:t>
      </w:r>
      <w:r>
        <w:rPr>
          <w:rFonts w:hint="eastAsia" w:ascii="仿宋_GB2312" w:hAnsi="华文仿宋" w:eastAsia="仿宋_GB2312" w:cs="华文仿宋"/>
          <w:szCs w:val="32"/>
        </w:rPr>
        <w:t>，具体情况如下：</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公务接待费支出</w:t>
      </w:r>
      <w:r>
        <w:rPr>
          <w:rFonts w:ascii="仿宋_GB2312" w:hAnsi="华文仿宋" w:eastAsia="仿宋_GB2312" w:cs="华文仿宋"/>
          <w:szCs w:val="32"/>
        </w:rPr>
        <w:t>9.66</w:t>
      </w:r>
      <w:r>
        <w:rPr>
          <w:rFonts w:hint="eastAsia" w:ascii="仿宋_GB2312" w:hAnsi="华文仿宋" w:eastAsia="仿宋_GB2312" w:cs="华文仿宋"/>
          <w:szCs w:val="32"/>
        </w:rPr>
        <w:t>万元。其中：</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国内公务接待支出</w:t>
      </w:r>
      <w:r>
        <w:rPr>
          <w:rFonts w:ascii="仿宋_GB2312" w:hAnsi="华文仿宋" w:eastAsia="仿宋_GB2312" w:cs="华文仿宋"/>
          <w:szCs w:val="32"/>
        </w:rPr>
        <w:t>9.66</w:t>
      </w:r>
      <w:r>
        <w:rPr>
          <w:rFonts w:hint="eastAsia" w:ascii="仿宋_GB2312" w:hAnsi="华文仿宋" w:eastAsia="仿宋_GB2312" w:cs="华文仿宋"/>
          <w:szCs w:val="32"/>
        </w:rPr>
        <w:t>万元，比上年决算增加</w:t>
      </w:r>
      <w:r>
        <w:rPr>
          <w:rFonts w:ascii="仿宋_GB2312" w:hAnsi="华文仿宋" w:eastAsia="仿宋_GB2312" w:cs="华文仿宋"/>
          <w:szCs w:val="32"/>
        </w:rPr>
        <w:t xml:space="preserve">8.92     </w:t>
      </w:r>
      <w:r>
        <w:rPr>
          <w:rFonts w:hint="eastAsia" w:ascii="仿宋_GB2312" w:hAnsi="华文仿宋" w:eastAsia="仿宋_GB2312" w:cs="华文仿宋"/>
          <w:szCs w:val="32"/>
        </w:rPr>
        <w:t>万元，主要原因为加大招商引资，来阎考察客商增加。全年使用一般公共预算财政拨款安排的国内公务接待</w:t>
      </w:r>
      <w:r>
        <w:rPr>
          <w:rFonts w:ascii="仿宋_GB2312" w:hAnsi="华文仿宋" w:eastAsia="仿宋_GB2312" w:cs="华文仿宋"/>
          <w:szCs w:val="32"/>
        </w:rPr>
        <w:t>131</w:t>
      </w:r>
      <w:r>
        <w:rPr>
          <w:rFonts w:hint="eastAsia" w:ascii="仿宋_GB2312" w:hAnsi="华文仿宋" w:eastAsia="仿宋_GB2312" w:cs="华文仿宋"/>
          <w:szCs w:val="32"/>
        </w:rPr>
        <w:t>批次，</w:t>
      </w:r>
      <w:r>
        <w:rPr>
          <w:rFonts w:ascii="仿宋_GB2312" w:hAnsi="华文仿宋" w:eastAsia="仿宋_GB2312" w:cs="华文仿宋"/>
          <w:szCs w:val="32"/>
        </w:rPr>
        <w:t>880</w:t>
      </w:r>
      <w:r>
        <w:rPr>
          <w:rFonts w:hint="eastAsia" w:ascii="仿宋_GB2312" w:hAnsi="华文仿宋" w:eastAsia="仿宋_GB2312" w:cs="华文仿宋"/>
          <w:szCs w:val="32"/>
        </w:rPr>
        <w:t>人次。开支内容主要为客商招待支出。</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无公务用车购置及运行费支出。</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公务用车运行维护费支出</w:t>
      </w:r>
      <w:r>
        <w:rPr>
          <w:rFonts w:ascii="仿宋_GB2312" w:hAnsi="华文仿宋" w:eastAsia="仿宋_GB2312" w:cs="华文仿宋"/>
          <w:szCs w:val="32"/>
        </w:rPr>
        <w:t>2.47</w:t>
      </w:r>
      <w:r>
        <w:rPr>
          <w:rFonts w:hint="eastAsia" w:ascii="仿宋_GB2312" w:hAnsi="华文仿宋" w:eastAsia="仿宋_GB2312" w:cs="华文仿宋"/>
          <w:szCs w:val="32"/>
        </w:rPr>
        <w:t>万元，比上年决算增加</w:t>
      </w:r>
      <w:r>
        <w:rPr>
          <w:rFonts w:ascii="仿宋_GB2312" w:hAnsi="华文仿宋" w:eastAsia="仿宋_GB2312" w:cs="华文仿宋"/>
          <w:szCs w:val="32"/>
        </w:rPr>
        <w:t>0.93</w:t>
      </w:r>
      <w:r>
        <w:rPr>
          <w:rFonts w:hint="eastAsia" w:ascii="仿宋_GB2312" w:hAnsi="华文仿宋" w:eastAsia="仿宋_GB2312" w:cs="华文仿宋"/>
          <w:szCs w:val="32"/>
        </w:rPr>
        <w:t>万元，主要原因为加大执法检查外出力度。</w:t>
      </w:r>
      <w:r>
        <w:rPr>
          <w:rFonts w:ascii="仿宋_GB2312" w:hAnsi="华文仿宋" w:eastAsia="仿宋_GB2312" w:cs="华文仿宋"/>
          <w:szCs w:val="32"/>
        </w:rPr>
        <w:t>2017</w:t>
      </w:r>
      <w:r>
        <w:rPr>
          <w:rFonts w:hint="eastAsia" w:ascii="仿宋_GB2312" w:hAnsi="华文仿宋" w:eastAsia="仿宋_GB2312" w:cs="华文仿宋"/>
          <w:szCs w:val="32"/>
        </w:rPr>
        <w:t>年使用一般公共预算财政拨款开支维护费的公务用车保有量</w:t>
      </w:r>
      <w:r>
        <w:rPr>
          <w:rFonts w:ascii="仿宋_GB2312" w:hAnsi="华文仿宋" w:eastAsia="仿宋_GB2312" w:cs="华文仿宋"/>
          <w:szCs w:val="32"/>
        </w:rPr>
        <w:t>1</w:t>
      </w:r>
      <w:r>
        <w:rPr>
          <w:rFonts w:hint="eastAsia" w:ascii="仿宋_GB2312" w:hAnsi="华文仿宋" w:eastAsia="仿宋_GB2312" w:cs="华文仿宋"/>
          <w:szCs w:val="32"/>
        </w:rPr>
        <w:t>辆。</w:t>
      </w:r>
    </w:p>
    <w:p>
      <w:pPr>
        <w:pStyle w:val="4"/>
        <w:spacing w:before="0" w:beforeAutospacing="0" w:after="0" w:afterAutospacing="0" w:line="560" w:lineRule="exact"/>
        <w:ind w:firstLine="640" w:firstLineChars="200"/>
        <w:rPr>
          <w:rFonts w:ascii="仿宋_GB2312" w:hAnsi="楷体_GB2312" w:eastAsia="仿宋_GB2312" w:cs="楷体_GB2312"/>
          <w:sz w:val="32"/>
          <w:szCs w:val="32"/>
        </w:rPr>
      </w:pPr>
      <w:r>
        <w:rPr>
          <w:rFonts w:ascii="仿宋_GB2312" w:hAnsi="楷体_GB2312" w:eastAsia="仿宋_GB2312" w:cs="楷体_GB2312"/>
          <w:color w:val="000000"/>
          <w:sz w:val="32"/>
          <w:szCs w:val="32"/>
        </w:rPr>
        <w:t>2.</w:t>
      </w:r>
      <w:r>
        <w:rPr>
          <w:rFonts w:hint="eastAsia" w:ascii="仿宋_GB2312" w:hAnsi="楷体_GB2312" w:eastAsia="仿宋_GB2312" w:cs="楷体_GB2312"/>
          <w:sz w:val="32"/>
          <w:szCs w:val="32"/>
        </w:rPr>
        <w:t>培训费支出决算情况</w:t>
      </w:r>
    </w:p>
    <w:p>
      <w:pPr>
        <w:pStyle w:val="4"/>
        <w:shd w:val="clear" w:color="auto" w:fill="FFFFFF"/>
        <w:spacing w:before="0" w:beforeAutospacing="0" w:after="0" w:afterAutospacing="0" w:line="560" w:lineRule="exact"/>
        <w:ind w:firstLine="600"/>
        <w:rPr>
          <w:rFonts w:ascii="仿宋_GB2312" w:hAnsi="华文仿宋" w:eastAsia="仿宋_GB2312" w:cs="华文仿宋"/>
          <w:color w:val="000000"/>
          <w:sz w:val="32"/>
          <w:szCs w:val="32"/>
        </w:rPr>
      </w:pPr>
      <w:r>
        <w:rPr>
          <w:rFonts w:hint="eastAsia" w:ascii="仿宋_GB2312" w:hAnsi="华文仿宋" w:eastAsia="仿宋_GB2312" w:cs="华文仿宋"/>
          <w:sz w:val="32"/>
          <w:szCs w:val="32"/>
        </w:rPr>
        <w:t>培训费支出</w:t>
      </w:r>
      <w:r>
        <w:rPr>
          <w:rFonts w:ascii="仿宋_GB2312" w:hAnsi="华文仿宋" w:eastAsia="仿宋_GB2312" w:cs="华文仿宋"/>
          <w:sz w:val="32"/>
          <w:szCs w:val="32"/>
        </w:rPr>
        <w:t>0.43</w:t>
      </w:r>
      <w:r>
        <w:rPr>
          <w:rFonts w:hint="eastAsia" w:ascii="仿宋_GB2312" w:hAnsi="华文仿宋" w:eastAsia="仿宋_GB2312" w:cs="华文仿宋"/>
          <w:sz w:val="32"/>
          <w:szCs w:val="32"/>
        </w:rPr>
        <w:t>万元，主要是节能项目培训支出，较</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年增加</w:t>
      </w:r>
      <w:r>
        <w:rPr>
          <w:rFonts w:ascii="仿宋_GB2312" w:hAnsi="华文仿宋" w:eastAsia="仿宋_GB2312" w:cs="华文仿宋"/>
          <w:sz w:val="32"/>
          <w:szCs w:val="32"/>
        </w:rPr>
        <w:t>0.43</w:t>
      </w:r>
      <w:r>
        <w:rPr>
          <w:rFonts w:hint="eastAsia" w:ascii="仿宋_GB2312" w:hAnsi="华文仿宋" w:eastAsia="仿宋_GB2312" w:cs="华文仿宋"/>
          <w:sz w:val="32"/>
          <w:szCs w:val="32"/>
        </w:rPr>
        <w:t>万元，增长</w:t>
      </w:r>
      <w:r>
        <w:rPr>
          <w:rFonts w:ascii="仿宋_GB2312" w:hAnsi="华文仿宋" w:eastAsia="仿宋_GB2312" w:cs="华文仿宋"/>
          <w:sz w:val="32"/>
          <w:szCs w:val="32"/>
        </w:rPr>
        <w:t>100%</w:t>
      </w:r>
      <w:r>
        <w:rPr>
          <w:rFonts w:hint="eastAsia" w:ascii="仿宋_GB2312" w:hAnsi="华文仿宋" w:eastAsia="仿宋_GB2312" w:cs="华文仿宋"/>
          <w:sz w:val="32"/>
          <w:szCs w:val="32"/>
        </w:rPr>
        <w:t>，</w:t>
      </w:r>
      <w:r>
        <w:rPr>
          <w:rFonts w:hint="eastAsia" w:ascii="仿宋_GB2312" w:hAnsi="华文仿宋" w:eastAsia="仿宋_GB2312" w:cs="华文仿宋"/>
          <w:color w:val="000000"/>
          <w:sz w:val="32"/>
          <w:szCs w:val="32"/>
        </w:rPr>
        <w:t>原因加大外出培训，提高业务能力。</w:t>
      </w:r>
    </w:p>
    <w:p>
      <w:pPr>
        <w:pStyle w:val="4"/>
        <w:spacing w:before="0" w:beforeAutospacing="0" w:after="0" w:afterAutospacing="0" w:line="560" w:lineRule="exact"/>
        <w:ind w:firstLine="640" w:firstLineChars="200"/>
        <w:rPr>
          <w:rFonts w:ascii="仿宋_GB2312" w:hAnsi="楷体_GB2312" w:eastAsia="仿宋_GB2312" w:cs="楷体_GB2312"/>
          <w:b/>
          <w:bCs/>
          <w:sz w:val="32"/>
          <w:szCs w:val="32"/>
        </w:rPr>
      </w:pPr>
      <w:r>
        <w:rPr>
          <w:rFonts w:ascii="仿宋_GB2312" w:hAnsi="楷体_GB2312" w:eastAsia="仿宋_GB2312" w:cs="楷体_GB2312"/>
          <w:sz w:val="32"/>
          <w:szCs w:val="32"/>
        </w:rPr>
        <w:t>3.</w:t>
      </w:r>
      <w:r>
        <w:rPr>
          <w:rFonts w:hint="eastAsia" w:ascii="仿宋_GB2312" w:hAnsi="楷体_GB2312" w:eastAsia="仿宋_GB2312" w:cs="楷体_GB2312"/>
          <w:sz w:val="32"/>
          <w:szCs w:val="32"/>
        </w:rPr>
        <w:t>会议费支出决算情况</w:t>
      </w:r>
    </w:p>
    <w:p>
      <w:pPr>
        <w:pStyle w:val="4"/>
        <w:spacing w:before="0" w:beforeAutospacing="0" w:after="0" w:afterAutospacing="0" w:line="560" w:lineRule="exact"/>
        <w:ind w:firstLine="640" w:firstLineChars="200"/>
        <w:rPr>
          <w:rFonts w:hint="eastAsia" w:ascii="仿宋_GB2312" w:hAnsi="华文仿宋" w:eastAsia="仿宋_GB2312" w:cs="华文仿宋"/>
          <w:color w:val="000000"/>
          <w:sz w:val="32"/>
          <w:szCs w:val="32"/>
        </w:rPr>
      </w:pPr>
      <w:r>
        <w:rPr>
          <w:rFonts w:hint="eastAsia" w:ascii="仿宋_GB2312" w:hAnsi="华文仿宋" w:eastAsia="仿宋_GB2312" w:cs="华文仿宋"/>
          <w:sz w:val="32"/>
          <w:szCs w:val="32"/>
        </w:rPr>
        <w:t>会议费支出</w:t>
      </w:r>
      <w:r>
        <w:rPr>
          <w:rFonts w:ascii="仿宋_GB2312" w:hAnsi="华文仿宋" w:eastAsia="仿宋_GB2312" w:cs="华文仿宋"/>
          <w:sz w:val="32"/>
          <w:szCs w:val="32"/>
        </w:rPr>
        <w:t>0</w:t>
      </w:r>
      <w:r>
        <w:rPr>
          <w:rFonts w:hint="eastAsia" w:ascii="仿宋_GB2312" w:hAnsi="华文仿宋" w:eastAsia="仿宋_GB2312" w:cs="华文仿宋"/>
          <w:sz w:val="32"/>
          <w:szCs w:val="32"/>
        </w:rPr>
        <w:t>万元，较</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年减少</w:t>
      </w:r>
      <w:r>
        <w:rPr>
          <w:rFonts w:ascii="仿宋_GB2312" w:hAnsi="华文仿宋" w:eastAsia="仿宋_GB2312" w:cs="华文仿宋"/>
          <w:sz w:val="32"/>
          <w:szCs w:val="32"/>
        </w:rPr>
        <w:t>0.64</w:t>
      </w:r>
      <w:r>
        <w:rPr>
          <w:rFonts w:hint="eastAsia" w:ascii="仿宋_GB2312" w:hAnsi="华文仿宋" w:eastAsia="仿宋_GB2312" w:cs="华文仿宋"/>
          <w:sz w:val="32"/>
          <w:szCs w:val="32"/>
        </w:rPr>
        <w:t>万元，下降</w:t>
      </w:r>
      <w:r>
        <w:rPr>
          <w:rFonts w:ascii="仿宋_GB2312" w:hAnsi="华文仿宋" w:eastAsia="仿宋_GB2312" w:cs="华文仿宋"/>
          <w:sz w:val="32"/>
          <w:szCs w:val="32"/>
        </w:rPr>
        <w:t>100%,</w:t>
      </w:r>
      <w:r>
        <w:rPr>
          <w:rFonts w:hint="eastAsia" w:ascii="仿宋_GB2312" w:hAnsi="华文仿宋" w:eastAsia="仿宋_GB2312" w:cs="华文仿宋"/>
          <w:color w:val="000000"/>
          <w:sz w:val="32"/>
          <w:szCs w:val="32"/>
        </w:rPr>
        <w:t>原因减少会议。</w:t>
      </w:r>
    </w:p>
    <w:p>
      <w:pPr>
        <w:pStyle w:val="4"/>
        <w:spacing w:before="0" w:beforeAutospacing="0" w:after="0" w:afterAutospacing="0" w:line="560" w:lineRule="exact"/>
        <w:ind w:firstLine="640" w:firstLineChars="200"/>
        <w:rPr>
          <w:rFonts w:hint="eastAsia" w:ascii="仿宋_GB2312" w:hAnsi="华文仿宋" w:eastAsia="仿宋_GB2312" w:cs="华文仿宋"/>
          <w:color w:val="000000"/>
          <w:sz w:val="32"/>
          <w:szCs w:val="32"/>
          <w:lang w:val="en-US" w:eastAsia="zh-CN"/>
        </w:rPr>
      </w:pPr>
      <w:r>
        <w:rPr>
          <w:rFonts w:hint="eastAsia" w:ascii="仿宋_GB2312" w:hAnsi="华文仿宋" w:eastAsia="仿宋_GB2312" w:cs="华文仿宋"/>
          <w:color w:val="000000"/>
          <w:sz w:val="32"/>
          <w:szCs w:val="32"/>
          <w:lang w:val="en-US" w:eastAsia="zh-CN"/>
        </w:rPr>
        <w:t>4.无因公出国经费支出。</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Cs w:val="32"/>
        </w:rPr>
      </w:pPr>
      <w:r>
        <w:rPr>
          <w:rStyle w:val="7"/>
          <w:rFonts w:hint="eastAsia" w:ascii="黑体" w:eastAsia="黑体" w:cs="黑体"/>
          <w:b w:val="0"/>
          <w:color w:val="000000"/>
          <w:sz w:val="32"/>
          <w:szCs w:val="32"/>
        </w:rPr>
        <w:t>六、</w:t>
      </w:r>
      <w:r>
        <w:rPr>
          <w:rStyle w:val="7"/>
          <w:rFonts w:ascii="黑体" w:eastAsia="黑体" w:cs="黑体"/>
          <w:b w:val="0"/>
          <w:color w:val="000000"/>
          <w:sz w:val="32"/>
          <w:szCs w:val="32"/>
        </w:rPr>
        <w:t>2017</w:t>
      </w:r>
      <w:r>
        <w:rPr>
          <w:rStyle w:val="7"/>
          <w:rFonts w:hint="eastAsia" w:ascii="黑体" w:eastAsia="黑体" w:cs="黑体"/>
          <w:b w:val="0"/>
          <w:color w:val="000000"/>
          <w:sz w:val="32"/>
          <w:szCs w:val="32"/>
        </w:rPr>
        <w:t>年度部门绩效管理情况说明</w:t>
      </w:r>
    </w:p>
    <w:p>
      <w:pPr>
        <w:spacing w:line="560" w:lineRule="exact"/>
        <w:ind w:firstLine="800" w:firstLineChars="250"/>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年本部门无专项业务经费项目绩效管理。</w:t>
      </w:r>
    </w:p>
    <w:p>
      <w:pPr>
        <w:pStyle w:val="4"/>
        <w:shd w:val="clear" w:color="auto" w:fill="FFFFFF"/>
        <w:spacing w:before="0" w:beforeAutospacing="0" w:after="0" w:afterAutospacing="0" w:line="560" w:lineRule="exact"/>
        <w:ind w:firstLine="640" w:firstLineChars="200"/>
        <w:rPr>
          <w:rStyle w:val="7"/>
          <w:rFonts w:ascii="黑体" w:eastAsia="黑体" w:cs="黑体"/>
          <w:b w:val="0"/>
          <w:bCs w:val="0"/>
          <w:color w:val="000000"/>
          <w:sz w:val="32"/>
          <w:szCs w:val="32"/>
        </w:rPr>
      </w:pPr>
      <w:r>
        <w:rPr>
          <w:rStyle w:val="7"/>
          <w:rFonts w:hint="eastAsia" w:ascii="黑体" w:eastAsia="黑体" w:cs="黑体"/>
          <w:b w:val="0"/>
          <w:bCs w:val="0"/>
          <w:color w:val="000000"/>
          <w:sz w:val="32"/>
          <w:szCs w:val="32"/>
        </w:rPr>
        <w:t>七、</w:t>
      </w:r>
      <w:r>
        <w:rPr>
          <w:rStyle w:val="7"/>
          <w:rFonts w:ascii="黑体" w:eastAsia="黑体" w:cs="黑体"/>
          <w:b w:val="0"/>
          <w:bCs w:val="0"/>
          <w:color w:val="000000"/>
          <w:sz w:val="32"/>
          <w:szCs w:val="32"/>
        </w:rPr>
        <w:t>2017</w:t>
      </w:r>
      <w:r>
        <w:rPr>
          <w:rStyle w:val="7"/>
          <w:rFonts w:hint="eastAsia" w:ascii="黑体" w:eastAsia="黑体" w:cs="黑体"/>
          <w:b w:val="0"/>
          <w:bCs w:val="0"/>
          <w:color w:val="000000"/>
          <w:sz w:val="32"/>
          <w:szCs w:val="32"/>
        </w:rPr>
        <w:t>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年本部门机关运行经费支出</w:t>
      </w:r>
      <w:r>
        <w:rPr>
          <w:rFonts w:ascii="仿宋_GB2312" w:hAnsi="华文仿宋" w:eastAsia="仿宋_GB2312" w:cs="华文仿宋"/>
          <w:sz w:val="32"/>
          <w:szCs w:val="32"/>
        </w:rPr>
        <w:t>12.25</w:t>
      </w:r>
      <w:r>
        <w:rPr>
          <w:rFonts w:hint="eastAsia" w:ascii="仿宋_GB2312" w:hAnsi="华文仿宋" w:eastAsia="仿宋_GB2312" w:cs="华文仿宋"/>
          <w:sz w:val="32"/>
          <w:szCs w:val="32"/>
        </w:rPr>
        <w:t>万元，用于维持机关日常运转所必需的公用支出。其中：行政单位</w:t>
      </w:r>
      <w:r>
        <w:rPr>
          <w:rFonts w:ascii="仿宋_GB2312" w:hAnsi="华文仿宋" w:eastAsia="仿宋_GB2312" w:cs="华文仿宋"/>
          <w:sz w:val="32"/>
          <w:szCs w:val="32"/>
        </w:rPr>
        <w:t>1</w:t>
      </w:r>
      <w:r>
        <w:rPr>
          <w:rFonts w:hint="eastAsia" w:ascii="仿宋_GB2312" w:hAnsi="华文仿宋" w:eastAsia="仿宋_GB2312" w:cs="华文仿宋"/>
          <w:sz w:val="32"/>
          <w:szCs w:val="32"/>
        </w:rPr>
        <w:t>户，合计</w:t>
      </w:r>
      <w:r>
        <w:rPr>
          <w:rFonts w:ascii="仿宋_GB2312" w:hAnsi="华文仿宋" w:eastAsia="仿宋_GB2312" w:cs="华文仿宋"/>
          <w:sz w:val="32"/>
          <w:szCs w:val="32"/>
        </w:rPr>
        <w:t>12.25</w:t>
      </w:r>
      <w:r>
        <w:rPr>
          <w:rFonts w:hint="eastAsia" w:ascii="仿宋_GB2312" w:hAnsi="华文仿宋" w:eastAsia="仿宋_GB2312" w:cs="华文仿宋"/>
          <w:sz w:val="32"/>
          <w:szCs w:val="32"/>
        </w:rPr>
        <w:t>万元，占机关运行经费的</w:t>
      </w:r>
      <w:r>
        <w:rPr>
          <w:rFonts w:ascii="仿宋_GB2312" w:hAnsi="华文仿宋" w:eastAsia="仿宋_GB2312" w:cs="华文仿宋"/>
          <w:sz w:val="32"/>
          <w:szCs w:val="32"/>
        </w:rPr>
        <w:t>97%</w:t>
      </w:r>
      <w:r>
        <w:rPr>
          <w:rFonts w:hint="eastAsia" w:ascii="仿宋_GB2312" w:hAnsi="华文仿宋" w:eastAsia="仿宋_GB2312" w:cs="华文仿宋"/>
          <w:sz w:val="32"/>
          <w:szCs w:val="32"/>
        </w:rPr>
        <w:t>；</w:t>
      </w:r>
      <w:r>
        <w:rPr>
          <w:rFonts w:ascii="仿宋_GB2312" w:hAnsi="华文仿宋" w:eastAsia="仿宋_GB2312" w:cs="华文仿宋"/>
          <w:sz w:val="32"/>
          <w:szCs w:val="32"/>
        </w:rPr>
        <w:t xml:space="preserve"> 2017</w:t>
      </w:r>
      <w:r>
        <w:rPr>
          <w:rFonts w:hint="eastAsia" w:ascii="仿宋_GB2312" w:hAnsi="华文仿宋" w:eastAsia="仿宋_GB2312" w:cs="华文仿宋"/>
          <w:sz w:val="32"/>
          <w:szCs w:val="32"/>
        </w:rPr>
        <w:t>年机关运行经费支出比</w:t>
      </w:r>
      <w:r>
        <w:rPr>
          <w:rFonts w:ascii="仿宋_GB2312" w:hAnsi="华文仿宋" w:eastAsia="仿宋_GB2312" w:cs="华文仿宋"/>
          <w:sz w:val="32"/>
          <w:szCs w:val="32"/>
        </w:rPr>
        <w:t>2016</w:t>
      </w:r>
      <w:r>
        <w:rPr>
          <w:rFonts w:hint="eastAsia" w:ascii="仿宋_GB2312" w:hAnsi="华文仿宋" w:eastAsia="仿宋_GB2312" w:cs="华文仿宋"/>
          <w:sz w:val="32"/>
          <w:szCs w:val="32"/>
        </w:rPr>
        <w:t>年同口径减少</w:t>
      </w:r>
      <w:r>
        <w:rPr>
          <w:rFonts w:ascii="仿宋_GB2312" w:hAnsi="华文仿宋" w:eastAsia="仿宋_GB2312" w:cs="华文仿宋"/>
          <w:sz w:val="32"/>
          <w:szCs w:val="32"/>
        </w:rPr>
        <w:t>45.89</w:t>
      </w:r>
      <w:r>
        <w:rPr>
          <w:rFonts w:hint="eastAsia" w:ascii="仿宋_GB2312" w:hAnsi="华文仿宋" w:eastAsia="仿宋_GB2312" w:cs="华文仿宋"/>
          <w:sz w:val="32"/>
          <w:szCs w:val="32"/>
        </w:rPr>
        <w:t>万元，下降</w:t>
      </w:r>
      <w:r>
        <w:rPr>
          <w:rFonts w:ascii="仿宋_GB2312" w:hAnsi="华文仿宋" w:eastAsia="仿宋_GB2312" w:cs="华文仿宋"/>
          <w:sz w:val="32"/>
          <w:szCs w:val="32"/>
        </w:rPr>
        <w:t>79%</w:t>
      </w:r>
      <w:r>
        <w:rPr>
          <w:rFonts w:hint="eastAsia" w:ascii="仿宋_GB2312" w:hAnsi="华文仿宋" w:eastAsia="仿宋_GB2312" w:cs="华文仿宋"/>
          <w:sz w:val="32"/>
          <w:szCs w:val="32"/>
        </w:rPr>
        <w:t>，主要原因是减少经费支出。</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截至</w:t>
      </w:r>
      <w:r>
        <w:rPr>
          <w:rFonts w:ascii="仿宋_GB2312" w:hAnsi="华文仿宋" w:eastAsia="仿宋_GB2312" w:cs="华文仿宋"/>
          <w:szCs w:val="32"/>
        </w:rPr>
        <w:t>2017</w:t>
      </w:r>
      <w:r>
        <w:rPr>
          <w:rFonts w:hint="eastAsia" w:ascii="仿宋_GB2312" w:hAnsi="华文仿宋" w:eastAsia="仿宋_GB2312" w:cs="华文仿宋"/>
          <w:szCs w:val="32"/>
        </w:rPr>
        <w:t>年末，本部门共有车辆</w:t>
      </w:r>
      <w:r>
        <w:rPr>
          <w:rFonts w:ascii="仿宋_GB2312" w:hAnsi="华文仿宋" w:eastAsia="仿宋_GB2312" w:cs="华文仿宋"/>
          <w:szCs w:val="32"/>
        </w:rPr>
        <w:t>1</w:t>
      </w:r>
      <w:r>
        <w:rPr>
          <w:rFonts w:hint="eastAsia" w:ascii="仿宋_GB2312" w:hAnsi="华文仿宋" w:eastAsia="仿宋_GB2312" w:cs="华文仿宋"/>
          <w:szCs w:val="32"/>
        </w:rPr>
        <w:t>辆，其中，一般公务用车</w:t>
      </w:r>
      <w:r>
        <w:rPr>
          <w:rFonts w:ascii="仿宋_GB2312" w:hAnsi="华文仿宋" w:eastAsia="仿宋_GB2312" w:cs="华文仿宋"/>
          <w:szCs w:val="32"/>
        </w:rPr>
        <w:t>0</w:t>
      </w:r>
      <w:r>
        <w:rPr>
          <w:rFonts w:hint="eastAsia" w:ascii="仿宋_GB2312" w:hAnsi="华文仿宋" w:eastAsia="仿宋_GB2312" w:cs="华文仿宋"/>
          <w:szCs w:val="32"/>
        </w:rPr>
        <w:t>辆、一般执法执勤用车</w:t>
      </w:r>
      <w:r>
        <w:rPr>
          <w:rFonts w:ascii="仿宋_GB2312" w:hAnsi="华文仿宋" w:eastAsia="仿宋_GB2312" w:cs="华文仿宋"/>
          <w:szCs w:val="32"/>
        </w:rPr>
        <w:t>1</w:t>
      </w:r>
      <w:r>
        <w:rPr>
          <w:rFonts w:hint="eastAsia" w:ascii="仿宋_GB2312" w:hAnsi="华文仿宋" w:eastAsia="仿宋_GB2312" w:cs="华文仿宋"/>
          <w:szCs w:val="32"/>
        </w:rPr>
        <w:t>辆、特种专业技术用车</w:t>
      </w:r>
      <w:r>
        <w:rPr>
          <w:rFonts w:ascii="仿宋_GB2312" w:hAnsi="华文仿宋" w:eastAsia="仿宋_GB2312" w:cs="华文仿宋"/>
          <w:szCs w:val="32"/>
        </w:rPr>
        <w:t>1</w:t>
      </w:r>
      <w:r>
        <w:rPr>
          <w:rFonts w:hint="eastAsia" w:ascii="仿宋_GB2312" w:hAnsi="华文仿宋" w:eastAsia="仿宋_GB2312" w:cs="华文仿宋"/>
          <w:szCs w:val="32"/>
        </w:rPr>
        <w:t>辆、其他用车</w:t>
      </w:r>
      <w:r>
        <w:rPr>
          <w:rFonts w:ascii="仿宋_GB2312" w:hAnsi="华文仿宋" w:eastAsia="仿宋_GB2312" w:cs="华文仿宋"/>
          <w:szCs w:val="32"/>
        </w:rPr>
        <w:t>0</w:t>
      </w:r>
      <w:r>
        <w:rPr>
          <w:rFonts w:hint="eastAsia" w:ascii="仿宋_GB2312" w:hAnsi="华文仿宋" w:eastAsia="仿宋_GB2312" w:cs="华文仿宋"/>
          <w:szCs w:val="32"/>
        </w:rPr>
        <w:t>辆；单价</w:t>
      </w:r>
      <w:r>
        <w:rPr>
          <w:rFonts w:ascii="仿宋_GB2312" w:hAnsi="华文仿宋" w:eastAsia="仿宋_GB2312" w:cs="华文仿宋"/>
          <w:szCs w:val="32"/>
        </w:rPr>
        <w:t>50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w:t>
      </w:r>
      <w:r>
        <w:rPr>
          <w:rFonts w:ascii="仿宋_GB2312" w:hAnsi="华文仿宋" w:eastAsia="仿宋_GB2312" w:cs="华文仿宋"/>
          <w:szCs w:val="32"/>
        </w:rPr>
        <w:t>2017</w:t>
      </w:r>
      <w:r>
        <w:rPr>
          <w:rFonts w:hint="eastAsia" w:ascii="仿宋_GB2312" w:hAnsi="华文仿宋" w:eastAsia="仿宋_GB2312" w:cs="华文仿宋"/>
          <w:szCs w:val="32"/>
        </w:rPr>
        <w:t>年当年购置车辆</w:t>
      </w:r>
      <w:r>
        <w:rPr>
          <w:rFonts w:ascii="仿宋_GB2312" w:hAnsi="华文仿宋" w:eastAsia="仿宋_GB2312" w:cs="华文仿宋"/>
          <w:szCs w:val="32"/>
        </w:rPr>
        <w:t>0</w:t>
      </w:r>
      <w:r>
        <w:rPr>
          <w:rFonts w:hint="eastAsia" w:ascii="仿宋_GB2312" w:hAnsi="华文仿宋" w:eastAsia="仿宋_GB2312" w:cs="华文仿宋"/>
          <w:szCs w:val="32"/>
        </w:rPr>
        <w:t>辆；购置单价</w:t>
      </w:r>
      <w:r>
        <w:rPr>
          <w:rFonts w:ascii="仿宋_GB2312" w:hAnsi="华文仿宋" w:eastAsia="仿宋_GB2312" w:cs="华文仿宋"/>
          <w:szCs w:val="32"/>
        </w:rPr>
        <w:t>50</w:t>
      </w:r>
      <w:r>
        <w:rPr>
          <w:rFonts w:hint="eastAsia" w:ascii="仿宋_GB2312" w:hAnsi="华文仿宋" w:eastAsia="仿宋_GB2312" w:cs="华文仿宋"/>
          <w:szCs w:val="32"/>
        </w:rPr>
        <w:t>万元以上的设备</w:t>
      </w:r>
      <w:r>
        <w:rPr>
          <w:rFonts w:ascii="仿宋_GB2312" w:hAnsi="华文仿宋" w:eastAsia="仿宋_GB2312" w:cs="华文仿宋"/>
          <w:szCs w:val="32"/>
        </w:rPr>
        <w:t>0</w:t>
      </w:r>
      <w:r>
        <w:rPr>
          <w:rFonts w:hint="eastAsia" w:ascii="仿宋_GB2312" w:hAnsi="华文仿宋" w:eastAsia="仿宋_GB2312" w:cs="华文仿宋"/>
          <w:szCs w:val="32"/>
        </w:rPr>
        <w:t>台（套）；购置单价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ascii="仿宋_GB2312" w:hAnsi="华文仿宋" w:eastAsia="仿宋_GB2312" w:cs="华文仿宋"/>
          <w:szCs w:val="32"/>
        </w:rPr>
        <w:t>0</w:t>
      </w:r>
      <w:r>
        <w:rPr>
          <w:rFonts w:hint="eastAsia" w:ascii="仿宋_GB2312" w:hAnsi="华文仿宋" w:eastAsia="仿宋_GB2312" w:cs="华文仿宋"/>
          <w:szCs w:val="32"/>
        </w:rPr>
        <w:t>台（套）。</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1</w:t>
      </w:r>
      <w:r>
        <w:rPr>
          <w:rFonts w:hint="eastAsia" w:ascii="仿宋_GB2312" w:hAnsi="华文仿宋" w:eastAsia="仿宋_GB2312" w:cs="华文仿宋"/>
          <w:szCs w:val="32"/>
        </w:rPr>
        <w:t>．基本支出：指为保障机构正常运转、完成日常工作任务而发生的各项支出。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2</w:t>
      </w:r>
      <w:r>
        <w:rPr>
          <w:rFonts w:hint="eastAsia" w:ascii="仿宋_GB2312" w:hAnsi="华文仿宋" w:eastAsia="仿宋_GB2312" w:cs="华文仿宋"/>
          <w:szCs w:val="32"/>
        </w:rPr>
        <w:t>．项目支出：指单位为完成特定的行政工作任务或事业发展目标所发生的各项支出。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3</w:t>
      </w:r>
      <w:r>
        <w:rPr>
          <w:rFonts w:hint="eastAsia" w:ascii="仿宋_GB2312" w:hAnsi="华文仿宋" w:eastAsia="仿宋_GB2312" w:cs="华文仿宋"/>
          <w:szCs w:val="32"/>
        </w:rPr>
        <w:t>．“三公”经费：指部门使用一般公共预算财政拨款安排的因公出国（境）费、公务用车购置及运行费和公务接待费支出。</w:t>
      </w:r>
    </w:p>
    <w:p>
      <w:pPr>
        <w:spacing w:line="560" w:lineRule="exact"/>
        <w:ind w:firstLine="640" w:firstLineChars="200"/>
        <w:rPr>
          <w:rFonts w:ascii="仿宋_GB2312" w:hAnsi="华文仿宋" w:eastAsia="仿宋_GB2312" w:cs="华文仿宋"/>
          <w:szCs w:val="32"/>
        </w:rPr>
      </w:pPr>
      <w:r>
        <w:rPr>
          <w:rFonts w:ascii="仿宋_GB2312" w:hAnsi="华文仿宋" w:eastAsia="仿宋_GB2312" w:cs="华文仿宋"/>
          <w:szCs w:val="32"/>
        </w:rPr>
        <w:t>4</w:t>
      </w:r>
      <w:r>
        <w:rPr>
          <w:rFonts w:hint="eastAsia" w:ascii="仿宋_GB2312" w:hAnsi="华文仿宋" w:eastAsia="仿宋_GB2312" w:cs="华文仿宋"/>
          <w:szCs w:val="32"/>
        </w:rPr>
        <w:t>．机关运行经费：指行政单位和参照公务员法管理的事业单位使用一般公共预算财政拨款安排的日常公用经费支出。</w:t>
      </w:r>
    </w:p>
    <w:p>
      <w:pPr>
        <w:spacing w:line="560" w:lineRule="exact"/>
        <w:ind w:right="275" w:rightChars="86" w:firstLine="640" w:firstLineChars="200"/>
        <w:rPr>
          <w:rFonts w:ascii="仿宋_GB2312" w:hAnsi="华文仿宋" w:eastAsia="仿宋_GB2312" w:cs="华文仿宋"/>
          <w:szCs w:val="32"/>
        </w:rPr>
      </w:pPr>
      <w:r>
        <w:rPr>
          <w:rFonts w:hint="eastAsia" w:ascii="仿宋_GB2312" w:hAnsi="华文仿宋" w:eastAsia="仿宋_GB2312" w:cs="华文仿宋"/>
          <w:szCs w:val="32"/>
        </w:rPr>
        <w:t>……</w:t>
      </w:r>
      <w:r>
        <w:rPr>
          <w:rFonts w:ascii="仿宋_GB2312" w:hAnsi="华文仿宋" w:eastAsia="仿宋_GB2312" w:cs="华文仿宋"/>
          <w:szCs w:val="32"/>
        </w:rPr>
        <w:tab/>
      </w:r>
    </w:p>
    <w:p>
      <w:pPr>
        <w:pStyle w:val="4"/>
        <w:shd w:val="clear" w:color="auto" w:fill="FFFFFF"/>
        <w:spacing w:before="0" w:beforeAutospacing="0" w:after="0" w:afterAutospacing="0" w:line="560" w:lineRule="exact"/>
        <w:ind w:firstLine="585"/>
        <w:rPr>
          <w:rStyle w:val="7"/>
          <w:rFonts w:ascii="黑体" w:hAnsi="黑体" w:eastAsia="黑体" w:cs="黑体"/>
          <w:color w:val="000000"/>
          <w:sz w:val="32"/>
          <w:szCs w:val="32"/>
        </w:rPr>
      </w:pPr>
      <w:r>
        <w:rPr>
          <w:rStyle w:val="7"/>
          <w:rFonts w:hint="eastAsia" w:ascii="黑体" w:hAnsi="黑体" w:eastAsia="黑体" w:cs="黑体"/>
          <w:b w:val="0"/>
          <w:bCs w:val="0"/>
          <w:color w:val="000000"/>
          <w:sz w:val="32"/>
          <w:szCs w:val="32"/>
        </w:rPr>
        <w:t>九、</w:t>
      </w:r>
      <w:r>
        <w:rPr>
          <w:rStyle w:val="7"/>
          <w:rFonts w:ascii="黑体" w:hAnsi="黑体" w:eastAsia="黑体" w:cs="黑体"/>
          <w:b w:val="0"/>
          <w:bCs w:val="0"/>
          <w:color w:val="000000"/>
          <w:sz w:val="32"/>
          <w:szCs w:val="32"/>
        </w:rPr>
        <w:t>2017</w:t>
      </w:r>
      <w:r>
        <w:rPr>
          <w:rStyle w:val="7"/>
          <w:rFonts w:hint="eastAsia" w:ascii="黑体" w:hAnsi="黑体" w:eastAsia="黑体" w:cs="黑体"/>
          <w:b w:val="0"/>
          <w:bCs w:val="0"/>
          <w:color w:val="000000"/>
          <w:sz w:val="32"/>
          <w:szCs w:val="32"/>
        </w:rPr>
        <w:t>年部门决算公开报表</w:t>
      </w: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黑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7668"/>
    <w:multiLevelType w:val="singleLevel"/>
    <w:tmpl w:val="F0DA7668"/>
    <w:lvl w:ilvl="0" w:tentative="0">
      <w:start w:val="1"/>
      <w:numFmt w:val="decimal"/>
      <w:suff w:val="nothing"/>
      <w:lvlText w:val="%1．"/>
      <w:lvlJc w:val="left"/>
      <w:rPr>
        <w:rFonts w:cs="Times New Roman"/>
      </w:rPr>
    </w:lvl>
  </w:abstractNum>
  <w:abstractNum w:abstractNumId="1">
    <w:nsid w:val="6FF939E4"/>
    <w:multiLevelType w:val="singleLevel"/>
    <w:tmpl w:val="6FF939E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M3NmI3ZTE1ZTYyNTljN2NjOTVmNGFiZmYyMDkyMWEifQ=="/>
  </w:docVars>
  <w:rsids>
    <w:rsidRoot w:val="00101E02"/>
    <w:rsid w:val="00101E02"/>
    <w:rsid w:val="00270E51"/>
    <w:rsid w:val="002A4E14"/>
    <w:rsid w:val="002B345B"/>
    <w:rsid w:val="00353F12"/>
    <w:rsid w:val="003D0797"/>
    <w:rsid w:val="003E3DDC"/>
    <w:rsid w:val="00462823"/>
    <w:rsid w:val="004B5E74"/>
    <w:rsid w:val="004D2445"/>
    <w:rsid w:val="00515470"/>
    <w:rsid w:val="00621588"/>
    <w:rsid w:val="00674CF6"/>
    <w:rsid w:val="007D6A9E"/>
    <w:rsid w:val="00A12C31"/>
    <w:rsid w:val="00B55CD7"/>
    <w:rsid w:val="00C427F8"/>
    <w:rsid w:val="00DE3D63"/>
    <w:rsid w:val="00E33FF9"/>
    <w:rsid w:val="00F47062"/>
    <w:rsid w:val="015D58FD"/>
    <w:rsid w:val="01C746C6"/>
    <w:rsid w:val="052D681F"/>
    <w:rsid w:val="075B052A"/>
    <w:rsid w:val="0A0E1646"/>
    <w:rsid w:val="12E46F31"/>
    <w:rsid w:val="13403F7B"/>
    <w:rsid w:val="13481007"/>
    <w:rsid w:val="139A1695"/>
    <w:rsid w:val="1A3031D1"/>
    <w:rsid w:val="1C287AD1"/>
    <w:rsid w:val="204D2FB1"/>
    <w:rsid w:val="214E38FA"/>
    <w:rsid w:val="21732223"/>
    <w:rsid w:val="21FD5768"/>
    <w:rsid w:val="231827EB"/>
    <w:rsid w:val="23A07C32"/>
    <w:rsid w:val="23F77372"/>
    <w:rsid w:val="28DE08C7"/>
    <w:rsid w:val="299C7739"/>
    <w:rsid w:val="2AB117E3"/>
    <w:rsid w:val="2E6318DB"/>
    <w:rsid w:val="3159166E"/>
    <w:rsid w:val="316F0D5B"/>
    <w:rsid w:val="348A2841"/>
    <w:rsid w:val="3548736E"/>
    <w:rsid w:val="3DF939EF"/>
    <w:rsid w:val="3F7C3B40"/>
    <w:rsid w:val="41EC1ECC"/>
    <w:rsid w:val="42BA0293"/>
    <w:rsid w:val="462C00A7"/>
    <w:rsid w:val="496B0587"/>
    <w:rsid w:val="4B5564E2"/>
    <w:rsid w:val="4C4A388C"/>
    <w:rsid w:val="4DF92132"/>
    <w:rsid w:val="4F104EB8"/>
    <w:rsid w:val="4F3B1704"/>
    <w:rsid w:val="4FFC73B1"/>
    <w:rsid w:val="52D21252"/>
    <w:rsid w:val="53646FB6"/>
    <w:rsid w:val="55700C69"/>
    <w:rsid w:val="57BC2E39"/>
    <w:rsid w:val="5C5E4D31"/>
    <w:rsid w:val="5E440D48"/>
    <w:rsid w:val="5FFD6628"/>
    <w:rsid w:val="60CA1F9A"/>
    <w:rsid w:val="620845D5"/>
    <w:rsid w:val="62572A73"/>
    <w:rsid w:val="63EF275F"/>
    <w:rsid w:val="63FB1E6F"/>
    <w:rsid w:val="66975563"/>
    <w:rsid w:val="69CB374A"/>
    <w:rsid w:val="6A59679C"/>
    <w:rsid w:val="6A923491"/>
    <w:rsid w:val="6D46167A"/>
    <w:rsid w:val="6E6F3391"/>
    <w:rsid w:val="74983629"/>
    <w:rsid w:val="75DF75A3"/>
    <w:rsid w:val="77CE0582"/>
    <w:rsid w:val="796E7003"/>
    <w:rsid w:val="79C8501E"/>
    <w:rsid w:val="7A6B5A95"/>
    <w:rsid w:val="7B642AAB"/>
    <w:rsid w:val="7B800A50"/>
    <w:rsid w:val="7CA512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6">
    <w:name w:val="Default Paragraph Font"/>
    <w:semiHidden/>
    <w:qFormat/>
    <w:uiPriority w:val="99"/>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99"/>
    <w:rPr>
      <w:rFonts w:cs="Times New Roman"/>
      <w:b/>
      <w:bCs/>
    </w:rPr>
  </w:style>
  <w:style w:type="character" w:customStyle="1" w:styleId="8">
    <w:name w:val="Footer Char"/>
    <w:basedOn w:val="6"/>
    <w:link w:val="2"/>
    <w:semiHidden/>
    <w:qFormat/>
    <w:locked/>
    <w:uiPriority w:val="99"/>
    <w:rPr>
      <w:rFonts w:cs="Times New Roman"/>
      <w:sz w:val="18"/>
      <w:szCs w:val="18"/>
    </w:rPr>
  </w:style>
  <w:style w:type="character" w:customStyle="1" w:styleId="9">
    <w:name w:val="Header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6</Pages>
  <Words>378</Words>
  <Characters>2156</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zhouqin</cp:lastModifiedBy>
  <cp:lastPrinted>2018-09-21T01:46:00Z</cp:lastPrinted>
  <dcterms:modified xsi:type="dcterms:W3CDTF">2024-01-19T07:54:48Z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66873FC2ED684F0EAA81D2AED4B8C0EC_12</vt:lpwstr>
  </property>
</Properties>
</file>