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黑体" w:hAnsi="黑体" w:eastAsia="黑体"/>
          <w:sz w:val="36"/>
          <w:szCs w:val="36"/>
        </w:rPr>
      </w:pPr>
      <w:r>
        <w:rPr>
          <w:rFonts w:hint="eastAsia" w:ascii="方正小标宋简体" w:hAnsi="黑体" w:eastAsia="方正小标宋简体" w:cs="黑体"/>
          <w:sz w:val="44"/>
          <w:szCs w:val="44"/>
        </w:rPr>
        <w:t>西安市阎良区</w:t>
      </w:r>
      <w:r>
        <w:rPr>
          <w:rFonts w:hint="eastAsia" w:ascii="方正小标宋简体" w:hAnsi="仿宋_GB2312" w:eastAsia="方正小标宋简体" w:cs="仿宋_GB2312"/>
          <w:sz w:val="44"/>
          <w:szCs w:val="44"/>
        </w:rPr>
        <w:t>教育</w:t>
      </w:r>
      <w:r>
        <w:rPr>
          <w:rFonts w:hint="eastAsia" w:ascii="方正小标宋简体" w:hAnsi="黑体" w:eastAsia="方正小标宋简体" w:cs="黑体"/>
          <w:sz w:val="44"/>
          <w:szCs w:val="44"/>
        </w:rPr>
        <w:t>局2018年部门综合预算说明</w:t>
      </w:r>
    </w:p>
    <w:p>
      <w:pPr>
        <w:spacing w:line="576" w:lineRule="exact"/>
        <w:jc w:val="center"/>
      </w:pPr>
    </w:p>
    <w:p>
      <w:pPr>
        <w:pStyle w:val="5"/>
        <w:numPr>
          <w:ilvl w:val="0"/>
          <w:numId w:val="1"/>
        </w:numPr>
        <w:shd w:val="clear" w:color="auto" w:fill="FFFFFF"/>
        <w:spacing w:before="0" w:beforeAutospacing="0" w:after="0" w:afterAutospacing="0" w:line="520" w:lineRule="exact"/>
        <w:ind w:firstLine="585"/>
        <w:rPr>
          <w:rFonts w:hint="eastAsia" w:ascii="黑体" w:hAnsi="黑体" w:eastAsia="黑体" w:cs="黑体"/>
          <w:b/>
          <w:color w:val="000000"/>
          <w:sz w:val="32"/>
          <w:szCs w:val="32"/>
          <w:lang w:val="en-US" w:eastAsia="zh-CN"/>
        </w:rPr>
      </w:pPr>
      <w:r>
        <w:rPr>
          <w:rFonts w:hint="eastAsia" w:ascii="黑体" w:hAnsi="黑体" w:eastAsia="黑体" w:cs="黑体"/>
          <w:b/>
          <w:color w:val="000000"/>
          <w:sz w:val="32"/>
          <w:szCs w:val="32"/>
        </w:rPr>
        <w:t>部门主要职责</w:t>
      </w:r>
      <w:r>
        <w:rPr>
          <w:rFonts w:hint="eastAsia" w:ascii="黑体" w:hAnsi="黑体" w:eastAsia="黑体" w:cs="黑体"/>
          <w:b/>
          <w:color w:val="000000"/>
          <w:sz w:val="32"/>
          <w:szCs w:val="32"/>
          <w:lang w:val="en-US" w:eastAsia="zh-CN"/>
        </w:rPr>
        <w:t>及机构设置情况</w:t>
      </w:r>
    </w:p>
    <w:p>
      <w:pPr>
        <w:pStyle w:val="5"/>
        <w:numPr>
          <w:ilvl w:val="0"/>
          <w:numId w:val="0"/>
        </w:numPr>
        <w:shd w:val="clear" w:color="auto" w:fill="FFFFFF"/>
        <w:spacing w:before="0" w:beforeAutospacing="0" w:after="0" w:afterAutospacing="0" w:line="520" w:lineRule="exact"/>
        <w:rPr>
          <w:rFonts w:hint="eastAsia" w:ascii="黑体" w:hAnsi="黑体" w:eastAsia="黑体" w:cs="黑体"/>
          <w:b/>
          <w:color w:val="000000"/>
          <w:sz w:val="32"/>
          <w:szCs w:val="32"/>
          <w:lang w:val="en-US" w:eastAsia="zh-CN"/>
        </w:rPr>
      </w:pPr>
      <w:r>
        <w:rPr>
          <w:rFonts w:hint="eastAsia" w:ascii="黑体" w:hAnsi="黑体" w:eastAsia="黑体" w:cs="黑体"/>
          <w:b/>
          <w:color w:val="000000"/>
          <w:sz w:val="32"/>
          <w:szCs w:val="32"/>
          <w:lang w:val="en-US" w:eastAsia="zh-CN"/>
        </w:rPr>
        <w:t xml:space="preserve">  </w:t>
      </w:r>
      <w:r>
        <w:rPr>
          <w:rFonts w:hint="eastAsia" w:ascii="楷体_GB2312" w:eastAsia="楷体_GB2312"/>
          <w:b/>
          <w:sz w:val="32"/>
          <w:szCs w:val="32"/>
          <w:lang w:val="en-US" w:eastAsia="zh-CN"/>
        </w:rPr>
        <w:t>（一）部门主要职责</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1.</w:t>
      </w:r>
      <w:r>
        <w:rPr>
          <w:rFonts w:hint="eastAsia" w:ascii="仿宋" w:hAnsi="仿宋" w:eastAsia="仿宋"/>
          <w:sz w:val="32"/>
          <w:szCs w:val="32"/>
        </w:rPr>
        <w:t>贯彻执行教育工作方面的法律法规和方针、政策；拟订全区教育工作的有关政策和规章草案；组织制定教育发展规划和各项工作计划并组织实施。</w:t>
      </w:r>
    </w:p>
    <w:p>
      <w:pPr>
        <w:spacing w:line="56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2.</w:t>
      </w:r>
      <w:r>
        <w:rPr>
          <w:rFonts w:hint="eastAsia" w:ascii="仿宋" w:hAnsi="仿宋" w:eastAsia="仿宋"/>
          <w:sz w:val="32"/>
          <w:szCs w:val="32"/>
        </w:rPr>
        <w:t>负责指导全区学前教育、基础教育、职业教育、成人教育及特殊教育。会同有关部门指导、协调各镇街、各系统的教育工作。</w:t>
      </w:r>
    </w:p>
    <w:p>
      <w:pPr>
        <w:spacing w:line="52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3.</w:t>
      </w:r>
      <w:r>
        <w:rPr>
          <w:rFonts w:hint="eastAsia" w:ascii="仿宋" w:hAnsi="仿宋" w:eastAsia="仿宋"/>
          <w:sz w:val="32"/>
          <w:szCs w:val="32"/>
        </w:rPr>
        <w:t>负责推进全区义务教育均衡发展和促进教育公平；指导落实教育教学基本要求和教学基本文件，全面实施素质教育。</w:t>
      </w:r>
    </w:p>
    <w:p>
      <w:pPr>
        <w:spacing w:line="56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4.</w:t>
      </w:r>
      <w:r>
        <w:rPr>
          <w:rFonts w:hint="eastAsia" w:ascii="仿宋" w:hAnsi="仿宋" w:eastAsia="仿宋"/>
          <w:sz w:val="32"/>
          <w:szCs w:val="32"/>
        </w:rPr>
        <w:t>负责教育教学改革工作。指导学校内部管理体制改革；指导开展教育科学研究和教学研究；指导城市和农村教育综合改革。</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5.按管理权限负责全区各级各类学校的开办、撤销、合并及其专业设置的审核或审批；统筹协调和指导社会力量办学。</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6.</w:t>
      </w:r>
      <w:r>
        <w:rPr>
          <w:rFonts w:hint="eastAsia" w:ascii="仿宋" w:hAnsi="仿宋" w:eastAsia="仿宋"/>
          <w:sz w:val="32"/>
          <w:szCs w:val="32"/>
        </w:rPr>
        <w:t>会同有关部门拟订筹措教育经费、教育拨款、教育基建投资的政策和管理办法；统筹安排全区教育费附加、教育专项经费；会同有关部门检查指导区属教育事业经费的安排和使用情况；实施家庭困难学生资助工作。</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7.</w:t>
      </w:r>
      <w:r>
        <w:rPr>
          <w:rFonts w:hint="eastAsia" w:ascii="仿宋" w:hAnsi="仿宋" w:eastAsia="仿宋"/>
          <w:sz w:val="32"/>
          <w:szCs w:val="32"/>
        </w:rPr>
        <w:t>负责教育系统人才队伍建设工作；负责区属各类学校教师专业技术职务的评审；指导学校思想品德、体育、卫生、艺术教育工作和国防教育工作。</w:t>
      </w:r>
    </w:p>
    <w:p>
      <w:pPr>
        <w:spacing w:line="56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8.</w:t>
      </w:r>
      <w:r>
        <w:rPr>
          <w:rFonts w:hint="eastAsia" w:ascii="仿宋" w:hAnsi="仿宋" w:eastAsia="仿宋"/>
          <w:sz w:val="32"/>
          <w:szCs w:val="32"/>
        </w:rPr>
        <w:t>负责师范类院校毕业生就业指导工作；归口管理学历教育及其考试工作；负责组织成人自学考试、成人高考、专业证书考试和高中学业水平测试工作。</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9.</w:t>
      </w:r>
      <w:r>
        <w:rPr>
          <w:rFonts w:hint="eastAsia" w:ascii="仿宋" w:hAnsi="仿宋" w:eastAsia="仿宋"/>
          <w:sz w:val="32"/>
          <w:szCs w:val="32"/>
        </w:rPr>
        <w:t>指导各类学校教学设施、仪器、图书资料的配备；指导全区勤工俭学和学校后勤社会化改革工作；负责教育事业统计调查以及统计信息的管理与服务；组织开展我区教育对外交流与合作工作；指导全区教育信息化工作。</w:t>
      </w:r>
    </w:p>
    <w:p>
      <w:pPr>
        <w:spacing w:line="56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10.</w:t>
      </w:r>
      <w:r>
        <w:rPr>
          <w:rFonts w:hint="eastAsia" w:ascii="仿宋" w:hAnsi="仿宋" w:eastAsia="仿宋"/>
          <w:sz w:val="32"/>
          <w:szCs w:val="32"/>
        </w:rPr>
        <w:t>负责区属学校的稳定和安全保卫工作，协调有关部门处理突发事件。</w:t>
      </w:r>
    </w:p>
    <w:p>
      <w:pPr>
        <w:spacing w:line="52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11.</w:t>
      </w:r>
      <w:r>
        <w:rPr>
          <w:rFonts w:hint="eastAsia" w:ascii="仿宋" w:hAnsi="仿宋" w:eastAsia="仿宋"/>
          <w:sz w:val="32"/>
          <w:szCs w:val="32"/>
        </w:rPr>
        <w:t>代区政府管理教育督导室。指导全区教育督导工作，指导基础教育发展水平、质量的监测工作。</w:t>
      </w:r>
    </w:p>
    <w:p>
      <w:pPr>
        <w:spacing w:line="520" w:lineRule="exact"/>
        <w:ind w:firstLine="640" w:firstLineChars="200"/>
        <w:rPr>
          <w:rFonts w:hint="eastAsia" w:ascii="仿宋_GB2312" w:hAnsi="仿宋_GB2312" w:eastAsia="仿宋_GB2312"/>
          <w:szCs w:val="22"/>
          <w:lang w:val="en-US" w:eastAsia="zh-CN"/>
        </w:rPr>
      </w:pPr>
      <w:r>
        <w:rPr>
          <w:rFonts w:hint="eastAsia" w:ascii="仿宋_GB2312" w:hAnsi="仿宋_GB2312" w:eastAsia="仿宋_GB2312"/>
          <w:szCs w:val="22"/>
          <w:lang w:val="en-US" w:eastAsia="zh-CN"/>
        </w:rPr>
        <w:t>12.</w:t>
      </w:r>
      <w:r>
        <w:rPr>
          <w:rFonts w:hint="eastAsia" w:ascii="仿宋" w:hAnsi="仿宋" w:eastAsia="仿宋"/>
          <w:sz w:val="32"/>
          <w:szCs w:val="32"/>
        </w:rPr>
        <w:t>负责语言文字和指导推广普通话工作。</w:t>
      </w:r>
    </w:p>
    <w:p>
      <w:pPr>
        <w:spacing w:line="520" w:lineRule="exact"/>
        <w:ind w:firstLine="640" w:firstLineChars="200"/>
        <w:rPr>
          <w:rFonts w:hint="eastAsia" w:ascii="仿宋" w:hAnsi="仿宋" w:eastAsia="仿宋"/>
          <w:sz w:val="32"/>
          <w:szCs w:val="32"/>
        </w:rPr>
      </w:pPr>
      <w:r>
        <w:rPr>
          <w:rFonts w:hint="eastAsia" w:ascii="仿宋_GB2312" w:hAnsi="仿宋_GB2312" w:eastAsia="仿宋_GB2312"/>
          <w:szCs w:val="22"/>
          <w:lang w:val="en-US" w:eastAsia="zh-CN"/>
        </w:rPr>
        <w:t>13.</w:t>
      </w:r>
      <w:r>
        <w:rPr>
          <w:rFonts w:hint="eastAsia" w:ascii="仿宋" w:hAnsi="仿宋" w:eastAsia="仿宋"/>
          <w:sz w:val="32"/>
          <w:szCs w:val="32"/>
        </w:rPr>
        <w:t>承办区政府交办的其他事项。</w:t>
      </w:r>
    </w:p>
    <w:p>
      <w:pPr>
        <w:spacing w:line="520" w:lineRule="exact"/>
        <w:ind w:firstLine="643" w:firstLineChars="200"/>
        <w:rPr>
          <w:rFonts w:hint="eastAsia" w:ascii="楷体_GB2312" w:hAnsi="宋体" w:eastAsia="楷体_GB2312" w:cs="宋体"/>
          <w:b/>
          <w:kern w:val="0"/>
          <w:sz w:val="32"/>
          <w:szCs w:val="32"/>
          <w:lang w:val="en-US" w:eastAsia="zh-CN" w:bidi="ar-SA"/>
        </w:rPr>
      </w:pPr>
      <w:r>
        <w:rPr>
          <w:rFonts w:hint="eastAsia" w:ascii="楷体_GB2312" w:hAnsi="宋体" w:eastAsia="楷体_GB2312" w:cs="宋体"/>
          <w:b/>
          <w:kern w:val="0"/>
          <w:sz w:val="32"/>
          <w:szCs w:val="32"/>
          <w:lang w:val="en-US" w:eastAsia="zh-CN" w:bidi="ar-SA"/>
        </w:rPr>
        <w:t>（二）机构设置情况</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根据上述职责，区教育局设5个内设机构。</w:t>
      </w:r>
    </w:p>
    <w:p>
      <w:pPr>
        <w:spacing w:line="560" w:lineRule="exact"/>
        <w:ind w:firstLine="643" w:firstLineChars="200"/>
        <w:rPr>
          <w:rFonts w:hint="eastAsia" w:ascii="楷体" w:hAnsi="楷体" w:eastAsia="楷体"/>
          <w:b/>
          <w:sz w:val="32"/>
          <w:szCs w:val="32"/>
        </w:rPr>
      </w:pPr>
      <w:r>
        <w:rPr>
          <w:rFonts w:hint="eastAsia" w:ascii="楷体" w:hAnsi="楷体" w:eastAsia="楷体"/>
          <w:b/>
          <w:sz w:val="32"/>
          <w:szCs w:val="32"/>
          <w:lang w:val="en-US" w:eastAsia="zh-CN"/>
        </w:rPr>
        <w:t>1.</w:t>
      </w:r>
      <w:r>
        <w:rPr>
          <w:rFonts w:hint="eastAsia" w:ascii="楷体" w:hAnsi="楷体" w:eastAsia="楷体"/>
          <w:b/>
          <w:sz w:val="32"/>
          <w:szCs w:val="32"/>
        </w:rPr>
        <w:t>办公室</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负责机关政务工作，监督检查机关工作制度的落实;负责会议的组织和决定事项的督办;负责人大代表建议议案和政协委员提案的办理;负责文电、机要、档案、保密、信访、接待、计划生育等工作; 负责教育系统党建、群团工作；负责编制教育事业中长期发展规划;负责重大课题的调查研究工作；负责组织实施目标责任综合考核工作；负责机关国有资产管理和后勤服务等工作;负责教育综合改革工作;负责教育系统依法行政、精神文明建设创建工作；拟订全区教育工作的有关政策和规章草案；负责机关规范性文件合法性的审核工作；开展教育执法监察和行政效能监察工作；负责行政复议、执法监督、应诉工作；负责教育史志编纂工作；负责国际及港澳台教育交流与合作工作。</w:t>
      </w:r>
    </w:p>
    <w:p>
      <w:pPr>
        <w:spacing w:line="560" w:lineRule="exact"/>
        <w:ind w:firstLine="643" w:firstLineChars="200"/>
        <w:rPr>
          <w:rFonts w:hint="eastAsia" w:ascii="楷体" w:hAnsi="楷体" w:eastAsia="楷体"/>
          <w:b/>
          <w:sz w:val="32"/>
          <w:szCs w:val="32"/>
        </w:rPr>
      </w:pPr>
      <w:r>
        <w:rPr>
          <w:rFonts w:hint="eastAsia" w:ascii="楷体" w:hAnsi="楷体" w:eastAsia="楷体"/>
          <w:b/>
          <w:sz w:val="32"/>
          <w:szCs w:val="32"/>
          <w:lang w:val="en-US" w:eastAsia="zh-CN"/>
        </w:rPr>
        <w:t>2.</w:t>
      </w:r>
      <w:r>
        <w:rPr>
          <w:rFonts w:hint="eastAsia" w:ascii="楷体" w:hAnsi="楷体" w:eastAsia="楷体"/>
          <w:b/>
          <w:sz w:val="32"/>
          <w:szCs w:val="32"/>
        </w:rPr>
        <w:t>教育科</w:t>
      </w:r>
    </w:p>
    <w:p>
      <w:pPr>
        <w:spacing w:line="576" w:lineRule="exact"/>
        <w:ind w:firstLine="640" w:firstLineChars="200"/>
        <w:rPr>
          <w:rFonts w:ascii="仿宋" w:hAnsi="仿宋" w:eastAsia="仿宋"/>
          <w:sz w:val="32"/>
          <w:szCs w:val="32"/>
        </w:rPr>
      </w:pPr>
      <w:r>
        <w:rPr>
          <w:rFonts w:hint="eastAsia" w:ascii="仿宋" w:hAnsi="仿宋" w:eastAsia="仿宋"/>
          <w:sz w:val="32"/>
          <w:szCs w:val="32"/>
        </w:rPr>
        <w:t>负责推进义务教育均衡发展工作；负责学前教育、义务教育、高中教育、职业教育、成人教育、特殊教育和民族教育工作；负责制定中小学教育教学管理制度，督促学校贯彻落实；负责中小学教学常规管理、信息技术教育、中小学招生、高中学业水平测试及城乡教育综合改革工作；负责各类教育课程设置、教材使用及审核工作；指导中小学教育教学和教育科研、教育改革工作；负责中小学学籍管理和毕业证书的验印；负责教育系统德育工作；指导校外教育、家庭教育、社区教育工作；负责学生体育竞赛、大型体育活动的协调组织工作；指导学校健康教育、科技、劳动技能、人口和环保教育、卫生防疫等工作;指导教育系统艺术教育教学及国防教育、双拥等工作; 负责教育系统信息化建设工作；负责全区语言文字和推广普通话工作；负责审核公办教育机构的设置、撤销、合并、更名工作；负责成人中等文化技术培训工作；负责社会力量办学管理工作; 牵头负责民办教育工作；协助做好教育督导评估。</w:t>
      </w:r>
    </w:p>
    <w:p>
      <w:pPr>
        <w:spacing w:line="560" w:lineRule="exact"/>
        <w:ind w:firstLine="645"/>
        <w:rPr>
          <w:rFonts w:hint="eastAsia" w:ascii="楷体" w:hAnsi="楷体" w:eastAsia="楷体"/>
          <w:b/>
          <w:sz w:val="32"/>
          <w:szCs w:val="32"/>
        </w:rPr>
      </w:pPr>
      <w:r>
        <w:rPr>
          <w:rFonts w:hint="eastAsia" w:ascii="楷体" w:hAnsi="楷体" w:eastAsia="楷体"/>
          <w:b/>
          <w:sz w:val="32"/>
          <w:szCs w:val="32"/>
          <w:lang w:val="en-US" w:eastAsia="zh-CN"/>
        </w:rPr>
        <w:t>3.</w:t>
      </w:r>
      <w:r>
        <w:rPr>
          <w:rFonts w:hint="eastAsia" w:ascii="楷体" w:hAnsi="楷体" w:eastAsia="楷体"/>
          <w:b/>
          <w:sz w:val="32"/>
          <w:szCs w:val="32"/>
        </w:rPr>
        <w:t>计财科</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负责局机关日常财务、经费管理；拟订教育经费使用计划的筹措政策和管理办法，统计并监测教育系统经费投入和执行情况；负责教育系统专款投资项目管理工作；负责教育系统经费预、决算的编制、实施、审核和监督；负责协调各类教育经费的筹措、使用和审核；负责教育系统教育行政性和事业性收费管理工作；负责内部审计工作;负责教育事业统计调查与信息工作；负责教育系统基本建设年度计划和建设项目管理；负责教育结构调整、学校布局工作；负责所属单位固定资产及设备的配置和管理；指导教育教学设施设备装备和学校后勤工作；负责农村义务教育营养改善计划工作；指导本系统防汛工作。</w:t>
      </w:r>
    </w:p>
    <w:p>
      <w:pPr>
        <w:spacing w:line="560" w:lineRule="exact"/>
        <w:ind w:firstLine="645"/>
        <w:rPr>
          <w:rFonts w:hint="eastAsia" w:ascii="楷体" w:hAnsi="楷体" w:eastAsia="楷体"/>
          <w:b/>
          <w:sz w:val="32"/>
          <w:szCs w:val="32"/>
        </w:rPr>
      </w:pPr>
      <w:r>
        <w:rPr>
          <w:rFonts w:hint="eastAsia" w:ascii="楷体" w:hAnsi="楷体" w:eastAsia="楷体"/>
          <w:b/>
          <w:sz w:val="32"/>
          <w:szCs w:val="32"/>
          <w:lang w:val="en-US" w:eastAsia="zh-CN"/>
        </w:rPr>
        <w:t>4.</w:t>
      </w:r>
      <w:r>
        <w:rPr>
          <w:rFonts w:hint="eastAsia" w:ascii="楷体" w:hAnsi="楷体" w:eastAsia="楷体"/>
          <w:b/>
          <w:sz w:val="32"/>
          <w:szCs w:val="32"/>
        </w:rPr>
        <w:t>组织人事科</w:t>
      </w:r>
    </w:p>
    <w:p>
      <w:pPr>
        <w:spacing w:line="576" w:lineRule="exact"/>
        <w:ind w:firstLine="640" w:firstLineChars="200"/>
        <w:rPr>
          <w:rFonts w:hint="eastAsia" w:ascii="仿宋" w:hAnsi="仿宋" w:eastAsia="仿宋"/>
          <w:sz w:val="32"/>
          <w:szCs w:val="32"/>
        </w:rPr>
      </w:pPr>
      <w:r>
        <w:rPr>
          <w:rFonts w:hint="eastAsia" w:ascii="仿宋" w:hAnsi="仿宋" w:eastAsia="仿宋"/>
          <w:sz w:val="32"/>
          <w:szCs w:val="32"/>
        </w:rPr>
        <w:t>负责教育系统领导班子和干部队伍建设;负责机构编制、人事管理、工资福利、出国政审等工作;指导学校人事制度改革;负责教育系统人才队伍建设和人事争议调解工作;负责离退休人员服务工作; 负责全区教职工的丧葬、抚恤和善后处理工作；负责师范教育类大中专毕业生就业指导工作。拟定全区中小学、幼儿园教师队伍建设规划并组织实施;负责全区教师师德、继续教育、培训、教师资格和专业技术职称评审管理工作;负责全区教育系统有突出贡献的专家和学科带头人的服务和管理工作;负责教师评优树模和违规违纪教师处理工作；负责教育系统人事档案管理工作；负责区人才服务中心教育分部工作。</w:t>
      </w:r>
    </w:p>
    <w:p>
      <w:pPr>
        <w:spacing w:line="560" w:lineRule="exact"/>
        <w:ind w:firstLine="645"/>
        <w:rPr>
          <w:rFonts w:hint="eastAsia" w:ascii="楷体" w:hAnsi="楷体" w:eastAsia="楷体"/>
          <w:b/>
          <w:sz w:val="32"/>
          <w:szCs w:val="32"/>
        </w:rPr>
      </w:pPr>
      <w:r>
        <w:rPr>
          <w:rFonts w:hint="eastAsia" w:ascii="楷体" w:hAnsi="楷体" w:eastAsia="楷体"/>
          <w:b/>
          <w:sz w:val="32"/>
          <w:szCs w:val="32"/>
          <w:lang w:val="en-US" w:eastAsia="zh-CN"/>
        </w:rPr>
        <w:t>5.</w:t>
      </w:r>
      <w:r>
        <w:rPr>
          <w:rFonts w:hint="eastAsia" w:ascii="楷体" w:hAnsi="楷体" w:eastAsia="楷体"/>
          <w:b/>
          <w:sz w:val="32"/>
          <w:szCs w:val="32"/>
        </w:rPr>
        <w:t>稳定安全办公室</w:t>
      </w:r>
    </w:p>
    <w:p>
      <w:pPr>
        <w:widowControl/>
        <w:spacing w:line="540" w:lineRule="exact"/>
        <w:ind w:firstLine="640" w:firstLineChars="200"/>
        <w:rPr>
          <w:rFonts w:hint="eastAsia" w:ascii="仿宋" w:hAnsi="仿宋" w:eastAsia="仿宋"/>
          <w:sz w:val="32"/>
          <w:szCs w:val="32"/>
        </w:rPr>
      </w:pPr>
      <w:r>
        <w:rPr>
          <w:rFonts w:hint="eastAsia" w:ascii="仿宋" w:hAnsi="仿宋" w:eastAsia="仿宋"/>
          <w:sz w:val="32"/>
          <w:szCs w:val="32"/>
        </w:rPr>
        <w:t>负责教育系统维护社会稳定、安全保卫、消防和校园管理综合治理工作；制定安全教育及预防突发事件工作预案并组织设施；负责全区教育系统的法制宣传、法制教育、依法治教工作；配合相关部门做好非法邪教的防范和处理、信访、禁毒等工作；负责所属单位保卫干部安全教育、培训工作; 组织开展中小学、幼儿园安全管理工作的交流与合作；负责教育系统年度安全稳定和社会管理综合治理目标责任书的制订及考核评估工作；负责教育系统普法教育、法制教育工作；对审批的民办学校安全工作达标情况进行核定，实行安全一票否决。</w:t>
      </w:r>
    </w:p>
    <w:p>
      <w:pPr>
        <w:spacing w:line="540" w:lineRule="exact"/>
        <w:rPr>
          <w:rFonts w:hint="eastAsia" w:ascii="仿宋" w:hAnsi="仿宋" w:eastAsia="仿宋"/>
          <w:sz w:val="32"/>
          <w:szCs w:val="32"/>
        </w:rPr>
      </w:pPr>
      <w:r>
        <w:rPr>
          <w:rFonts w:hint="eastAsia" w:ascii="仿宋" w:hAnsi="仿宋" w:eastAsia="仿宋"/>
          <w:sz w:val="32"/>
          <w:szCs w:val="32"/>
        </w:rPr>
        <w:t>　  机关党的机构按照党章规定设置。</w:t>
      </w:r>
    </w:p>
    <w:p>
      <w:pPr>
        <w:spacing w:line="560" w:lineRule="exact"/>
        <w:ind w:firstLine="641"/>
        <w:rPr>
          <w:rFonts w:hint="eastAsia" w:ascii="仿宋" w:hAnsi="仿宋" w:eastAsia="仿宋"/>
          <w:sz w:val="32"/>
          <w:szCs w:val="32"/>
        </w:rPr>
      </w:pPr>
      <w:r>
        <w:rPr>
          <w:rFonts w:hint="eastAsia" w:ascii="仿宋" w:hAnsi="仿宋" w:eastAsia="仿宋"/>
          <w:sz w:val="32"/>
          <w:szCs w:val="32"/>
        </w:rPr>
        <w:t>纪检、监察机构按照有关规定设置。</w:t>
      </w:r>
    </w:p>
    <w:p>
      <w:pPr>
        <w:spacing w:line="560" w:lineRule="exact"/>
        <w:ind w:firstLine="641"/>
        <w:rPr>
          <w:rFonts w:ascii="黑体" w:hAnsi="仿宋_GB2312" w:eastAsia="黑体" w:cs="仿宋_GB2312"/>
          <w:bCs/>
          <w:szCs w:val="32"/>
        </w:rPr>
      </w:pPr>
      <w:r>
        <w:rPr>
          <w:rFonts w:hint="eastAsia" w:ascii="黑体" w:hAnsi="仿宋_GB2312" w:eastAsia="黑体" w:cs="仿宋_GB2312"/>
          <w:bCs/>
          <w:szCs w:val="32"/>
        </w:rPr>
        <w:t>二、2018年年度部门工作任务</w:t>
      </w:r>
    </w:p>
    <w:p>
      <w:pPr>
        <w:spacing w:line="560" w:lineRule="exact"/>
        <w:ind w:firstLine="640" w:firstLineChars="200"/>
        <w:rPr>
          <w:rFonts w:ascii="仿宋_GB2312" w:eastAsia="仿宋_GB2312"/>
          <w:b/>
        </w:rPr>
      </w:pPr>
      <w:r>
        <w:rPr>
          <w:rFonts w:hint="eastAsia" w:ascii="仿宋_GB2312" w:eastAsia="仿宋_GB2312"/>
        </w:rPr>
        <w:t>2018年，全区教育工作的总体思路和要求是：深入学习贯彻党的十九大精神，高举习近平新时代中国特色社会主义思想伟大旗帜，全面贯彻党的教育方针，紧扣“追赶超越”和“五个扎实”工作要求，坚持以立德树人为根本任务，以加快教育现代化建设为主线，以办公平而有质量的教育为主题，按照“党建引领、四化支撑，稳妥改革、提质增效，扬长补短、全面发展”的思路，全面加强党的建设，全力以赴抓改革增活力、抓建设强基础、抓队伍优结构、抓管理提质量，补齐教育民生服务短板，扩大优质教育资源总量，努力办好“家门口学校”，办好人民满意的教育。</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（一）坚持党建引领，构建教育系统党建新格局</w:t>
      </w:r>
    </w:p>
    <w:p>
      <w:pPr>
        <w:spacing w:line="576" w:lineRule="exact"/>
        <w:ind w:firstLine="640" w:firstLineChars="200"/>
        <w:rPr>
          <w:rFonts w:ascii="仿宋_GB2312" w:eastAsia="仿宋_GB2312"/>
        </w:rPr>
      </w:pPr>
      <w:r>
        <w:rPr>
          <w:rFonts w:hint="eastAsia" w:ascii="仿宋_GB2312" w:eastAsia="仿宋_GB2312"/>
        </w:rPr>
        <w:t>1.学深悟透党的十九大精神。坚持局党委领导带头，通过中心组学习、支部学习会、专题辅导讲座等方式，推动教育系统党员干部在学懂弄通做实上下功夫。开展党员干部“不忘初心、牢记使命”主题学习教育，成立阎良教育党校，做好党组织书记、校级党员干部培训。健全局党委中心组学习制度，扎实开展“不忘初心、牢记使命，加快追赶超越步伐，落实‘五个扎实’要求”大调研活动，研究解决一批教育热点、难点问题。</w:t>
      </w:r>
    </w:p>
    <w:p>
      <w:pPr>
        <w:spacing w:line="576" w:lineRule="exact"/>
        <w:ind w:firstLine="640" w:firstLineChars="200"/>
        <w:rPr>
          <w:rFonts w:ascii="仿宋_GB2312" w:eastAsia="仿宋_GB2312"/>
        </w:rPr>
      </w:pPr>
      <w:r>
        <w:rPr>
          <w:rFonts w:hint="eastAsia" w:ascii="仿宋_GB2312" w:eastAsia="仿宋_GB2312"/>
        </w:rPr>
        <w:t>2.加强党员干部队伍建设。坚持把党的政治建设摆在首位，充分发挥党支部教育管理监督党员和宣传引导凝聚师生的战斗堡垒作用，充分发挥党员教师的先锋模范作用，进一步健全党员骨干教师“双培养”机制。积极落实区委“三项机制”实施细则，从严把好标准，用好干部。完善干部梯队建设，加强后备干部动态管理和培养使用。完善局领导基层调研制度，建立“三到三问”联系工作机制，深入基层密切联系群众，切实改进干部作风。</w:t>
      </w:r>
    </w:p>
    <w:p>
      <w:pPr>
        <w:spacing w:line="576" w:lineRule="exact"/>
        <w:ind w:firstLine="640" w:firstLineChars="200"/>
        <w:rPr>
          <w:rFonts w:ascii="仿宋_GB2312" w:eastAsia="仿宋_GB2312"/>
        </w:rPr>
      </w:pPr>
      <w:r>
        <w:rPr>
          <w:rFonts w:hint="eastAsia" w:ascii="仿宋_GB2312" w:eastAsia="仿宋_GB2312"/>
        </w:rPr>
        <w:t>3.持续加强基层党建工作。认真落实《关于加强中小学校党的建设工作的意见》，推动基层党建科学化、制度化、规范化。坚持党领导一切，统揽做好社会组织党建工作。夯实基层党组织党建责任制，培育和创建“一校一品”党建工作品牌，树立先进典型，打造党建亮点。落实以“主题党日”“两学一做”“三会一课”为主要内容的“123”基本教育规范，增强全体党员“四个意识”。落实群团组织体制机制改革要求，加强共青团、工会及妇女工作。认真做好统战、离退休和关心下一代工作。</w:t>
      </w:r>
    </w:p>
    <w:p>
      <w:pPr>
        <w:spacing w:line="576" w:lineRule="exact"/>
        <w:ind w:firstLine="640" w:firstLineChars="200"/>
        <w:rPr>
          <w:rFonts w:ascii="仿宋_GB2312" w:eastAsia="仿宋_GB2312"/>
        </w:rPr>
      </w:pPr>
      <w:r>
        <w:rPr>
          <w:rFonts w:hint="eastAsia" w:ascii="仿宋_GB2312" w:eastAsia="仿宋_GB2312"/>
        </w:rPr>
        <w:t>4.坚持全面从严治党。压紧压实各级党组织主体责任和纪检监督责任，深入推动党政主要负责人落实“第一责任人”责任和班子成员落实“一岗双责”责任。严格落实党内问责条例和“一案双查”制度。坚持把纪律挺在前面，持之以恒严格执行中央</w:t>
      </w:r>
      <w:bookmarkStart w:id="0" w:name="_GoBack"/>
      <w:bookmarkEnd w:id="0"/>
      <w:r>
        <w:rPr>
          <w:rFonts w:hint="eastAsia" w:ascii="仿宋_GB2312" w:eastAsia="仿宋_GB2312"/>
        </w:rPr>
        <w:t>八项规定要求，驰而不息纠正“四风”。有效运用“四种形态”，坚持抓早抓小，落实廉政谈话等制度，严查违纪行为。加强教育系统领导干部请假、外出报备管理。深化领导干部经济责任审计工作。严格落实重大事项请示报告制度，加强党规党纪和廉政警示教育。加强校园清廉文化建设，营造学生崇尚廉洁、教师廉洁从教、干部廉洁从政的教育生态。</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（二）坚持稳妥改革，提升教育现代化治理能力</w:t>
      </w:r>
    </w:p>
    <w:p>
      <w:pPr>
        <w:spacing w:line="576" w:lineRule="exact"/>
        <w:ind w:firstLine="640" w:firstLineChars="200"/>
        <w:rPr>
          <w:rFonts w:ascii="仿宋_GB2312" w:eastAsia="仿宋_GB2312"/>
        </w:rPr>
      </w:pPr>
      <w:r>
        <w:rPr>
          <w:rFonts w:hint="eastAsia" w:ascii="仿宋_GB2312" w:eastAsia="仿宋_GB2312"/>
        </w:rPr>
        <w:t>5.推进教育管办评分离改革试点。巩固提升第一批改革试点成果，启动实施第二批学校试点，逐步实现全覆盖。指导改革试点学校完善“四会一章程”，制定《校长职级制30%绩效考核暂行规定》、《班主任绩效考核办法》、《骨干教师绩效考核办法》，认真做好改革工作经验总结。</w:t>
      </w:r>
    </w:p>
    <w:p>
      <w:pPr>
        <w:spacing w:line="576" w:lineRule="exact"/>
        <w:ind w:firstLine="640" w:firstLineChars="200"/>
        <w:rPr>
          <w:rFonts w:ascii="仿宋_GB2312" w:eastAsia="仿宋_GB2312"/>
          <w:color w:val="000000"/>
        </w:rPr>
      </w:pPr>
      <w:r>
        <w:rPr>
          <w:rFonts w:hint="eastAsia" w:ascii="仿宋_GB2312" w:eastAsia="仿宋_GB2312"/>
        </w:rPr>
        <w:t>6.深化大学区管理制改革。大力实施学区长学校品质提升工程，加强大学区管理交流研讨活动，丰富学区化管理内涵；探索通过“一长管多校”方式发挥优秀学区长学校的示范引领作用，促进共同发展。积极探索“名校+”模式，强化跨区大学区合作力度，办好高新一中阎良合作部；</w:t>
      </w:r>
      <w:r>
        <w:rPr>
          <w:rFonts w:hint="eastAsia" w:ascii="仿宋_GB2312" w:eastAsia="仿宋_GB2312"/>
          <w:color w:val="000000"/>
        </w:rPr>
        <w:t>加快引进“北师大合作办学”项目，全力做好项目前期各项工作。</w:t>
      </w:r>
    </w:p>
    <w:p>
      <w:pPr>
        <w:spacing w:line="576" w:lineRule="exact"/>
        <w:ind w:firstLine="640" w:firstLineChars="200"/>
        <w:rPr>
          <w:rFonts w:ascii="仿宋_GB2312" w:eastAsia="仿宋_GB2312"/>
        </w:rPr>
      </w:pPr>
      <w:r>
        <w:rPr>
          <w:rFonts w:hint="eastAsia" w:ascii="仿宋_GB2312" w:eastAsia="仿宋_GB2312"/>
        </w:rPr>
        <w:t>7.统筹推进课堂教学改革。指导学校落实义务教育课程标准，继续加强达标课堂和高效课堂建设，</w:t>
      </w:r>
      <w:r>
        <w:rPr>
          <w:rFonts w:hint="eastAsia" w:ascii="仿宋_GB2312" w:eastAsia="仿宋_GB2312"/>
          <w:bCs/>
          <w:color w:val="000000"/>
        </w:rPr>
        <w:t>开展“聚焦高效课堂，提高教学效率”为主题的教学评优活动</w:t>
      </w:r>
      <w:r>
        <w:rPr>
          <w:rFonts w:hint="eastAsia" w:ascii="仿宋_GB2312" w:eastAsia="仿宋_GB2312"/>
        </w:rPr>
        <w:t>。组织开展课程改革学习、交流、培训活动。</w:t>
      </w:r>
      <w:r>
        <w:rPr>
          <w:rFonts w:hint="eastAsia" w:ascii="仿宋_GB2312" w:eastAsia="仿宋_GB2312"/>
          <w:bCs/>
          <w:color w:val="000000"/>
        </w:rPr>
        <w:t>抓好小学国学试点班的实验工作。</w:t>
      </w:r>
      <w:r>
        <w:rPr>
          <w:rFonts w:hint="eastAsia" w:ascii="仿宋_GB2312" w:eastAsia="仿宋_GB2312"/>
        </w:rPr>
        <w:t>推进课堂教学信息化建设，开展信息化教学比赛评优活动。</w:t>
      </w:r>
    </w:p>
    <w:p>
      <w:pPr>
        <w:spacing w:line="576" w:lineRule="exact"/>
        <w:ind w:firstLine="640" w:firstLineChars="200"/>
        <w:rPr>
          <w:rFonts w:ascii="仿宋_GB2312" w:eastAsia="仿宋_GB2312"/>
        </w:rPr>
      </w:pPr>
      <w:r>
        <w:rPr>
          <w:rFonts w:hint="eastAsia" w:ascii="仿宋_GB2312" w:eastAsia="仿宋_GB2312"/>
        </w:rPr>
        <w:t>8.推进教育人事制度改革。实行中小学教职工统一编制标准，加强动态管理，提高教师编制使用效益。进一步完善中小学教师职称评审机制，完成好航空基地教师职称代评工作。探索实施教师“区管校聘”改革工作，促进校长专业化发展和区域内教师资源均衡配置。完善中小学教师绩效工资制度和收入分配激励机制。</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（三）坚持立德树人，不断提高教育教学质量</w:t>
      </w:r>
    </w:p>
    <w:p>
      <w:pPr>
        <w:spacing w:line="576" w:lineRule="exact"/>
        <w:ind w:firstLine="640" w:firstLineChars="200"/>
        <w:jc w:val="left"/>
        <w:rPr>
          <w:rFonts w:ascii="仿宋_GB2312" w:eastAsia="仿宋_GB2312"/>
          <w:color w:val="000000"/>
        </w:rPr>
      </w:pPr>
      <w:r>
        <w:rPr>
          <w:rFonts w:hint="eastAsia" w:ascii="仿宋_GB2312" w:eastAsia="仿宋_GB2312"/>
          <w:color w:val="000000"/>
        </w:rPr>
        <w:t>9.加强学校精细化管理。加强对学校教育教学管理人员的培训和指导，优化教育教学管理措施，把教育教学常规管理工作落细落实；完善精细化管理工作细则，加强对学校精细化管理工作的检查和指导，开展全区中小学、幼儿园的精细化管理检查评估、星级学校评选及总结观摩会等，努力提高学校管理水平和效益。</w:t>
      </w:r>
    </w:p>
    <w:p>
      <w:pPr>
        <w:spacing w:line="576" w:lineRule="exact"/>
        <w:ind w:firstLine="640" w:firstLineChars="200"/>
        <w:rPr>
          <w:rFonts w:ascii="仿宋_GB2312" w:eastAsia="仿宋_GB2312"/>
          <w:color w:val="000000"/>
        </w:rPr>
      </w:pPr>
      <w:r>
        <w:rPr>
          <w:rFonts w:hint="eastAsia" w:ascii="仿宋_GB2312" w:eastAsia="仿宋_GB2312"/>
          <w:bCs/>
          <w:color w:val="000000"/>
          <w:kern w:val="0"/>
        </w:rPr>
        <w:t>10.推动学校德育工作建设。</w:t>
      </w:r>
      <w:r>
        <w:rPr>
          <w:rFonts w:hint="eastAsia" w:ascii="仿宋_GB2312" w:eastAsia="仿宋_GB2312"/>
          <w:color w:val="000000"/>
        </w:rPr>
        <w:t>深入推进中华传统文化教育、红色教育、科技</w:t>
      </w:r>
      <w:r>
        <w:rPr>
          <w:rFonts w:hint="eastAsia" w:ascii="仿宋_GB2312" w:eastAsia="仿宋_GB2312"/>
          <w:bCs/>
          <w:color w:val="000000"/>
          <w:kern w:val="0"/>
        </w:rPr>
        <w:t>教育、家庭教育，</w:t>
      </w:r>
      <w:r>
        <w:rPr>
          <w:rFonts w:hint="eastAsia" w:ascii="仿宋_GB2312" w:eastAsia="仿宋_GB2312"/>
          <w:color w:val="000000"/>
        </w:rPr>
        <w:t>抓好心理健康教育、行为习惯养成教育，</w:t>
      </w:r>
      <w:r>
        <w:rPr>
          <w:rFonts w:hint="eastAsia" w:ascii="仿宋_GB2312" w:eastAsia="仿宋_GB2312"/>
        </w:rPr>
        <w:t>创建市级心理健康教育特色学校1所</w:t>
      </w:r>
      <w:r>
        <w:rPr>
          <w:rFonts w:hint="eastAsia" w:ascii="仿宋_GB2312" w:eastAsia="仿宋_GB2312"/>
          <w:color w:val="000000"/>
        </w:rPr>
        <w:t>。加强德育工作的常规管理，细化德内容、丰富内涵，提升班主任班级管理水平。指导完成心理咨询师培训考核工作，强化作用发挥。举办科学实验、理化生实验操作技能大赛，组织开展第十八届科普知识竞赛、科技创新大赛，举办阎良区第三届中小学生航空航天模型竞赛，着力提高学生核心素养、创新精神和实践能力。</w:t>
      </w:r>
    </w:p>
    <w:p>
      <w:pPr>
        <w:spacing w:line="576" w:lineRule="exact"/>
        <w:ind w:firstLine="640" w:firstLineChars="200"/>
        <w:rPr>
          <w:rFonts w:ascii="仿宋_GB2312" w:eastAsia="仿宋_GB2312"/>
          <w:color w:val="000000"/>
        </w:rPr>
      </w:pPr>
      <w:r>
        <w:rPr>
          <w:rFonts w:hint="eastAsia" w:ascii="仿宋_GB2312" w:eastAsia="仿宋_GB2312"/>
          <w:color w:val="000000"/>
        </w:rPr>
        <w:t>11.抓好学校体、卫、艺工作。全面实施“体育、艺术2+1”项目，开展体音美测试、艺术特长生测试和中考体育考试的指导。举行全区中小学健美操、啦啦操、跳绳、乒乓球比赛，开展中学排球、篮球比赛；举办青少年校园足球联赛，并组织参加西安市足球联赛及其他各项比赛。举办阎良区第三届中小学生航空航天模型竞赛、阎良区2018年中小学生田径运动会。做好国家学生健康体质测试工作。进一步将艺术融入校园文化建设，继续做好高雅艺术进校园工作。</w:t>
      </w:r>
    </w:p>
    <w:p>
      <w:pPr>
        <w:spacing w:line="576" w:lineRule="exact"/>
        <w:ind w:firstLine="640" w:firstLineChars="200"/>
        <w:rPr>
          <w:rFonts w:ascii="仿宋_GB2312" w:eastAsia="仿宋_GB2312"/>
          <w:bCs/>
          <w:color w:val="000000"/>
        </w:rPr>
      </w:pPr>
      <w:r>
        <w:rPr>
          <w:rFonts w:hint="eastAsia" w:ascii="仿宋_GB2312" w:eastAsia="仿宋_GB2312"/>
          <w:bCs/>
          <w:color w:val="000000"/>
        </w:rPr>
        <w:t>12.加强教育科研工作。制定教研员能力提升方案，采取教研员入校顶岗上课，与教师同等参与教学能力考核等工作措施，与聘请兼职教研员同步，加强区级学科中心组建设，积极争取并认真组织参与省市级教育科学规划课题研究。加强听课、评课指导力度，建立教研员每周固定下校日听评课制度，加强校本研修工作的指导与检查。全面推进教育质量综合评价改革工作。</w:t>
      </w:r>
    </w:p>
    <w:p>
      <w:pPr>
        <w:spacing w:line="576" w:lineRule="exact"/>
        <w:ind w:firstLine="640" w:firstLineChars="200"/>
        <w:rPr>
          <w:rFonts w:ascii="仿宋_GB2312" w:eastAsia="仿宋_GB2312"/>
          <w:bCs/>
          <w:color w:val="000000"/>
        </w:rPr>
      </w:pPr>
      <w:r>
        <w:rPr>
          <w:rFonts w:hint="eastAsia" w:ascii="仿宋_GB2312" w:eastAsia="仿宋_GB2312"/>
          <w:bCs/>
          <w:color w:val="000000"/>
        </w:rPr>
        <w:t>13.做好毕业年级复习备考工作。</w:t>
      </w:r>
      <w:r>
        <w:rPr>
          <w:rFonts w:hint="eastAsia" w:ascii="仿宋_GB2312" w:eastAsia="仿宋_GB2312"/>
          <w:color w:val="000000"/>
        </w:rPr>
        <w:t>坚持中小学教育教学工作例会制度，对毕业年级进行教学质量检测，加强对各学段的质量抽测，用数据指导提升教学、备考的针对性和有效性；完善教学质量奖励方案。及时搜集高考、中考信息，不断提高毕业班复课质量，力争中考稳中有升，高考上线率、优秀率和名校录取方面实现新提升。</w:t>
      </w:r>
    </w:p>
    <w:p>
      <w:pPr>
        <w:spacing w:line="576" w:lineRule="exact"/>
        <w:ind w:firstLine="640" w:firstLineChars="200"/>
        <w:rPr>
          <w:rFonts w:ascii="仿宋_GB2312" w:eastAsia="仿宋_GB2312"/>
          <w:bCs/>
          <w:color w:val="000000"/>
        </w:rPr>
      </w:pPr>
      <w:r>
        <w:rPr>
          <w:rFonts w:hint="eastAsia" w:ascii="仿宋_GB2312" w:eastAsia="仿宋_GB2312"/>
          <w:bCs/>
          <w:color w:val="000000"/>
        </w:rPr>
        <w:t>14.加强语言文字规范化工作。认真贯彻落实《国家语言文字事业“十三五”发展规划》，开展中小学“中华经典咏流传”诵读比赛以及中小学生规范汉字书写大赛活动，加强中小学教师语言文字应用能力提升培训。组织开展普通话推广周宣传活动，创建省、市级语言文字规范化示范校2所。</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（四）坚持协调并进，全面优化区域教育资源</w:t>
      </w:r>
    </w:p>
    <w:p>
      <w:pPr>
        <w:pStyle w:val="2"/>
        <w:spacing w:line="576" w:lineRule="exact"/>
        <w:ind w:firstLine="629"/>
        <w:rPr>
          <w:rFonts w:ascii="仿宋_GB2312" w:hAnsi="Times New Roman"/>
          <w:color w:val="000000"/>
          <w:szCs w:val="32"/>
        </w:rPr>
      </w:pPr>
      <w:r>
        <w:rPr>
          <w:rFonts w:hint="eastAsia" w:ascii="仿宋_GB2312" w:hAnsi="Times New Roman"/>
          <w:color w:val="000000"/>
        </w:rPr>
        <w:t>15.加快发展学前教育。</w:t>
      </w:r>
      <w:r>
        <w:rPr>
          <w:rFonts w:hint="eastAsia" w:ascii="仿宋_GB2312" w:hAnsi="Times New Roman"/>
          <w:color w:val="000000"/>
          <w:szCs w:val="32"/>
        </w:rPr>
        <w:t>启动实施第三期学前教育四年行动计划，不断扩大普惠性幼儿园比例。建成并启用振兴聚宝新村幼儿园，支持新建阎良区西飞保育院，启动阎良区第四幼儿园建设。学习贯彻《幼儿园工作规程》，开展“家园携手共育年”亲子活动评选工作。创建市一级园3所、二级园3所，全区等级园占比达到80%，学前教育毛入园率巩固在98%以上。</w:t>
      </w:r>
    </w:p>
    <w:p>
      <w:pPr>
        <w:spacing w:line="576" w:lineRule="exact"/>
        <w:ind w:firstLine="640" w:firstLineChars="200"/>
        <w:rPr>
          <w:rFonts w:ascii="仿宋_GB2312" w:eastAsia="仿宋_GB2312"/>
          <w:color w:val="000000"/>
        </w:rPr>
      </w:pPr>
      <w:r>
        <w:rPr>
          <w:rFonts w:hint="eastAsia" w:ascii="仿宋_GB2312" w:eastAsia="仿宋_GB2312"/>
          <w:color w:val="000000"/>
        </w:rPr>
        <w:t>16.推动义务教育高位均衡发展。实施“十三五”期间阎良教育布局规划，全力推进阎良一中、武屯初中、农兴小学、西飞二中等新建项目；完成2所农村中小学旱厕改造任务；启动聚宝小学迁建工作；继续做好2018年校园绿化工作。进一步完善小学低年级学生“弹性离校”制度。依法保证适龄儿童、少年免试就近入学，加强农村留守儿童教育工作。严格落实义务教育学校营养改善计划，</w:t>
      </w:r>
      <w:r>
        <w:rPr>
          <w:rFonts w:hint="eastAsia" w:ascii="仿宋_GB2312" w:eastAsia="仿宋_GB2312"/>
        </w:rPr>
        <w:t>提高学校食堂（配餐企业）供餐比例，改变单一供餐形式，加强绩效管理</w:t>
      </w:r>
      <w:r>
        <w:rPr>
          <w:rFonts w:hint="eastAsia" w:ascii="仿宋_GB2312" w:eastAsia="仿宋_GB2312"/>
          <w:color w:val="000000"/>
        </w:rPr>
        <w:t>。</w:t>
      </w:r>
    </w:p>
    <w:p>
      <w:pPr>
        <w:spacing w:line="576" w:lineRule="exact"/>
        <w:ind w:firstLine="640" w:firstLineChars="200"/>
        <w:rPr>
          <w:rFonts w:ascii="仿宋_GB2312" w:eastAsia="仿宋_GB2312"/>
          <w:color w:val="000000"/>
        </w:rPr>
      </w:pPr>
      <w:r>
        <w:rPr>
          <w:rFonts w:hint="eastAsia" w:ascii="仿宋_GB2312" w:eastAsia="仿宋_GB2312"/>
          <w:color w:val="000000"/>
        </w:rPr>
        <w:t>17.扩大优质特色高中教育资源。实施普通高中优质特色发展行动计划，提升学校办学“软硬件”。启动关山中学图文科技楼建设，启动关山中学省级示范校创建。高中阶段学生毛入学率达到98%以上。</w:t>
      </w:r>
    </w:p>
    <w:p>
      <w:pPr>
        <w:spacing w:line="576" w:lineRule="exact"/>
        <w:ind w:firstLine="640" w:firstLineChars="200"/>
        <w:rPr>
          <w:rFonts w:ascii="仿宋_GB2312" w:eastAsia="仿宋_GB2312"/>
          <w:color w:val="000000"/>
        </w:rPr>
      </w:pPr>
      <w:r>
        <w:rPr>
          <w:rFonts w:hint="eastAsia" w:ascii="仿宋_GB2312" w:eastAsia="仿宋_GB2312"/>
          <w:color w:val="000000"/>
        </w:rPr>
        <w:t>18.加快建设现代职业教育体系。持续优化中等职业教育资源，建成武屯中学师生食堂及体育馆项目，完成航空服务与学前教育专业配套部室建设。启动区职教中心教学诊断与改进工作。职业教育单独招生本科录取人数提高25%，“技能大赛”“文明风采竞赛”成绩稳步提升，培养“双师型”教师2—4名，争创1个市级示范或特色专业。</w:t>
      </w:r>
    </w:p>
    <w:p>
      <w:pPr>
        <w:spacing w:line="576" w:lineRule="exact"/>
        <w:ind w:firstLine="627" w:firstLineChars="196"/>
        <w:rPr>
          <w:rFonts w:ascii="仿宋_GB2312" w:eastAsia="仿宋_GB2312"/>
          <w:bCs/>
          <w:color w:val="000000"/>
        </w:rPr>
      </w:pPr>
      <w:r>
        <w:rPr>
          <w:rFonts w:hint="eastAsia" w:ascii="仿宋_GB2312" w:eastAsia="仿宋_GB2312"/>
          <w:bCs/>
          <w:color w:val="000000"/>
        </w:rPr>
        <w:t>19.深化教育信息化应用工作。提升中小学网络带宽接入标准，改善全区中小学网络宽带环境；完成部分学校新建校舍、学区长学校信息化设施装备建设装配工作；继续推进西安市大学区优质资源共享平台和乐教乐学云平台应用工作，推进个人网络学习空间建设工作。创建教育信息化智慧校园和创新应用示范校1—2所。</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（五）坚持专业成长，提升教师队伍核心素养</w:t>
      </w:r>
    </w:p>
    <w:p>
      <w:pPr>
        <w:spacing w:line="576" w:lineRule="exact"/>
        <w:ind w:firstLine="640" w:firstLineChars="200"/>
        <w:rPr>
          <w:rFonts w:ascii="仿宋_GB2312" w:eastAsia="仿宋_GB2312"/>
        </w:rPr>
      </w:pPr>
      <w:r>
        <w:rPr>
          <w:rFonts w:hint="eastAsia" w:ascii="仿宋_GB2312" w:eastAsia="仿宋_GB2312"/>
        </w:rPr>
        <w:t>20.坚持师德为要。落实好《西安市教育局关于加强师德师风建设的意见》，大力培育“四有好老师”，严肃查处违反师德的行为，做好第34个教师节庆祝活动。</w:t>
      </w:r>
    </w:p>
    <w:p>
      <w:pPr>
        <w:spacing w:line="576" w:lineRule="exact"/>
        <w:ind w:firstLine="640" w:firstLineChars="200"/>
        <w:rPr>
          <w:rFonts w:ascii="仿宋_GB2312" w:eastAsia="仿宋_GB2312"/>
        </w:rPr>
      </w:pPr>
      <w:r>
        <w:rPr>
          <w:rFonts w:hint="eastAsia" w:ascii="仿宋_GB2312" w:eastAsia="仿宋_GB2312"/>
        </w:rPr>
        <w:t>21.做好人员补充。切实加大公开招聘教师工作力度，按照“退补相当”原则，确定招聘数量。创新招聘方式，加大高层次人才引进力度，落实“千名硕士进中学”、“千名免费师范生到基层”计划。</w:t>
      </w:r>
    </w:p>
    <w:p>
      <w:pPr>
        <w:spacing w:line="576" w:lineRule="exact"/>
        <w:ind w:firstLine="640" w:firstLineChars="200"/>
        <w:rPr>
          <w:rFonts w:ascii="仿宋_GB2312" w:eastAsia="仿宋_GB2312"/>
        </w:rPr>
      </w:pPr>
      <w:r>
        <w:rPr>
          <w:rFonts w:hint="eastAsia" w:ascii="仿宋_GB2312" w:eastAsia="仿宋_GB2312"/>
        </w:rPr>
        <w:t>22.加强骨干培养。进一步加强全区骨干体系队伍建设，建立全区骨干教师队伍信息库，完善骨干体系建设相关制度，加大名师培养力度，开展“三级三类”骨干体系培养认定，切实发挥骨干教师辐射、引领、带动作用，带动提升中小学教师队伍的整体素质和专业化水平。</w:t>
      </w:r>
    </w:p>
    <w:p>
      <w:pPr>
        <w:spacing w:line="576" w:lineRule="exact"/>
        <w:ind w:firstLine="640" w:firstLineChars="200"/>
        <w:rPr>
          <w:rFonts w:ascii="仿宋_GB2312" w:eastAsia="仿宋_GB2312"/>
        </w:rPr>
      </w:pPr>
      <w:r>
        <w:rPr>
          <w:rFonts w:hint="eastAsia" w:ascii="仿宋_GB2312" w:eastAsia="仿宋_GB2312"/>
        </w:rPr>
        <w:t>23.开展培训交流。注重研训一体，完善教师业务“精准培训”机制，搭建教师专业成长平台。组织开展“一师一优课、一课一名师”活动。加强教师培训工作的组织领导，积极探索政府购买服务的方式组织实施教师培训，年度培训教师、校园长4000人次。持续推动校长教师交流轮岗，全区大学区交流教师179 人、校长9人，跨区域交流教师23 人，校长7人。</w:t>
      </w:r>
    </w:p>
    <w:p>
      <w:pPr>
        <w:spacing w:line="576" w:lineRule="exact"/>
        <w:ind w:firstLine="640" w:firstLineChars="200"/>
        <w:rPr>
          <w:rFonts w:ascii="仿宋_GB2312" w:eastAsia="仿宋_GB2312"/>
        </w:rPr>
      </w:pPr>
      <w:r>
        <w:rPr>
          <w:rFonts w:hint="eastAsia" w:ascii="仿宋_GB2312" w:eastAsia="仿宋_GB2312"/>
        </w:rPr>
        <w:t>24.做好教师保障。落实教师资格证注册工作，逐步实现教师资格证补发常态化办理。落实乡村教师荣誉制度，探索中小学教师职评工作与基础教育管理工作有机结合，加大职称（职务）评聘向边远农村倾斜力度，实施岗位设置分级聘任工作。完成好我区中小学幼儿园校园长持证上岗过渡工作。</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（六）坚持规范办学，提升教育公共服务品质</w:t>
      </w:r>
    </w:p>
    <w:p>
      <w:pPr>
        <w:spacing w:line="576" w:lineRule="exact"/>
        <w:ind w:firstLine="640" w:firstLineChars="200"/>
        <w:rPr>
          <w:rFonts w:ascii="仿宋_GB2312" w:eastAsia="仿宋_GB2312"/>
          <w:color w:val="000000"/>
        </w:rPr>
      </w:pPr>
      <w:r>
        <w:rPr>
          <w:rFonts w:hint="eastAsia" w:ascii="仿宋_GB2312" w:eastAsia="仿宋_GB2312"/>
          <w:bCs/>
          <w:color w:val="000000"/>
        </w:rPr>
        <w:t>25.强化教育资金使用管理。</w:t>
      </w:r>
      <w:r>
        <w:rPr>
          <w:rFonts w:hint="eastAsia" w:ascii="仿宋_GB2312" w:eastAsia="仿宋_GB2312"/>
          <w:color w:val="000000"/>
        </w:rPr>
        <w:t>认真贯彻落实《中小学校财务管理制度》，完善财务管理工作体制，加大经费收支监管力度，加强财务人员的业务培训。坚持厉行节约，勤俭办学，提高教育经费使用效益。</w:t>
      </w:r>
    </w:p>
    <w:p>
      <w:pPr>
        <w:spacing w:line="576" w:lineRule="exact"/>
        <w:ind w:firstLine="640" w:firstLineChars="200"/>
        <w:rPr>
          <w:rFonts w:ascii="仿宋_GB2312" w:eastAsia="仿宋_GB2312"/>
          <w:bCs/>
          <w:color w:val="000000"/>
        </w:rPr>
      </w:pPr>
      <w:r>
        <w:rPr>
          <w:rFonts w:hint="eastAsia" w:ascii="仿宋_GB2312" w:eastAsia="仿宋_GB2312"/>
          <w:color w:val="000000"/>
        </w:rPr>
        <w:t>26.切实发挥教育督导作用。加强督学队伍建设，完成责任督学换届，成立教育督导委员会。继续开展中小学责任督学挂牌督导工作，积极做好省级挂牌督导创新区创建准备工作。做好义务教育发展基本均衡区国家复验工作。开展第三轮教育质量提升</w:t>
      </w:r>
      <w:r>
        <w:rPr>
          <w:rFonts w:hint="eastAsia" w:ascii="仿宋_GB2312" w:eastAsia="仿宋_GB2312"/>
          <w:bCs/>
          <w:color w:val="000000"/>
        </w:rPr>
        <w:t>“316工程” 督导评估工作。创建省市级素质教育优秀学校1—2所。</w:t>
      </w:r>
    </w:p>
    <w:p>
      <w:pPr>
        <w:tabs>
          <w:tab w:val="left" w:pos="7740"/>
          <w:tab w:val="left" w:pos="7920"/>
        </w:tabs>
        <w:spacing w:line="576" w:lineRule="exact"/>
        <w:ind w:firstLine="633" w:firstLineChars="198"/>
        <w:rPr>
          <w:rFonts w:ascii="仿宋_GB2312" w:eastAsia="仿宋_GB2312"/>
          <w:bCs/>
          <w:color w:val="000000"/>
        </w:rPr>
      </w:pPr>
      <w:r>
        <w:rPr>
          <w:rFonts w:hint="eastAsia" w:ascii="仿宋_GB2312" w:eastAsia="仿宋_GB2312"/>
          <w:bCs/>
          <w:color w:val="000000"/>
        </w:rPr>
        <w:t>27.加强教育系统行风建设。</w:t>
      </w:r>
      <w:r>
        <w:rPr>
          <w:rFonts w:hint="eastAsia" w:ascii="仿宋_GB2312" w:eastAsia="仿宋_GB2312"/>
          <w:color w:val="000000"/>
        </w:rPr>
        <w:t>夯实教育乱收费治理责任，深入开展教育收费警示教育，</w:t>
      </w:r>
      <w:r>
        <w:rPr>
          <w:rFonts w:hint="eastAsia" w:ascii="仿宋_GB2312" w:eastAsia="仿宋_GB2312"/>
          <w:bCs/>
          <w:color w:val="000000"/>
        </w:rPr>
        <w:t>及时调查、严肃处理各类教育乱收费案件。</w:t>
      </w:r>
      <w:r>
        <w:rPr>
          <w:rFonts w:hint="eastAsia" w:ascii="仿宋_GB2312" w:eastAsia="仿宋_GB2312"/>
        </w:rPr>
        <w:t>推进行政效能革命，深化以“最多跑一次”改革为主题的教育领域简政放权、放管结合、优化服务改革，按照“应纳尽纳”原则，区教育局90%以上业务事项实现“最多跑一次”，提升驻区政务中心窗口服务水平。及时</w:t>
      </w:r>
      <w:r>
        <w:rPr>
          <w:rFonts w:hint="eastAsia" w:ascii="仿宋_GB2312" w:eastAsia="仿宋_GB2312"/>
          <w:bCs/>
          <w:color w:val="000000"/>
        </w:rPr>
        <w:t>做好群众投诉信访办理工作。</w:t>
      </w:r>
    </w:p>
    <w:p>
      <w:pPr>
        <w:tabs>
          <w:tab w:val="left" w:pos="7740"/>
          <w:tab w:val="left" w:pos="7920"/>
        </w:tabs>
        <w:spacing w:line="576" w:lineRule="exact"/>
        <w:ind w:firstLine="633" w:firstLineChars="198"/>
        <w:rPr>
          <w:rFonts w:ascii="仿宋_GB2312" w:eastAsia="仿宋_GB2312"/>
        </w:rPr>
      </w:pPr>
      <w:r>
        <w:rPr>
          <w:rFonts w:hint="eastAsia" w:ascii="仿宋_GB2312" w:eastAsia="仿宋_GB2312"/>
          <w:bCs/>
          <w:color w:val="000000"/>
        </w:rPr>
        <w:t>28.切实做好</w:t>
      </w:r>
      <w:r>
        <w:rPr>
          <w:rFonts w:hint="eastAsia" w:ascii="仿宋_GB2312" w:eastAsia="仿宋_GB2312"/>
          <w:color w:val="000000"/>
        </w:rPr>
        <w:t>教育扶贫工作。</w:t>
      </w:r>
      <w:r>
        <w:rPr>
          <w:rFonts w:hint="eastAsia" w:ascii="仿宋_GB2312" w:eastAsia="仿宋_GB2312"/>
        </w:rPr>
        <w:t>加强对困难群体的教育精准帮扶，以区贫困户子女为重点，继续开展党员教师“结对子”、“三秦教师大家访”等活动，紧盯“控辍保学”、“教育资助”等重点指标，切实落实教育关爱帮扶措施和各项惠民政策，做好贫困户家庭劳动力技能培训工作，继续加大教育扶贫政策宣传力度，确保贫困户残障学生接受教育，确保全区义务教育无辍学，坚决打赢2018年教育脱贫攻坚战。</w:t>
      </w:r>
    </w:p>
    <w:p>
      <w:pPr>
        <w:tabs>
          <w:tab w:val="left" w:pos="7740"/>
          <w:tab w:val="left" w:pos="7920"/>
        </w:tabs>
        <w:spacing w:line="576" w:lineRule="exact"/>
        <w:ind w:firstLine="633" w:firstLineChars="198"/>
        <w:rPr>
          <w:rFonts w:ascii="仿宋_GB2312" w:eastAsia="仿宋_GB2312"/>
        </w:rPr>
      </w:pPr>
      <w:r>
        <w:rPr>
          <w:rFonts w:hint="eastAsia" w:ascii="仿宋_GB2312" w:eastAsia="仿宋_GB2312"/>
        </w:rPr>
        <w:t>29.加强学校卫生保健和食品安全工作。坚持预防为主，加强学校传染病、常见病预防教育和防控工作，开展校园公共卫生及应急救护技能培训。建立食品安全工作网络，配合相关部门开展校园食品安全监督管理。开展形式多样的卫生健康和食品安全宣传教育活动。扎实做好中小学生健康体检工作。创建省级卫生先进单位1所、市级6所、区级5所。</w:t>
      </w:r>
    </w:p>
    <w:p>
      <w:pPr>
        <w:adjustRightInd w:val="0"/>
        <w:snapToGrid w:val="0"/>
        <w:spacing w:line="576" w:lineRule="exact"/>
        <w:ind w:firstLine="640" w:firstLineChars="200"/>
        <w:rPr>
          <w:rFonts w:ascii="仿宋_GB2312" w:eastAsia="仿宋_GB2312"/>
          <w:bCs/>
          <w:color w:val="000000"/>
        </w:rPr>
      </w:pPr>
      <w:r>
        <w:rPr>
          <w:rFonts w:hint="eastAsia" w:ascii="仿宋_GB2312" w:eastAsia="仿宋_GB2312"/>
          <w:color w:val="000000"/>
        </w:rPr>
        <w:t>30.全力维护校园安全稳定。</w:t>
      </w:r>
      <w:r>
        <w:rPr>
          <w:rFonts w:hint="eastAsia" w:ascii="仿宋_GB2312" w:eastAsia="仿宋_GB2312"/>
          <w:bCs/>
          <w:color w:val="000000"/>
        </w:rPr>
        <w:t>健全完善学校安全防范工作机制，进一步提高校园“人防、物防、技防”工作水平。加大校园及周边环境综合治理力度，定期开展安全隐患排查、矛盾纠纷排查、管制刀具收缴检查，及时发现并消除风险隐患。切实抓好校园欺凌、幼儿园虐童、校车安全、寄宿生管理、大型集体活动等安全防范管理工作。积极开展校园安全主题教育、毒品预防教育和法制教育活动。完善突发事件预警机制和应急预案，常态化开展应急疏散演练。加强各级各类考试组织及安保工作。创建省、市级“平安校园”各1所。</w:t>
      </w:r>
    </w:p>
    <w:p>
      <w:pPr>
        <w:adjustRightInd w:val="0"/>
        <w:snapToGrid w:val="0"/>
        <w:spacing w:line="576" w:lineRule="exact"/>
        <w:ind w:firstLine="640" w:firstLineChars="200"/>
        <w:rPr>
          <w:rFonts w:ascii="仿宋_GB2312" w:eastAsia="仿宋_GB2312"/>
          <w:color w:val="000000"/>
          <w:kern w:val="0"/>
        </w:rPr>
      </w:pPr>
      <w:r>
        <w:rPr>
          <w:rFonts w:hint="eastAsia" w:ascii="仿宋_GB2312" w:eastAsia="仿宋_GB2312"/>
          <w:bCs/>
          <w:color w:val="000000"/>
          <w:kern w:val="0"/>
        </w:rPr>
        <w:t>31.进一步加大教育宣传力度。加强教育系统信息员队伍建设，加大培训、考核、表彰奖励力度，完善教育信息报送机制和新闻媒体、网络媒体舆论监督应急机制，及时做好重大突发信息、网络舆情信息的监控收集、研判应对及报送工作。加强教育亮点、特色工作信息编报工作，办好阎良教育微信公众号。继续开展区教育局“上门纳谏”活动，收集民情民意，不断扩大教育影响力，提高阎良教育满意度。</w:t>
      </w:r>
    </w:p>
    <w:p>
      <w:pPr>
        <w:spacing w:line="576" w:lineRule="exact"/>
        <w:ind w:firstLine="640"/>
        <w:rPr>
          <w:rFonts w:ascii="黑体" w:hAnsi="仿宋_GB2312" w:eastAsia="黑体" w:cs="仿宋_GB2312"/>
          <w:bCs/>
          <w:szCs w:val="32"/>
        </w:rPr>
      </w:pPr>
      <w:r>
        <w:rPr>
          <w:rFonts w:hint="eastAsia" w:ascii="黑体" w:hAnsi="仿宋_GB2312" w:eastAsia="黑体" w:cs="仿宋_GB2312"/>
          <w:bCs/>
          <w:szCs w:val="32"/>
        </w:rPr>
        <w:t>三、部门综合预算单位构成</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从预算单位构成看，本部门的部门综合预算包括部门本级（机关）预算和所属事业单位预算。</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纳入本部门2018年部门综合预算编制范围的二级预算单位共有41个，包括：</w:t>
      </w:r>
    </w:p>
    <w:tbl>
      <w:tblPr>
        <w:tblStyle w:val="7"/>
        <w:tblW w:w="9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7"/>
        <w:gridCol w:w="7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gridSpan w:val="2"/>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序号</w:t>
            </w:r>
          </w:p>
        </w:tc>
        <w:tc>
          <w:tcPr>
            <w:tcW w:w="7429" w:type="dxa"/>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gridSpan w:val="2"/>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429" w:type="dxa"/>
            <w:tcBorders>
              <w:top w:val="single" w:color="auto" w:sz="4" w:space="0"/>
              <w:left w:val="single" w:color="auto" w:sz="4" w:space="0"/>
              <w:bottom w:val="single" w:color="auto" w:sz="4" w:space="0"/>
              <w:right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西安市阎良区教育局本级（机关）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gridSpan w:val="2"/>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w:t>
            </w:r>
          </w:p>
        </w:tc>
        <w:tc>
          <w:tcPr>
            <w:tcW w:w="7429" w:type="dxa"/>
            <w:tcBorders>
              <w:top w:val="single" w:color="auto" w:sz="4" w:space="0"/>
              <w:left w:val="single" w:color="auto" w:sz="4" w:space="0"/>
              <w:bottom w:val="single" w:color="auto" w:sz="4" w:space="0"/>
              <w:right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西安市阎良区教学研究室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5" w:type="dxa"/>
            <w:gridSpan w:val="2"/>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w:t>
            </w:r>
          </w:p>
        </w:tc>
        <w:tc>
          <w:tcPr>
            <w:tcW w:w="7429" w:type="dxa"/>
            <w:tcBorders>
              <w:top w:val="single" w:color="auto" w:sz="4" w:space="0"/>
              <w:left w:val="single" w:color="auto" w:sz="4" w:space="0"/>
              <w:bottom w:val="single" w:color="auto" w:sz="4" w:space="0"/>
              <w:right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西安市阎良区招生委员会办公室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4</w:t>
            </w:r>
          </w:p>
        </w:tc>
        <w:tc>
          <w:tcPr>
            <w:tcW w:w="7436" w:type="dxa"/>
            <w:gridSpan w:val="2"/>
            <w:tcBorders>
              <w:top w:val="single" w:color="auto" w:sz="4" w:space="0"/>
              <w:left w:val="single" w:color="auto" w:sz="4" w:space="0"/>
              <w:bottom w:val="single" w:color="auto" w:sz="4" w:space="0"/>
              <w:right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西安市阎良区勤工俭学办公室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left w:val="single" w:color="auto" w:sz="4" w:space="0"/>
              <w:bottom w:val="single" w:color="auto" w:sz="4" w:space="0"/>
              <w:right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5</w:t>
            </w:r>
          </w:p>
        </w:tc>
        <w:tc>
          <w:tcPr>
            <w:tcW w:w="7436" w:type="dxa"/>
            <w:gridSpan w:val="2"/>
            <w:tcBorders>
              <w:top w:val="single" w:color="auto" w:sz="4" w:space="0"/>
              <w:left w:val="single" w:color="auto" w:sz="4" w:space="0"/>
              <w:bottom w:val="single" w:color="auto" w:sz="4" w:space="0"/>
              <w:right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西安市阎良区人民政府教育督导室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Borders>
              <w:top w:val="single" w:color="auto" w:sz="4" w:space="0"/>
            </w:tcBorders>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6</w:t>
            </w:r>
          </w:p>
        </w:tc>
        <w:tc>
          <w:tcPr>
            <w:tcW w:w="7436" w:type="dxa"/>
            <w:gridSpan w:val="2"/>
            <w:tcBorders>
              <w:top w:val="single" w:color="auto" w:sz="4" w:space="0"/>
            </w:tcBorders>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西安市阎良区中小学卫生保健所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7</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西安市阎良区青少年活动中心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8</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9</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西安市阎良区第一学校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10</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西安市阎良区第二小学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11</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西安市阎良区西飞第一小学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12</w:t>
            </w:r>
          </w:p>
        </w:tc>
        <w:tc>
          <w:tcPr>
            <w:tcW w:w="7436" w:type="dxa"/>
            <w:gridSpan w:val="2"/>
          </w:tcPr>
          <w:p>
            <w:pPr>
              <w:spacing w:line="576" w:lineRule="exact"/>
            </w:pPr>
            <w:r>
              <w:rPr>
                <w:rFonts w:hint="eastAsia" w:ascii="仿宋_GB2312" w:hAnsi="仿宋_GB2312" w:eastAsia="仿宋_GB2312" w:cs="仿宋_GB2312"/>
                <w:szCs w:val="32"/>
              </w:rPr>
              <w:t>西安市阎良区西飞第二小学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13</w:t>
            </w:r>
          </w:p>
        </w:tc>
        <w:tc>
          <w:tcPr>
            <w:tcW w:w="7436" w:type="dxa"/>
            <w:gridSpan w:val="2"/>
          </w:tcPr>
          <w:p>
            <w:pPr>
              <w:spacing w:line="576" w:lineRule="exact"/>
            </w:pPr>
            <w:r>
              <w:rPr>
                <w:rFonts w:hint="eastAsia" w:ascii="仿宋_GB2312" w:hAnsi="仿宋_GB2312" w:eastAsia="仿宋_GB2312" w:cs="仿宋_GB2312"/>
                <w:szCs w:val="32"/>
              </w:rPr>
              <w:t>西安市阎良区西飞第四小学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14</w:t>
            </w:r>
          </w:p>
        </w:tc>
        <w:tc>
          <w:tcPr>
            <w:tcW w:w="7436" w:type="dxa"/>
            <w:gridSpan w:val="2"/>
          </w:tcPr>
          <w:p>
            <w:pPr>
              <w:spacing w:line="576" w:lineRule="exact"/>
              <w:jc w:val="left"/>
              <w:rPr>
                <w:rFonts w:ascii="仿宋_GB2312" w:hAnsi="仿宋_GB2312" w:eastAsia="仿宋_GB2312" w:cs="仿宋_GB2312"/>
                <w:szCs w:val="32"/>
              </w:rPr>
            </w:pPr>
            <w:r>
              <w:rPr>
                <w:rFonts w:hint="eastAsia" w:ascii="仿宋_GB2312" w:hAnsi="仿宋_GB2312" w:eastAsia="仿宋_GB2312" w:cs="仿宋_GB2312"/>
                <w:szCs w:val="32"/>
              </w:rPr>
              <w:t>西安市阎良区凤凰路街道办事处中心小学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15</w:t>
            </w:r>
          </w:p>
        </w:tc>
        <w:tc>
          <w:tcPr>
            <w:tcW w:w="7436" w:type="dxa"/>
            <w:gridSpan w:val="2"/>
          </w:tcPr>
          <w:p>
            <w:pPr>
              <w:spacing w:line="576" w:lineRule="exact"/>
            </w:pPr>
            <w:r>
              <w:rPr>
                <w:rFonts w:hint="eastAsia" w:ascii="仿宋_GB2312" w:hAnsi="仿宋_GB2312" w:eastAsia="仿宋_GB2312" w:cs="仿宋_GB2312"/>
                <w:szCs w:val="32"/>
              </w:rPr>
              <w:t>西安市阎良区新华路街道办事处中心小学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16</w:t>
            </w:r>
          </w:p>
        </w:tc>
        <w:tc>
          <w:tcPr>
            <w:tcW w:w="7436" w:type="dxa"/>
            <w:gridSpan w:val="2"/>
          </w:tcPr>
          <w:p>
            <w:pPr>
              <w:spacing w:line="576" w:lineRule="exact"/>
            </w:pPr>
            <w:r>
              <w:rPr>
                <w:rFonts w:hint="eastAsia" w:ascii="仿宋_GB2312" w:hAnsi="仿宋_GB2312" w:eastAsia="仿宋_GB2312" w:cs="仿宋_GB2312"/>
                <w:szCs w:val="32"/>
              </w:rPr>
              <w:t>西安市阎良区振兴街道办事处中心小学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17</w:t>
            </w:r>
          </w:p>
        </w:tc>
        <w:tc>
          <w:tcPr>
            <w:tcW w:w="7436" w:type="dxa"/>
            <w:gridSpan w:val="2"/>
          </w:tcPr>
          <w:p>
            <w:pPr>
              <w:spacing w:line="576" w:lineRule="exact"/>
            </w:pPr>
            <w:r>
              <w:rPr>
                <w:rFonts w:hint="eastAsia" w:ascii="仿宋_GB2312" w:hAnsi="仿宋_GB2312" w:eastAsia="仿宋_GB2312" w:cs="仿宋_GB2312"/>
                <w:szCs w:val="32"/>
              </w:rPr>
              <w:t>西安市阎良区北屯街道办事处中心小学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18</w:t>
            </w:r>
          </w:p>
        </w:tc>
        <w:tc>
          <w:tcPr>
            <w:tcW w:w="7436" w:type="dxa"/>
            <w:gridSpan w:val="2"/>
          </w:tcPr>
          <w:p>
            <w:pPr>
              <w:spacing w:line="576" w:lineRule="exact"/>
            </w:pPr>
            <w:r>
              <w:rPr>
                <w:rFonts w:hint="eastAsia" w:ascii="仿宋_GB2312" w:hAnsi="仿宋_GB2312" w:eastAsia="仿宋_GB2312" w:cs="仿宋_GB2312"/>
                <w:szCs w:val="32"/>
              </w:rPr>
              <w:t>西安市阎良区新兴街道办事处中心小学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19</w:t>
            </w:r>
          </w:p>
        </w:tc>
        <w:tc>
          <w:tcPr>
            <w:tcW w:w="7436" w:type="dxa"/>
            <w:gridSpan w:val="2"/>
          </w:tcPr>
          <w:p>
            <w:pPr>
              <w:spacing w:line="576" w:lineRule="exact"/>
            </w:pPr>
            <w:r>
              <w:rPr>
                <w:rFonts w:hint="eastAsia" w:ascii="仿宋_GB2312" w:hAnsi="仿宋_GB2312" w:eastAsia="仿宋_GB2312" w:cs="仿宋_GB2312"/>
                <w:szCs w:val="32"/>
              </w:rPr>
              <w:t>西安市阎良区武屯镇中心小学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20</w:t>
            </w:r>
          </w:p>
        </w:tc>
        <w:tc>
          <w:tcPr>
            <w:tcW w:w="7436" w:type="dxa"/>
            <w:gridSpan w:val="2"/>
          </w:tcPr>
          <w:p>
            <w:pPr>
              <w:spacing w:line="576" w:lineRule="exact"/>
            </w:pPr>
            <w:r>
              <w:rPr>
                <w:rFonts w:hint="eastAsia" w:ascii="仿宋_GB2312" w:hAnsi="仿宋_GB2312" w:eastAsia="仿宋_GB2312" w:cs="仿宋_GB2312"/>
                <w:szCs w:val="32"/>
              </w:rPr>
              <w:t>西安市阎良区关山镇中心小学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21</w:t>
            </w:r>
          </w:p>
        </w:tc>
        <w:tc>
          <w:tcPr>
            <w:tcW w:w="7436" w:type="dxa"/>
            <w:gridSpan w:val="2"/>
          </w:tcPr>
          <w:p>
            <w:pPr>
              <w:spacing w:line="576" w:lineRule="exact"/>
            </w:pPr>
            <w:r>
              <w:rPr>
                <w:rFonts w:hint="eastAsia" w:ascii="仿宋_GB2312" w:hAnsi="仿宋_GB2312" w:eastAsia="仿宋_GB2312" w:cs="仿宋_GB2312"/>
                <w:szCs w:val="32"/>
              </w:rPr>
              <w:t>西安市阎良区第一中学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22</w:t>
            </w:r>
          </w:p>
        </w:tc>
        <w:tc>
          <w:tcPr>
            <w:tcW w:w="7436" w:type="dxa"/>
            <w:gridSpan w:val="2"/>
          </w:tcPr>
          <w:p>
            <w:pPr>
              <w:spacing w:line="576" w:lineRule="exact"/>
            </w:pPr>
            <w:r>
              <w:rPr>
                <w:rFonts w:hint="eastAsia" w:ascii="仿宋_GB2312" w:hAnsi="仿宋_GB2312" w:eastAsia="仿宋_GB2312" w:cs="仿宋_GB2312"/>
                <w:szCs w:val="32"/>
              </w:rPr>
              <w:t>西安市阎良区西飞第二中学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23</w:t>
            </w:r>
          </w:p>
        </w:tc>
        <w:tc>
          <w:tcPr>
            <w:tcW w:w="7436" w:type="dxa"/>
            <w:gridSpan w:val="2"/>
          </w:tcPr>
          <w:p>
            <w:pPr>
              <w:spacing w:line="576" w:lineRule="exact"/>
            </w:pPr>
            <w:r>
              <w:rPr>
                <w:rFonts w:hint="eastAsia" w:ascii="仿宋_GB2312" w:hAnsi="仿宋_GB2312" w:eastAsia="仿宋_GB2312" w:cs="仿宋_GB2312"/>
                <w:szCs w:val="32"/>
              </w:rPr>
              <w:t>西安市阎良区振兴初级中学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24</w:t>
            </w:r>
          </w:p>
        </w:tc>
        <w:tc>
          <w:tcPr>
            <w:tcW w:w="7436" w:type="dxa"/>
            <w:gridSpan w:val="2"/>
          </w:tcPr>
          <w:p>
            <w:pPr>
              <w:spacing w:line="576" w:lineRule="exact"/>
            </w:pPr>
            <w:r>
              <w:rPr>
                <w:rFonts w:hint="eastAsia" w:ascii="仿宋_GB2312" w:hAnsi="仿宋_GB2312" w:eastAsia="仿宋_GB2312" w:cs="仿宋_GB2312"/>
                <w:szCs w:val="32"/>
              </w:rPr>
              <w:t>西安市阎良区武屯镇初级中学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25</w:t>
            </w:r>
          </w:p>
        </w:tc>
        <w:tc>
          <w:tcPr>
            <w:tcW w:w="7436" w:type="dxa"/>
            <w:gridSpan w:val="2"/>
          </w:tcPr>
          <w:p>
            <w:pPr>
              <w:spacing w:line="576" w:lineRule="exact"/>
            </w:pPr>
            <w:r>
              <w:rPr>
                <w:rFonts w:hint="eastAsia" w:ascii="仿宋_GB2312" w:hAnsi="仿宋_GB2312" w:eastAsia="仿宋_GB2312" w:cs="仿宋_GB2312"/>
                <w:szCs w:val="32"/>
              </w:rPr>
              <w:t>西安市阎良区北屯初级中学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26</w:t>
            </w:r>
          </w:p>
        </w:tc>
        <w:tc>
          <w:tcPr>
            <w:tcW w:w="7436" w:type="dxa"/>
            <w:gridSpan w:val="2"/>
          </w:tcPr>
          <w:p>
            <w:pPr>
              <w:spacing w:line="576" w:lineRule="exact"/>
            </w:pPr>
            <w:r>
              <w:rPr>
                <w:rFonts w:hint="eastAsia" w:ascii="仿宋_GB2312" w:hAnsi="仿宋_GB2312" w:eastAsia="仿宋_GB2312" w:cs="仿宋_GB2312"/>
                <w:szCs w:val="32"/>
              </w:rPr>
              <w:t>西安市阎良区关山镇关山初级中学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27</w:t>
            </w:r>
          </w:p>
        </w:tc>
        <w:tc>
          <w:tcPr>
            <w:tcW w:w="7436" w:type="dxa"/>
            <w:gridSpan w:val="2"/>
          </w:tcPr>
          <w:p>
            <w:pPr>
              <w:spacing w:line="576" w:lineRule="exact"/>
            </w:pPr>
            <w:r>
              <w:rPr>
                <w:rFonts w:hint="eastAsia" w:ascii="仿宋_GB2312" w:hAnsi="仿宋_GB2312" w:eastAsia="仿宋_GB2312" w:cs="仿宋_GB2312"/>
                <w:szCs w:val="32"/>
              </w:rPr>
              <w:t>西安市阎良区关山镇康桥初级中学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28</w:t>
            </w:r>
          </w:p>
        </w:tc>
        <w:tc>
          <w:tcPr>
            <w:tcW w:w="7436" w:type="dxa"/>
            <w:gridSpan w:val="2"/>
          </w:tcPr>
          <w:p>
            <w:pPr>
              <w:spacing w:line="576" w:lineRule="exact"/>
            </w:pPr>
            <w:r>
              <w:rPr>
                <w:rFonts w:hint="eastAsia" w:ascii="仿宋_GB2312" w:hAnsi="仿宋_GB2312" w:eastAsia="仿宋_GB2312" w:cs="仿宋_GB2312"/>
                <w:szCs w:val="32"/>
              </w:rPr>
              <w:t>西安市阎良区第二中学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29</w:t>
            </w:r>
          </w:p>
        </w:tc>
        <w:tc>
          <w:tcPr>
            <w:tcW w:w="7436" w:type="dxa"/>
            <w:gridSpan w:val="2"/>
          </w:tcPr>
          <w:p>
            <w:pPr>
              <w:spacing w:line="576" w:lineRule="exact"/>
              <w:rPr>
                <w:rFonts w:ascii="仿宋_GB2312" w:hAnsi="仿宋_GB2312" w:eastAsia="仿宋_GB2312" w:cs="仿宋_GB2312"/>
                <w:szCs w:val="32"/>
              </w:rPr>
            </w:pPr>
            <w:r>
              <w:rPr>
                <w:rFonts w:hint="eastAsia" w:ascii="仿宋_GB2312" w:hAnsi="仿宋_GB2312" w:eastAsia="仿宋_GB2312" w:cs="仿宋_GB2312"/>
                <w:szCs w:val="32"/>
              </w:rPr>
              <w:t>西安市阎良区六三〇中学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30</w:t>
            </w:r>
          </w:p>
        </w:tc>
        <w:tc>
          <w:tcPr>
            <w:tcW w:w="7436" w:type="dxa"/>
            <w:gridSpan w:val="2"/>
          </w:tcPr>
          <w:p>
            <w:pPr>
              <w:spacing w:line="576" w:lineRule="exact"/>
            </w:pPr>
            <w:r>
              <w:rPr>
                <w:rFonts w:hint="eastAsia" w:ascii="仿宋_GB2312" w:hAnsi="仿宋_GB2312" w:eastAsia="仿宋_GB2312" w:cs="仿宋_GB2312"/>
                <w:szCs w:val="32"/>
              </w:rPr>
              <w:t>西安市阎良区西飞第一中学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31</w:t>
            </w:r>
          </w:p>
        </w:tc>
        <w:tc>
          <w:tcPr>
            <w:tcW w:w="7436" w:type="dxa"/>
            <w:gridSpan w:val="2"/>
          </w:tcPr>
          <w:p>
            <w:pPr>
              <w:spacing w:line="576" w:lineRule="exact"/>
            </w:pPr>
            <w:r>
              <w:rPr>
                <w:rFonts w:hint="eastAsia" w:ascii="仿宋_GB2312" w:hAnsi="仿宋_GB2312" w:eastAsia="仿宋_GB2312" w:cs="仿宋_GB2312"/>
                <w:szCs w:val="32"/>
              </w:rPr>
              <w:t>西安市阎良区关山中学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32</w:t>
            </w:r>
          </w:p>
        </w:tc>
        <w:tc>
          <w:tcPr>
            <w:tcW w:w="7436" w:type="dxa"/>
            <w:gridSpan w:val="2"/>
          </w:tcPr>
          <w:p>
            <w:pPr>
              <w:spacing w:line="576" w:lineRule="exact"/>
            </w:pPr>
            <w:r>
              <w:rPr>
                <w:rFonts w:hint="eastAsia" w:ascii="仿宋_GB2312" w:hAnsi="仿宋_GB2312" w:eastAsia="仿宋_GB2312" w:cs="仿宋_GB2312"/>
                <w:szCs w:val="32"/>
              </w:rPr>
              <w:t>西安市阎良区武屯中学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33</w:t>
            </w:r>
          </w:p>
        </w:tc>
        <w:tc>
          <w:tcPr>
            <w:tcW w:w="7436" w:type="dxa"/>
            <w:gridSpan w:val="2"/>
          </w:tcPr>
          <w:p>
            <w:pPr>
              <w:spacing w:line="576" w:lineRule="exact"/>
            </w:pPr>
            <w:r>
              <w:rPr>
                <w:rFonts w:hint="eastAsia" w:ascii="仿宋_GB2312" w:hAnsi="仿宋_GB2312" w:eastAsia="仿宋_GB2312" w:cs="仿宋_GB2312"/>
                <w:szCs w:val="32"/>
              </w:rPr>
              <w:t>西安市阎良区职业中学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34</w:t>
            </w:r>
          </w:p>
        </w:tc>
        <w:tc>
          <w:tcPr>
            <w:tcW w:w="7436" w:type="dxa"/>
            <w:gridSpan w:val="2"/>
          </w:tcPr>
          <w:p>
            <w:pPr>
              <w:spacing w:line="576" w:lineRule="exact"/>
            </w:pPr>
            <w:r>
              <w:rPr>
                <w:rFonts w:hint="eastAsia" w:ascii="仿宋_GB2312" w:hAnsi="仿宋_GB2312" w:eastAsia="仿宋_GB2312" w:cs="仿宋_GB2312"/>
                <w:szCs w:val="32"/>
              </w:rPr>
              <w:t>西安市第六保育院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35</w:t>
            </w:r>
          </w:p>
        </w:tc>
        <w:tc>
          <w:tcPr>
            <w:tcW w:w="7436" w:type="dxa"/>
            <w:gridSpan w:val="2"/>
          </w:tcPr>
          <w:p>
            <w:pPr>
              <w:spacing w:line="576" w:lineRule="exact"/>
            </w:pPr>
            <w:r>
              <w:rPr>
                <w:rFonts w:hint="eastAsia" w:ascii="仿宋_GB2312" w:hAnsi="仿宋_GB2312" w:eastAsia="仿宋_GB2312" w:cs="仿宋_GB2312"/>
                <w:szCs w:val="32"/>
              </w:rPr>
              <w:t>西安市阎良区康桥幼儿园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36</w:t>
            </w:r>
          </w:p>
        </w:tc>
        <w:tc>
          <w:tcPr>
            <w:tcW w:w="7436" w:type="dxa"/>
            <w:gridSpan w:val="2"/>
          </w:tcPr>
          <w:p>
            <w:pPr>
              <w:spacing w:line="576" w:lineRule="exact"/>
            </w:pPr>
            <w:r>
              <w:rPr>
                <w:rFonts w:hint="eastAsia" w:ascii="仿宋_GB2312" w:hAnsi="仿宋_GB2312" w:eastAsia="仿宋_GB2312" w:cs="仿宋_GB2312"/>
                <w:szCs w:val="32"/>
              </w:rPr>
              <w:t>西安市阎良区关山中心幼儿园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37</w:t>
            </w:r>
          </w:p>
        </w:tc>
        <w:tc>
          <w:tcPr>
            <w:tcW w:w="7436" w:type="dxa"/>
            <w:gridSpan w:val="2"/>
          </w:tcPr>
          <w:p>
            <w:pPr>
              <w:spacing w:line="576" w:lineRule="exact"/>
            </w:pPr>
            <w:r>
              <w:rPr>
                <w:rFonts w:hint="eastAsia" w:ascii="仿宋_GB2312" w:hAnsi="仿宋_GB2312" w:eastAsia="仿宋_GB2312" w:cs="仿宋_GB2312"/>
                <w:szCs w:val="32"/>
              </w:rPr>
              <w:t>西安市阎良区振兴中心幼儿园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38</w:t>
            </w:r>
          </w:p>
        </w:tc>
        <w:tc>
          <w:tcPr>
            <w:tcW w:w="7436" w:type="dxa"/>
            <w:gridSpan w:val="2"/>
          </w:tcPr>
          <w:p>
            <w:pPr>
              <w:spacing w:line="576" w:lineRule="exact"/>
            </w:pPr>
            <w:r>
              <w:rPr>
                <w:rFonts w:hint="eastAsia" w:ascii="仿宋_GB2312" w:hAnsi="仿宋_GB2312" w:eastAsia="仿宋_GB2312" w:cs="仿宋_GB2312"/>
                <w:szCs w:val="32"/>
              </w:rPr>
              <w:t>西安市阎良区凤凰幼儿园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39</w:t>
            </w:r>
          </w:p>
        </w:tc>
        <w:tc>
          <w:tcPr>
            <w:tcW w:w="7436" w:type="dxa"/>
            <w:gridSpan w:val="2"/>
          </w:tcPr>
          <w:p>
            <w:pPr>
              <w:spacing w:line="576" w:lineRule="exact"/>
            </w:pPr>
            <w:r>
              <w:rPr>
                <w:rFonts w:hint="eastAsia" w:ascii="仿宋_GB2312" w:hAnsi="仿宋_GB2312" w:eastAsia="仿宋_GB2312" w:cs="仿宋_GB2312"/>
                <w:szCs w:val="32"/>
              </w:rPr>
              <w:t>西安市阎良区北屯幼儿园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40</w:t>
            </w:r>
          </w:p>
        </w:tc>
        <w:tc>
          <w:tcPr>
            <w:tcW w:w="7436" w:type="dxa"/>
            <w:gridSpan w:val="2"/>
          </w:tcPr>
          <w:p>
            <w:pPr>
              <w:spacing w:line="576" w:lineRule="exact"/>
              <w:rPr>
                <w:rFonts w:ascii="仿宋_GB2312" w:hAnsi="仿宋_GB2312" w:eastAsia="仿宋_GB2312" w:cs="仿宋_GB2312"/>
                <w:szCs w:val="32"/>
              </w:rPr>
            </w:pPr>
            <w:r>
              <w:rPr>
                <w:rFonts w:hint="eastAsia" w:ascii="仿宋_GB2312" w:hAnsi="仿宋_GB2312" w:eastAsia="仿宋_GB2312" w:cs="仿宋_GB2312"/>
                <w:szCs w:val="32"/>
              </w:rPr>
              <w:t>西安市阎良区武屯幼儿园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tcPr>
          <w:p>
            <w:pPr>
              <w:spacing w:line="576" w:lineRule="exact"/>
              <w:jc w:val="center"/>
              <w:rPr>
                <w:rFonts w:ascii="仿宋_GB2312" w:hAnsi="仿宋_GB2312" w:eastAsia="仿宋_GB2312" w:cs="仿宋_GB2312"/>
                <w:szCs w:val="32"/>
              </w:rPr>
            </w:pPr>
            <w:r>
              <w:rPr>
                <w:rFonts w:hint="eastAsia" w:ascii="仿宋_GB2312" w:hAnsi="仿宋_GB2312" w:eastAsia="仿宋_GB2312" w:cs="仿宋_GB2312"/>
                <w:szCs w:val="32"/>
              </w:rPr>
              <w:t>41</w:t>
            </w:r>
          </w:p>
        </w:tc>
        <w:tc>
          <w:tcPr>
            <w:tcW w:w="7436" w:type="dxa"/>
            <w:gridSpan w:val="2"/>
          </w:tcPr>
          <w:p>
            <w:pPr>
              <w:spacing w:line="576" w:lineRule="exact"/>
              <w:rPr>
                <w:rFonts w:ascii="仿宋_GB2312" w:hAnsi="仿宋_GB2312" w:eastAsia="仿宋_GB2312" w:cs="仿宋_GB2312"/>
                <w:szCs w:val="32"/>
              </w:rPr>
            </w:pPr>
            <w:r>
              <w:rPr>
                <w:rFonts w:hint="eastAsia" w:ascii="仿宋_GB2312" w:hAnsi="仿宋_GB2312" w:eastAsia="仿宋_GB2312" w:cs="仿宋_GB2312"/>
                <w:szCs w:val="32"/>
              </w:rPr>
              <w:t>西安市阎良区迎宾小学</w:t>
            </w:r>
          </w:p>
        </w:tc>
      </w:tr>
    </w:tbl>
    <w:p>
      <w:pPr>
        <w:spacing w:line="576" w:lineRule="exact"/>
        <w:ind w:firstLine="640"/>
        <w:rPr>
          <w:rFonts w:ascii="黑体" w:hAnsi="仿宋_GB2312" w:eastAsia="黑体" w:cs="仿宋_GB2312"/>
          <w:bCs/>
          <w:szCs w:val="32"/>
        </w:rPr>
      </w:pPr>
      <w:r>
        <w:rPr>
          <w:rFonts w:hint="eastAsia" w:ascii="黑体" w:hAnsi="仿宋_GB2312" w:eastAsia="黑体" w:cs="仿宋_GB2312"/>
          <w:bCs/>
          <w:szCs w:val="32"/>
        </w:rPr>
        <w:t>四、部门人员情况说明</w:t>
      </w:r>
    </w:p>
    <w:p>
      <w:pPr>
        <w:spacing w:line="576" w:lineRule="exact"/>
        <w:ind w:firstLine="64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color w:val="000000" w:themeColor="text1"/>
          <w:szCs w:val="32"/>
          <w14:textFill>
            <w14:solidFill>
              <w14:schemeClr w14:val="tx1"/>
            </w14:solidFill>
          </w14:textFill>
        </w:rPr>
        <w:t>截止2017年底，本部门人员编制2511人，其中行政编制9人、参公事业编制3人、事业编制2499人；实有人员2345人，其中行政6人、参公2人、事业2337人。离退休人员1333人。</w:t>
      </w:r>
    </w:p>
    <w:p>
      <w:pPr>
        <w:spacing w:line="576" w:lineRule="exact"/>
        <w:ind w:firstLine="640"/>
        <w:rPr>
          <w:rFonts w:ascii="黑体" w:hAnsi="仿宋_GB2312" w:eastAsia="黑体" w:cs="仿宋_GB2312"/>
          <w:bCs/>
          <w:szCs w:val="32"/>
        </w:rPr>
      </w:pPr>
      <w:r>
        <w:rPr>
          <w:rFonts w:hint="eastAsia" w:ascii="黑体" w:hAnsi="仿宋_GB2312" w:eastAsia="黑体" w:cs="仿宋_GB2312"/>
          <w:bCs/>
          <w:szCs w:val="32"/>
        </w:rPr>
        <w:t>五、部门国有资产占有使用及资产购置情况说明</w:t>
      </w:r>
    </w:p>
    <w:p>
      <w:pPr>
        <w:spacing w:line="576" w:lineRule="exact"/>
        <w:ind w:firstLine="64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color w:val="000000" w:themeColor="text1"/>
          <w:szCs w:val="32"/>
          <w14:textFill>
            <w14:solidFill>
              <w14:schemeClr w14:val="tx1"/>
            </w14:solidFill>
          </w14:textFill>
        </w:rPr>
        <w:t>截至2017年12月31日，本部门所属预算单位共有车辆1辆，单价20万元以上的设备25台（套）。2018年部门预算安排购置车辆0辆；安排购置单价20万元以上的设备0台（套）。</w:t>
      </w:r>
    </w:p>
    <w:p>
      <w:pPr>
        <w:spacing w:line="576" w:lineRule="exact"/>
        <w:ind w:firstLine="640"/>
        <w:rPr>
          <w:rFonts w:hint="eastAsia" w:ascii="仿宋_GB2312" w:hAnsi="仿宋_GB2312" w:eastAsia="仿宋_GB2312" w:cs="仿宋_GB2312"/>
          <w:color w:val="000000" w:themeColor="text1"/>
          <w:szCs w:val="32"/>
          <w14:textFill>
            <w14:solidFill>
              <w14:schemeClr w14:val="tx1"/>
            </w14:solidFill>
          </w14:textFill>
        </w:rPr>
      </w:pPr>
    </w:p>
    <w:p>
      <w:pPr>
        <w:spacing w:line="576" w:lineRule="exact"/>
        <w:ind w:firstLine="640"/>
        <w:rPr>
          <w:rFonts w:ascii="黑体" w:hAnsi="仿宋_GB2312" w:eastAsia="黑体" w:cs="仿宋_GB2312"/>
          <w:bCs/>
          <w:szCs w:val="32"/>
        </w:rPr>
      </w:pPr>
      <w:r>
        <w:rPr>
          <w:rFonts w:hint="eastAsia" w:ascii="黑体" w:hAnsi="仿宋_GB2312" w:eastAsia="黑体" w:cs="仿宋_GB2312"/>
          <w:bCs/>
          <w:szCs w:val="32"/>
          <w:lang w:val="en-US" w:eastAsia="zh-CN"/>
        </w:rPr>
        <w:t>六</w:t>
      </w:r>
      <w:r>
        <w:rPr>
          <w:rFonts w:hint="eastAsia" w:ascii="黑体" w:hAnsi="仿宋_GB2312" w:eastAsia="黑体" w:cs="仿宋_GB2312"/>
          <w:bCs/>
          <w:szCs w:val="32"/>
        </w:rPr>
        <w:t>、部门综合预算绩效目标说明</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本部门2018年无绩效目标表。</w:t>
      </w:r>
    </w:p>
    <w:p>
      <w:pPr>
        <w:spacing w:line="576" w:lineRule="exact"/>
        <w:ind w:firstLine="640"/>
        <w:rPr>
          <w:rFonts w:ascii="黑体" w:hAnsi="仿宋_GB2312" w:eastAsia="黑体" w:cs="仿宋_GB2312"/>
          <w:bCs/>
          <w:szCs w:val="32"/>
        </w:rPr>
      </w:pPr>
      <w:r>
        <w:rPr>
          <w:rFonts w:hint="eastAsia" w:ascii="黑体" w:hAnsi="仿宋_GB2312" w:eastAsia="黑体" w:cs="仿宋_GB2312"/>
          <w:bCs/>
          <w:szCs w:val="32"/>
          <w:lang w:val="en-US" w:eastAsia="zh-CN"/>
        </w:rPr>
        <w:t>七</w:t>
      </w:r>
      <w:r>
        <w:rPr>
          <w:rFonts w:hint="eastAsia" w:ascii="黑体" w:hAnsi="仿宋_GB2312" w:eastAsia="黑体" w:cs="仿宋_GB2312"/>
          <w:bCs/>
          <w:szCs w:val="32"/>
        </w:rPr>
        <w:t>、2018年部门综合预算收支说明</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（一）财政拨款收支情况</w:t>
      </w:r>
    </w:p>
    <w:p>
      <w:pPr>
        <w:spacing w:line="576" w:lineRule="exact"/>
        <w:ind w:firstLine="640" w:firstLineChars="200"/>
        <w:rPr>
          <w:rFonts w:ascii="仿宋_GB2312" w:eastAsia="仿宋_GB2312"/>
          <w:szCs w:val="32"/>
        </w:rPr>
      </w:pPr>
      <w:r>
        <w:rPr>
          <w:rFonts w:hint="eastAsia" w:ascii="仿宋_GB2312" w:eastAsia="仿宋_GB2312"/>
          <w:szCs w:val="32"/>
        </w:rPr>
        <w:t>1.2018年部门预算财政拨款收入共计23132.63万元，较去年减少576.33万元，降幅2.43%，其中公共预算收入21258.07万元，较去年增长205.51万元，增幅0.98%；专项收入1800万元，与去年持平；行政事业性收费收入74.56万元，较去年减少781.84万元，降幅91.3%。</w:t>
      </w:r>
    </w:p>
    <w:p>
      <w:pPr>
        <w:spacing w:line="576" w:lineRule="exact"/>
        <w:ind w:firstLine="640" w:firstLineChars="200"/>
        <w:rPr>
          <w:rFonts w:ascii="仿宋_GB2312" w:eastAsia="仿宋_GB2312"/>
          <w:szCs w:val="32"/>
        </w:rPr>
      </w:pPr>
      <w:r>
        <w:rPr>
          <w:rFonts w:hint="eastAsia" w:ascii="仿宋_GB2312" w:eastAsia="仿宋_GB2312"/>
          <w:szCs w:val="32"/>
        </w:rPr>
        <w:t>2.2018年部门预算财政拨款支出共计23132.63万元，较去年减少576.33万元，降幅2.43%，其中工资福利支出19897.32万元，较去年增长296.1万元，增幅1.51%；商品服务支出1168.01万元，较去年减少633.75万元，降幅35.17%；对个人和家庭的补助215.26万元，较去年增长72.32万元，增幅50.59%；其他资本性支出1585万元，较去年减少356.6万元，降幅18.37%；基本建设支出100万元，较去年增长50万元，增幅100%；其他支出167.04万元，较去年减少4.4万元，降幅2.57%。</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（二）一般公共预算拨款支出明细情况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1</w:t>
      </w:r>
      <w:r>
        <w:rPr>
          <w:rFonts w:hint="eastAsia" w:ascii="仿宋" w:hAnsi="仿宋" w:eastAsia="仿宋" w:cs="仿宋"/>
          <w:szCs w:val="32"/>
        </w:rPr>
        <w:t>.</w:t>
      </w:r>
      <w:r>
        <w:rPr>
          <w:rFonts w:hint="eastAsia" w:ascii="仿宋_GB2312" w:hAnsi="仿宋_GB2312" w:eastAsia="仿宋_GB2312" w:cs="仿宋_GB2312"/>
          <w:szCs w:val="32"/>
        </w:rPr>
        <w:t>一般公共预算当年拨款规模变化情况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2018年一般公共预算拨款支出</w:t>
      </w:r>
      <w:r>
        <w:rPr>
          <w:rFonts w:hint="eastAsia" w:ascii="仿宋_GB2312" w:eastAsia="仿宋_GB2312"/>
          <w:szCs w:val="32"/>
        </w:rPr>
        <w:t>23132.63万元，较去年减少576.33万元，主要是本部门纳入预算的行政事业性收费减少。</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w:t>
      </w:r>
      <w:r>
        <w:rPr>
          <w:rFonts w:hint="eastAsia" w:ascii="仿宋" w:hAnsi="仿宋" w:eastAsia="仿宋" w:cs="仿宋"/>
          <w:szCs w:val="32"/>
        </w:rPr>
        <w:t>.</w:t>
      </w:r>
      <w:r>
        <w:rPr>
          <w:rFonts w:hint="eastAsia" w:ascii="仿宋_GB2312" w:hAnsi="仿宋_GB2312" w:eastAsia="仿宋_GB2312" w:cs="仿宋_GB2312"/>
          <w:szCs w:val="32"/>
        </w:rPr>
        <w:t>支出按功能科目分类的明细情况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（1）行政运行212.99万元，较上年减少7.14万元，主要是人员减少，公用经费压缩。</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（2）一般行政管理事务支出160万元，较上年增加70万元，主要是其他教育管理事务支出项目调整至本科目中。</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（3）</w:t>
      </w:r>
      <w:r>
        <w:rPr>
          <w:rFonts w:hint="eastAsia" w:ascii="仿宋_GB2312" w:eastAsia="仿宋_GB2312"/>
          <w:color w:val="000000"/>
          <w:szCs w:val="32"/>
        </w:rPr>
        <w:t>其他教育管理事务支出584.84万元，较上年减少379.27万元，主要是部分科目细化分配到其他科目中。</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（4）学前教育支出1417.79万元，较上年减少79.39万元，主要是保教费收入未纳入预算。</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（5）小学教育支出7672.79万元，较上年减少87.07万元，主要是项目资金减少。</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（6）初中教育5746.8万元，较上年增长43.59万元，主要是项目资金增加。</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（7）高中教育3645.76万元，较上年减少1238.55万元，主要是武屯中学上年预算列入高中教育，本年列入职业教育。</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（8）其他普通教育支出191万元，较上年增长76万元，主要是本年增加弹性离校经费预算。</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（9）职业教育支出1700.66万元，较上年增长1025.5万元，主要是武屯中学上年预算列入高中教育，本年列入职业教育。</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（10）教育费附加安排的支出1800万元，与上年持平。</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3</w:t>
      </w:r>
      <w:r>
        <w:rPr>
          <w:rFonts w:hint="eastAsia" w:ascii="仿宋" w:hAnsi="仿宋" w:eastAsia="仿宋" w:cs="仿宋"/>
          <w:szCs w:val="32"/>
        </w:rPr>
        <w:t>.</w:t>
      </w:r>
      <w:r>
        <w:rPr>
          <w:rFonts w:hint="eastAsia" w:ascii="仿宋_GB2312" w:hAnsi="仿宋_GB2312" w:eastAsia="仿宋_GB2312" w:cs="仿宋_GB2312"/>
          <w:szCs w:val="32"/>
        </w:rPr>
        <w:t>支出按经济科目分类的明细情况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（1）人员经费支出19148.58万元（其中工资福利支出18959.32万元、对个人和家庭的补助189.26万元），较2017年人员经费支出增长171.08万元，主要是离休人员工资2018年纳入本部门。</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（2）公用经费支出814.05万元，较上年减少790.61万元，主要是纳入预算的行政事业性收费减少。</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（3）专项业务经费支出347万元，较上年增长127万元，主要是本年教育管办评分离经费预算167万元。</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（4）专项项目支出2823万元，较2017年减少83.3万元，主要是专项项目资金压缩。</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（三）政府性基金预算支出情况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本部门无政府性基金预算收支，并已公开空表。</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（四）国有资本经营预算拨款收支情况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本部门无国有资本经营预算拨款收支。</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（五）“三公”经费等预算情况</w:t>
      </w:r>
    </w:p>
    <w:p>
      <w:pPr>
        <w:spacing w:line="576" w:lineRule="exact"/>
        <w:ind w:firstLine="640" w:firstLineChars="200"/>
        <w:rPr>
          <w:rFonts w:ascii="仿宋_GB2312" w:eastAsia="仿宋_GB2312"/>
          <w:szCs w:val="32"/>
        </w:rPr>
      </w:pPr>
      <w:r>
        <w:rPr>
          <w:rFonts w:hint="eastAsia" w:ascii="仿宋_GB2312" w:eastAsia="仿宋_GB2312"/>
          <w:szCs w:val="32"/>
        </w:rPr>
        <w:t>2018年“三公”经费预算29.29万元，较上年减少6.15万元，降幅17.35%，主要是本年未安排因公出国（境）预算经费及局机关和个别学校降低公务接待费预算。</w:t>
      </w:r>
    </w:p>
    <w:p>
      <w:pPr>
        <w:spacing w:line="576" w:lineRule="exact"/>
        <w:ind w:firstLine="640" w:firstLineChars="200"/>
        <w:rPr>
          <w:rFonts w:ascii="仿宋_GB2312" w:eastAsia="仿宋_GB2312"/>
          <w:szCs w:val="32"/>
        </w:rPr>
      </w:pPr>
      <w:r>
        <w:rPr>
          <w:rFonts w:hint="eastAsia" w:ascii="仿宋_GB2312" w:eastAsia="仿宋_GB2312"/>
          <w:szCs w:val="32"/>
        </w:rPr>
        <w:t>2018年因公出国（境）预算0万元，较上年减少6万元，本年未安排人员因公出国（境）。</w:t>
      </w:r>
    </w:p>
    <w:p>
      <w:pPr>
        <w:spacing w:line="576" w:lineRule="exact"/>
        <w:ind w:firstLine="640" w:firstLineChars="200"/>
        <w:rPr>
          <w:rFonts w:ascii="仿宋_GB2312" w:eastAsia="仿宋_GB2312"/>
          <w:szCs w:val="32"/>
        </w:rPr>
      </w:pPr>
      <w:r>
        <w:rPr>
          <w:rFonts w:hint="eastAsia" w:ascii="仿宋_GB2312" w:eastAsia="仿宋_GB2312"/>
          <w:szCs w:val="32"/>
        </w:rPr>
        <w:t>2018年公务接待费预算26.29万元，较上年减少0.15万元，降幅0.57%，主要是局机关和个别学校降低公务接待费预算。</w:t>
      </w:r>
    </w:p>
    <w:p>
      <w:pPr>
        <w:spacing w:line="576" w:lineRule="exact"/>
        <w:ind w:firstLine="640" w:firstLineChars="200"/>
        <w:rPr>
          <w:rFonts w:ascii="仿宋_GB2312" w:eastAsia="仿宋_GB2312"/>
          <w:szCs w:val="32"/>
        </w:rPr>
      </w:pPr>
      <w:r>
        <w:rPr>
          <w:rFonts w:hint="eastAsia" w:ascii="仿宋_GB2312" w:eastAsia="仿宋_GB2312"/>
          <w:szCs w:val="32"/>
        </w:rPr>
        <w:t>2018年公务用车购置及运行维护费预算3万元，和上年一致，公务用车购置费未安排，现我系统仅关山中学有1辆公务用车，公务用车运行维护费预算3万元。</w:t>
      </w:r>
    </w:p>
    <w:p>
      <w:pPr>
        <w:spacing w:line="576" w:lineRule="exact"/>
        <w:ind w:firstLine="640" w:firstLineChars="200"/>
        <w:rPr>
          <w:rFonts w:ascii="仿宋_GB2312" w:eastAsia="仿宋_GB2312"/>
          <w:szCs w:val="32"/>
        </w:rPr>
      </w:pPr>
      <w:r>
        <w:rPr>
          <w:rFonts w:hint="eastAsia" w:ascii="仿宋_GB2312" w:eastAsia="仿宋_GB2312"/>
          <w:szCs w:val="32"/>
        </w:rPr>
        <w:t>2018年会议费预算56.18万元，较上年减少0.04万元，主要是公用经费压缩。</w:t>
      </w:r>
    </w:p>
    <w:p>
      <w:pPr>
        <w:spacing w:line="576" w:lineRule="exact"/>
        <w:ind w:firstLine="640" w:firstLineChars="200"/>
        <w:rPr>
          <w:rFonts w:ascii="仿宋_GB2312" w:eastAsia="仿宋_GB2312"/>
          <w:szCs w:val="32"/>
        </w:rPr>
      </w:pPr>
      <w:r>
        <w:rPr>
          <w:rFonts w:hint="eastAsia" w:ascii="仿宋_GB2312" w:eastAsia="仿宋_GB2312"/>
          <w:szCs w:val="32"/>
        </w:rPr>
        <w:t>2018年局机关培训费预算44万元，较上年减少1万元，主要是学校培训费预算降低。</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（六）机关运行经费安排情况</w:t>
      </w: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2018年局机关运行经费预算212.99万元，较上年减少7.14万元，主要是人员减少，公用经费压缩。</w:t>
      </w:r>
    </w:p>
    <w:p>
      <w:pPr>
        <w:spacing w:line="576" w:lineRule="exact"/>
        <w:ind w:firstLine="640"/>
        <w:rPr>
          <w:rFonts w:ascii="楷体_GB2312" w:hAnsi="仿宋_GB2312" w:eastAsia="楷体_GB2312" w:cs="仿宋_GB2312"/>
          <w:szCs w:val="32"/>
        </w:rPr>
      </w:pPr>
      <w:r>
        <w:rPr>
          <w:rFonts w:hint="eastAsia" w:ascii="楷体_GB2312" w:hAnsi="仿宋_GB2312" w:eastAsia="楷体_GB2312" w:cs="仿宋_GB2312"/>
          <w:szCs w:val="32"/>
        </w:rPr>
        <w:t>（七）政府采购情况</w:t>
      </w:r>
    </w:p>
    <w:p>
      <w:pPr>
        <w:spacing w:line="576"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2018年本部门政府采购预算共1600万元，其中政府采购货物类预算354万元、政府采购服务类预算0万元、政府采购工程类预算1246万元。</w:t>
      </w:r>
    </w:p>
    <w:p>
      <w:pPr>
        <w:spacing w:line="576" w:lineRule="exact"/>
        <w:ind w:firstLine="640"/>
        <w:rPr>
          <w:rFonts w:hint="eastAsia" w:ascii="黑体" w:hAnsi="仿宋_GB2312" w:eastAsia="黑体" w:cs="仿宋_GB2312"/>
          <w:bCs/>
          <w:szCs w:val="32"/>
          <w:lang w:val="en-US" w:eastAsia="zh-CN"/>
        </w:rPr>
      </w:pPr>
      <w:r>
        <w:rPr>
          <w:rFonts w:hint="eastAsia" w:ascii="黑体" w:hAnsi="仿宋_GB2312" w:eastAsia="黑体" w:cs="仿宋_GB2312"/>
          <w:bCs/>
          <w:szCs w:val="32"/>
          <w:lang w:val="en-US" w:eastAsia="zh-CN"/>
        </w:rPr>
        <w:t>八、专业名词解释</w:t>
      </w:r>
    </w:p>
    <w:p>
      <w:pPr>
        <w:spacing w:line="576"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1．基本支出：指为保障机构正常运转、完成日常工作任务而发生的各项支出。</w:t>
      </w:r>
    </w:p>
    <w:p>
      <w:pPr>
        <w:spacing w:line="576"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2．项目支出：指单位为完成特定的行政工作任务或事业发展目标所发生的各项支出。</w:t>
      </w:r>
    </w:p>
    <w:p>
      <w:pPr>
        <w:spacing w:line="576"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3．“三公”经费：指部门使用一般公共预算财政拨款安排的因公出国（境）费、公务用车购置及运行费和公务接待费支出。</w:t>
      </w:r>
    </w:p>
    <w:p>
      <w:pPr>
        <w:spacing w:line="576" w:lineRule="exact"/>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4．机关运行经费：指行政单位和参照公务员法管理的事业单位使用一般公共预算财政拨款安排的日常公用经费支出。</w:t>
      </w:r>
    </w:p>
    <w:p>
      <w:pPr>
        <w:spacing w:line="576" w:lineRule="exact"/>
        <w:ind w:firstLine="640"/>
        <w:rPr>
          <w:rFonts w:hint="eastAsia" w:ascii="仿宋_GB2312" w:hAnsi="仿宋_GB2312" w:eastAsia="仿宋_GB2312" w:cs="仿宋_GB2312"/>
          <w:szCs w:val="32"/>
          <w:lang w:val="en-US" w:eastAsia="zh-CN"/>
        </w:rPr>
      </w:pPr>
    </w:p>
    <w:p>
      <w:pPr>
        <w:spacing w:line="576" w:lineRule="exact"/>
        <w:ind w:firstLine="640"/>
        <w:rPr>
          <w:rFonts w:ascii="仿宋_GB2312" w:hAnsi="仿宋_GB2312" w:eastAsia="仿宋_GB2312" w:cs="仿宋_GB2312"/>
          <w:szCs w:val="32"/>
        </w:rPr>
      </w:pPr>
      <w:r>
        <w:rPr>
          <w:rFonts w:hint="eastAsia" w:ascii="仿宋_GB2312" w:hAnsi="仿宋_GB2312" w:eastAsia="仿宋_GB2312" w:cs="仿宋_GB2312"/>
          <w:szCs w:val="32"/>
        </w:rPr>
        <w:tab/>
      </w:r>
      <w:r>
        <w:rPr>
          <w:rFonts w:hint="eastAsia" w:ascii="仿宋_GB2312" w:hAnsi="仿宋_GB2312" w:eastAsia="仿宋_GB2312" w:cs="仿宋_GB2312"/>
          <w:szCs w:val="32"/>
        </w:rPr>
        <w:tab/>
      </w:r>
      <w:r>
        <w:rPr>
          <w:rFonts w:hint="eastAsia" w:ascii="仿宋_GB2312" w:hAnsi="仿宋_GB2312" w:eastAsia="仿宋_GB2312" w:cs="仿宋_GB2312"/>
          <w:szCs w:val="32"/>
        </w:rPr>
        <w:tab/>
      </w:r>
      <w:r>
        <w:rPr>
          <w:rFonts w:hint="eastAsia" w:ascii="仿宋_GB2312" w:hAnsi="仿宋_GB2312" w:eastAsia="仿宋_GB2312" w:cs="仿宋_GB2312"/>
          <w:szCs w:val="32"/>
        </w:rPr>
        <w:tab/>
      </w:r>
      <w:r>
        <w:rPr>
          <w:rFonts w:hint="eastAsia" w:ascii="仿宋_GB2312" w:hAnsi="仿宋_GB2312" w:eastAsia="仿宋_GB2312" w:cs="仿宋_GB2312"/>
          <w:szCs w:val="32"/>
        </w:rPr>
        <w:tab/>
      </w:r>
      <w:r>
        <w:rPr>
          <w:rFonts w:hint="eastAsia" w:ascii="仿宋_GB2312" w:hAnsi="仿宋_GB2312" w:eastAsia="仿宋_GB2312" w:cs="仿宋_GB2312"/>
          <w:szCs w:val="32"/>
        </w:rPr>
        <w:tab/>
      </w:r>
      <w:r>
        <w:rPr>
          <w:rFonts w:hint="eastAsia" w:ascii="仿宋_GB2312" w:hAnsi="仿宋_GB2312" w:eastAsia="仿宋_GB2312" w:cs="仿宋_GB2312"/>
          <w:szCs w:val="32"/>
        </w:rPr>
        <w:tab/>
      </w:r>
    </w:p>
    <w:p>
      <w:pPr>
        <w:spacing w:line="576" w:lineRule="exact"/>
        <w:ind w:firstLine="640"/>
        <w:rPr>
          <w:rFonts w:ascii="仿宋_GB2312" w:hAnsi="仿宋_GB2312" w:eastAsia="仿宋_GB2312" w:cs="仿宋_GB2312"/>
          <w:szCs w:val="32"/>
        </w:rPr>
      </w:pPr>
    </w:p>
    <w:p>
      <w:pPr>
        <w:spacing w:line="576" w:lineRule="exact"/>
        <w:ind w:firstLine="640"/>
        <w:rPr>
          <w:rFonts w:ascii="仿宋_GB2312" w:hAnsi="仿宋_GB2312" w:eastAsia="仿宋_GB2312" w:cs="仿宋_GB2312"/>
          <w:szCs w:val="32"/>
        </w:rPr>
      </w:pPr>
    </w:p>
    <w:p>
      <w:pPr>
        <w:spacing w:line="576" w:lineRule="exact"/>
        <w:ind w:firstLine="5440" w:firstLineChars="1700"/>
        <w:rPr>
          <w:rFonts w:ascii="仿宋_GB2312" w:hAnsi="仿宋_GB2312" w:eastAsia="仿宋_GB2312" w:cs="仿宋_GB2312"/>
          <w:szCs w:val="32"/>
        </w:rPr>
      </w:pPr>
      <w:r>
        <w:rPr>
          <w:rFonts w:hint="eastAsia" w:ascii="仿宋_GB2312" w:hAnsi="仿宋_GB2312" w:eastAsia="仿宋_GB2312" w:cs="仿宋_GB2312"/>
          <w:szCs w:val="32"/>
        </w:rPr>
        <w:t>西安市阎良区教育局</w:t>
      </w:r>
    </w:p>
    <w:p>
      <w:pPr>
        <w:spacing w:line="576" w:lineRule="exact"/>
        <w:ind w:firstLine="320" w:firstLineChars="100"/>
        <w:rPr>
          <w:rFonts w:ascii="仿宋_GB2312" w:eastAsia="仿宋_GB2312"/>
          <w:sz w:val="28"/>
          <w:szCs w:val="28"/>
        </w:rPr>
      </w:pPr>
      <w:r>
        <w:rPr>
          <w:rFonts w:hint="eastAsia" w:ascii="仿宋_GB2312" w:hAnsi="仿宋_GB2312" w:eastAsia="仿宋_GB2312" w:cs="仿宋_GB2312"/>
          <w:szCs w:val="32"/>
        </w:rPr>
        <w:t xml:space="preserve">                                  2018年2月2</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日</w:t>
      </w:r>
    </w:p>
    <w:p>
      <w:pPr>
        <w:spacing w:line="576" w:lineRule="exact"/>
        <w:ind w:right="275" w:rightChars="86"/>
        <w:rPr>
          <w:rFonts w:ascii="仿宋_GB2312" w:eastAsia="仿宋_GB2312"/>
          <w:color w:val="000000"/>
          <w:sz w:val="28"/>
          <w:szCs w:val="28"/>
        </w:rPr>
      </w:pPr>
    </w:p>
    <w:p/>
    <w:sectPr>
      <w:pgSz w:w="11906" w:h="16838"/>
      <w:pgMar w:top="1800" w:right="1440" w:bottom="1800" w:left="1440" w:header="851" w:footer="851"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C358A1"/>
    <w:multiLevelType w:val="singleLevel"/>
    <w:tmpl w:val="44C358A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44479F"/>
    <w:rsid w:val="00043EC3"/>
    <w:rsid w:val="000B282C"/>
    <w:rsid w:val="000C14FE"/>
    <w:rsid w:val="000E7B22"/>
    <w:rsid w:val="00130D33"/>
    <w:rsid w:val="00190643"/>
    <w:rsid w:val="0025319C"/>
    <w:rsid w:val="002B642B"/>
    <w:rsid w:val="002D2125"/>
    <w:rsid w:val="002F7CFE"/>
    <w:rsid w:val="00360F76"/>
    <w:rsid w:val="00365702"/>
    <w:rsid w:val="0036728E"/>
    <w:rsid w:val="003F2377"/>
    <w:rsid w:val="00417E12"/>
    <w:rsid w:val="0044479F"/>
    <w:rsid w:val="0045037F"/>
    <w:rsid w:val="004723BB"/>
    <w:rsid w:val="005241FC"/>
    <w:rsid w:val="006144BA"/>
    <w:rsid w:val="0061501A"/>
    <w:rsid w:val="006628D7"/>
    <w:rsid w:val="006C6603"/>
    <w:rsid w:val="006E532D"/>
    <w:rsid w:val="007B4CB9"/>
    <w:rsid w:val="007E16C7"/>
    <w:rsid w:val="00915872"/>
    <w:rsid w:val="00926155"/>
    <w:rsid w:val="00985B3F"/>
    <w:rsid w:val="009A342A"/>
    <w:rsid w:val="00AC4BCE"/>
    <w:rsid w:val="00B37493"/>
    <w:rsid w:val="00B413FC"/>
    <w:rsid w:val="00B67CD3"/>
    <w:rsid w:val="00B824C2"/>
    <w:rsid w:val="00BA067C"/>
    <w:rsid w:val="00BA3099"/>
    <w:rsid w:val="00BC71CF"/>
    <w:rsid w:val="00BE4AD1"/>
    <w:rsid w:val="00C0586D"/>
    <w:rsid w:val="00C117D1"/>
    <w:rsid w:val="00C42EBD"/>
    <w:rsid w:val="00C56472"/>
    <w:rsid w:val="00C613AB"/>
    <w:rsid w:val="00CD41F6"/>
    <w:rsid w:val="00CF4B80"/>
    <w:rsid w:val="00D34723"/>
    <w:rsid w:val="00D80286"/>
    <w:rsid w:val="00E15EED"/>
    <w:rsid w:val="00F94238"/>
    <w:rsid w:val="00FA3E0C"/>
    <w:rsid w:val="0AA20754"/>
    <w:rsid w:val="2520493F"/>
    <w:rsid w:val="3F327383"/>
    <w:rsid w:val="5A6D4334"/>
    <w:rsid w:val="6D202F3D"/>
    <w:rsid w:val="72063ECD"/>
    <w:rsid w:val="7472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仿宋_GB2312"/>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纯文本 Char"/>
    <w:basedOn w:val="8"/>
    <w:link w:val="2"/>
    <w:autoRedefine/>
    <w:qFormat/>
    <w:uiPriority w:val="0"/>
    <w:rPr>
      <w:rFonts w:ascii="宋体" w:hAnsi="Courier New" w:eastAsia="仿宋_GB2312" w:cs="Times New Roman"/>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1350</Words>
  <Characters>7696</Characters>
  <Lines>64</Lines>
  <Paragraphs>18</Paragraphs>
  <TotalTime>0</TotalTime>
  <ScaleCrop>false</ScaleCrop>
  <LinksUpToDate>false</LinksUpToDate>
  <CharactersWithSpaces>9028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2018-02-28T01:55:00Z</dcterms:created>
  <dc:creator>Windows</dc:creator>
  <cp:lastModifiedBy>zhouqin</cp:lastModifiedBy>
  <cp:lastPrinted>2018-03-02T02:01:00Z</cp:lastPrinted>
  <dcterms:modified xsi:type="dcterms:W3CDTF">2024-01-29T06:50:01Z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44906C97DA364DE68045D811B1A2E030_12</vt:lpwstr>
  </property>
</Properties>
</file>