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0" w:lineRule="exact"/>
        <w:jc w:val="center"/>
        <w:rPr>
          <w:rStyle w:val="7"/>
          <w:rFonts w:hint="eastAsia" w:ascii="方正小标宋简体" w:hAnsi="方正小标宋简体" w:eastAsia="方正小标宋简体" w:cs="方正小标宋简体"/>
          <w:b w:val="0"/>
          <w:bCs w:val="0"/>
          <w:color w:val="000000"/>
          <w:sz w:val="44"/>
          <w:szCs w:val="44"/>
          <w:lang w:eastAsia="zh-CN"/>
        </w:rPr>
      </w:pPr>
      <w:r>
        <w:rPr>
          <w:rStyle w:val="7"/>
          <w:rFonts w:hint="eastAsia" w:ascii="方正小标宋简体" w:hAnsi="方正小标宋简体" w:eastAsia="方正小标宋简体" w:cs="方正小标宋简体"/>
          <w:b w:val="0"/>
          <w:bCs w:val="0"/>
          <w:color w:val="000000"/>
          <w:sz w:val="44"/>
          <w:szCs w:val="44"/>
          <w:lang w:eastAsia="zh-CN"/>
        </w:rPr>
        <w:t>西安市阎良区民政局</w:t>
      </w:r>
    </w:p>
    <w:p>
      <w:pPr>
        <w:pStyle w:val="4"/>
        <w:shd w:val="clear" w:color="auto" w:fill="FFFFFF"/>
        <w:spacing w:before="0" w:beforeAutospacing="0" w:after="0" w:afterAutospacing="0" w:line="520" w:lineRule="exact"/>
        <w:jc w:val="center"/>
        <w:rPr>
          <w:rStyle w:val="7"/>
          <w:rFonts w:hint="eastAsia" w:ascii="方正小标宋简体" w:hAnsi="方正小标宋简体" w:eastAsia="方正小标宋简体" w:cs="方正小标宋简体"/>
          <w:b w:val="0"/>
          <w:bCs w:val="0"/>
          <w:color w:val="000000"/>
          <w:sz w:val="44"/>
          <w:szCs w:val="44"/>
        </w:rPr>
      </w:pPr>
      <w:r>
        <w:rPr>
          <w:rStyle w:val="7"/>
          <w:rFonts w:hint="eastAsia" w:ascii="方正小标宋简体" w:hAnsi="方正小标宋简体" w:eastAsia="方正小标宋简体" w:cs="方正小标宋简体"/>
          <w:b w:val="0"/>
          <w:bCs w:val="0"/>
          <w:color w:val="000000"/>
          <w:sz w:val="44"/>
          <w:szCs w:val="44"/>
        </w:rPr>
        <w:t>2017年度部门决算</w:t>
      </w:r>
      <w:r>
        <w:rPr>
          <w:rStyle w:val="7"/>
          <w:rFonts w:hint="eastAsia" w:ascii="方正小标宋简体" w:hAnsi="方正小标宋简体" w:eastAsia="方正小标宋简体" w:cs="方正小标宋简体"/>
          <w:b w:val="0"/>
          <w:bCs w:val="0"/>
          <w:color w:val="000000"/>
          <w:sz w:val="44"/>
          <w:szCs w:val="44"/>
          <w:lang w:eastAsia="zh-CN"/>
        </w:rPr>
        <w:t>说明</w:t>
      </w:r>
    </w:p>
    <w:p>
      <w:pPr>
        <w:pStyle w:val="4"/>
        <w:shd w:val="clear" w:color="auto" w:fill="FFFFFF"/>
        <w:spacing w:before="0" w:beforeAutospacing="0" w:after="0" w:afterAutospacing="0" w:line="520" w:lineRule="exact"/>
        <w:jc w:val="center"/>
        <w:rPr>
          <w:rStyle w:val="7"/>
          <w:rFonts w:hint="eastAsia" w:ascii="华文仿宋" w:hAnsi="华文仿宋" w:eastAsia="华文仿宋" w:cs="华文仿宋"/>
          <w:b w:val="0"/>
          <w:bCs w:val="0"/>
          <w:color w:val="000000"/>
          <w:sz w:val="44"/>
          <w:szCs w:val="44"/>
        </w:rPr>
      </w:pPr>
    </w:p>
    <w:p>
      <w:pPr>
        <w:pStyle w:val="4"/>
        <w:shd w:val="clear" w:color="auto" w:fill="FFFFFF"/>
        <w:wordWrap/>
        <w:adjustRightInd/>
        <w:snapToGrid/>
        <w:spacing w:before="0" w:beforeAutospacing="0" w:after="0" w:afterAutospacing="0" w:line="556" w:lineRule="exact"/>
        <w:ind w:right="0" w:firstLine="640" w:firstLineChars="200"/>
        <w:textAlignment w:val="auto"/>
        <w:outlineLvl w:val="9"/>
        <w:rPr>
          <w:rFonts w:hint="eastAsia"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一、</w:t>
      </w:r>
      <w:r>
        <w:rPr>
          <w:rFonts w:hint="eastAsia" w:ascii="黑体" w:hAnsi="黑体" w:eastAsia="黑体" w:cs="黑体"/>
          <w:b w:val="0"/>
          <w:bCs w:val="0"/>
          <w:color w:val="000000"/>
          <w:sz w:val="32"/>
          <w:szCs w:val="32"/>
          <w:lang w:eastAsia="zh-CN"/>
        </w:rPr>
        <w:t>西安市阎良区民政局</w:t>
      </w:r>
      <w:r>
        <w:rPr>
          <w:rFonts w:hint="eastAsia" w:ascii="黑体" w:hAnsi="黑体" w:eastAsia="黑体" w:cs="黑体"/>
          <w:b w:val="0"/>
          <w:bCs w:val="0"/>
          <w:color w:val="000000"/>
          <w:sz w:val="32"/>
          <w:szCs w:val="32"/>
        </w:rPr>
        <w:t>主要职责</w:t>
      </w:r>
    </w:p>
    <w:p>
      <w:pPr>
        <w:pStyle w:val="4"/>
        <w:shd w:val="clear" w:color="auto" w:fill="FFFFFF"/>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制定全区民政工作规章制度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拟定并组织实施全区民政事业发展规划</w:t>
      </w:r>
      <w:r>
        <w:rPr>
          <w:rFonts w:hint="eastAsia" w:ascii="仿宋_GB2312" w:hAnsi="仿宋_GB2312" w:eastAsia="仿宋_GB2312" w:cs="仿宋_GB2312"/>
          <w:sz w:val="32"/>
          <w:szCs w:val="32"/>
          <w:lang w:eastAsia="zh-CN"/>
        </w:rPr>
        <w:t>，负责全区</w:t>
      </w:r>
      <w:r>
        <w:rPr>
          <w:rFonts w:hint="eastAsia" w:ascii="仿宋_GB2312" w:hAnsi="仿宋_GB2312" w:eastAsia="仿宋_GB2312" w:cs="仿宋_GB2312"/>
          <w:sz w:val="32"/>
          <w:szCs w:val="32"/>
          <w:lang w:val="en-US" w:eastAsia="zh-CN"/>
        </w:rPr>
        <w:t>社会救助、救灾救济、</w:t>
      </w:r>
      <w:r>
        <w:rPr>
          <w:rFonts w:hint="eastAsia" w:ascii="仿宋_GB2312" w:hAnsi="仿宋_GB2312" w:eastAsia="仿宋_GB2312" w:cs="仿宋_GB2312"/>
          <w:sz w:val="32"/>
          <w:szCs w:val="32"/>
        </w:rPr>
        <w:t>社会福利、</w:t>
      </w:r>
      <w:r>
        <w:rPr>
          <w:rFonts w:hint="eastAsia" w:ascii="仿宋_GB2312" w:hAnsi="仿宋_GB2312" w:eastAsia="仿宋_GB2312" w:cs="仿宋_GB2312"/>
          <w:sz w:val="32"/>
          <w:szCs w:val="32"/>
          <w:lang w:eastAsia="zh-CN"/>
        </w:rPr>
        <w:t>基层政权和社区建设、老龄事业、行政区划和地名管理、</w:t>
      </w:r>
      <w:r>
        <w:rPr>
          <w:rFonts w:hint="eastAsia" w:ascii="仿宋_GB2312" w:hAnsi="仿宋_GB2312" w:eastAsia="仿宋_GB2312" w:cs="仿宋_GB2312"/>
          <w:sz w:val="32"/>
          <w:szCs w:val="32"/>
        </w:rPr>
        <w:t>优抚安置、拥军优属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婚姻登记</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、殡葬管理与改革</w:t>
      </w:r>
      <w:r>
        <w:rPr>
          <w:rFonts w:hint="eastAsia" w:ascii="仿宋_GB2312" w:hAnsi="仿宋_GB2312" w:eastAsia="仿宋_GB2312" w:cs="仿宋_GB2312"/>
          <w:sz w:val="32"/>
          <w:szCs w:val="32"/>
          <w:lang w:eastAsia="zh-CN"/>
        </w:rPr>
        <w:t>、社团民非管理、民族宗教管理、</w:t>
      </w:r>
      <w:r>
        <w:rPr>
          <w:rFonts w:hint="eastAsia" w:ascii="仿宋_GB2312" w:hAnsi="仿宋_GB2312" w:eastAsia="仿宋_GB2312" w:cs="仿宋_GB2312"/>
          <w:sz w:val="32"/>
          <w:szCs w:val="32"/>
        </w:rPr>
        <w:t>侨务</w:t>
      </w:r>
      <w:r>
        <w:rPr>
          <w:rFonts w:hint="eastAsia" w:ascii="仿宋_GB2312" w:hAnsi="仿宋_GB2312" w:eastAsia="仿宋_GB2312" w:cs="仿宋_GB2312"/>
          <w:sz w:val="32"/>
          <w:szCs w:val="32"/>
          <w:lang w:eastAsia="zh-CN"/>
        </w:rPr>
        <w:t>管理等方面</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内设综合科、业务科（婚姻登记处）、社会救助科和民族宗教科4个行政科室</w:t>
      </w:r>
      <w:r>
        <w:rPr>
          <w:rFonts w:hint="eastAsia" w:ascii="仿宋_GB2312" w:eastAsia="仿宋_GB2312"/>
          <w:color w:val="auto"/>
          <w:sz w:val="32"/>
          <w:szCs w:val="32"/>
          <w:lang w:eastAsia="zh-CN"/>
        </w:rPr>
        <w:t>，</w:t>
      </w:r>
      <w:r>
        <w:rPr>
          <w:rFonts w:hint="eastAsia" w:ascii="仿宋_GB2312" w:eastAsia="仿宋_GB2312"/>
          <w:color w:val="auto"/>
          <w:sz w:val="32"/>
          <w:szCs w:val="32"/>
        </w:rPr>
        <w:t>下设阎良区救助管理站、阎良区军队离退休干部管理所、阎良区殡葬管理所、阎良区中心敬老院、阎良区社区服务中心</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个全额事业单位。</w:t>
      </w:r>
    </w:p>
    <w:p>
      <w:pPr>
        <w:pStyle w:val="4"/>
        <w:shd w:val="clear" w:color="auto" w:fill="FFFFFF"/>
        <w:wordWrap/>
        <w:adjustRightInd/>
        <w:snapToGrid/>
        <w:spacing w:before="0" w:beforeAutospacing="0" w:after="0" w:afterAutospacing="0" w:line="556" w:lineRule="exact"/>
        <w:ind w:right="0" w:firstLine="640" w:firstLineChars="200"/>
        <w:textAlignment w:val="auto"/>
        <w:outlineLvl w:val="9"/>
        <w:rPr>
          <w:rStyle w:val="7"/>
          <w:rFonts w:hint="eastAsia"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lang w:eastAsia="zh-CN"/>
        </w:rPr>
        <w:t>二、</w:t>
      </w:r>
      <w:r>
        <w:rPr>
          <w:rFonts w:hint="eastAsia" w:ascii="黑体" w:hAnsi="黑体" w:eastAsia="黑体" w:cs="黑体"/>
          <w:b w:val="0"/>
          <w:bCs w:val="0"/>
          <w:color w:val="000000"/>
          <w:sz w:val="32"/>
          <w:szCs w:val="32"/>
          <w:lang w:eastAsia="zh-CN"/>
        </w:rPr>
        <w:t>西安市阎良区民政局</w:t>
      </w:r>
      <w:r>
        <w:rPr>
          <w:rStyle w:val="7"/>
          <w:rFonts w:hint="eastAsia" w:ascii="黑体" w:hAnsi="黑体" w:eastAsia="黑体" w:cs="黑体"/>
          <w:b w:val="0"/>
          <w:bCs w:val="0"/>
          <w:color w:val="000000"/>
          <w:sz w:val="32"/>
          <w:szCs w:val="32"/>
        </w:rPr>
        <w:t>决算单位构成</w:t>
      </w:r>
    </w:p>
    <w:p>
      <w:pPr>
        <w:wordWrap/>
        <w:adjustRightInd/>
        <w:snapToGrid/>
        <w:spacing w:before="0" w:beforeAutospacing="0" w:after="0" w:afterAutospacing="0" w:line="556" w:lineRule="exact"/>
        <w:ind w:right="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从决算单位构成看，本部门的部门决算包括部门本级（机关）决算和所属事业单位决算。</w:t>
      </w:r>
    </w:p>
    <w:p>
      <w:p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纳入本部门2017年部门决算编制范围的</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二级决算单位共有</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个，包括：</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shd w:val="clear" w:color="auto" w:fill="9BBB59"/>
            <w:vAlign w:val="top"/>
          </w:tcPr>
          <w:p>
            <w:pPr>
              <w:wordWrap/>
              <w:adjustRightInd/>
              <w:snapToGrid/>
              <w:spacing w:before="0" w:beforeAutospacing="0" w:after="0" w:afterAutospacing="0" w:line="556" w:lineRule="exact"/>
              <w:ind w:right="0"/>
              <w:jc w:val="center"/>
              <w:textAlignment w:val="auto"/>
              <w:outlineLvl w:val="9"/>
              <w:rPr>
                <w:rFonts w:hint="eastAsia" w:ascii="仿宋_GB2312" w:hAnsi="仿宋_GB2312" w:eastAsia="仿宋_GB2312" w:cs="仿宋_GB2312"/>
                <w:color w:val="FFFFFF"/>
                <w:sz w:val="32"/>
                <w:szCs w:val="32"/>
              </w:rPr>
            </w:pPr>
            <w:r>
              <w:rPr>
                <w:rFonts w:hint="eastAsia" w:ascii="仿宋_GB2312" w:hAnsi="仿宋_GB2312" w:eastAsia="仿宋_GB2312" w:cs="仿宋_GB2312"/>
                <w:color w:val="FFFFFF"/>
                <w:sz w:val="32"/>
                <w:szCs w:val="32"/>
              </w:rPr>
              <w:t>序号</w:t>
            </w:r>
          </w:p>
        </w:tc>
        <w:tc>
          <w:tcPr>
            <w:tcW w:w="6923" w:type="dxa"/>
            <w:tcBorders>
              <w:top w:val="single" w:color="auto" w:sz="4" w:space="0"/>
              <w:left w:val="single" w:color="auto" w:sz="4" w:space="0"/>
              <w:bottom w:val="single" w:color="auto" w:sz="4" w:space="0"/>
              <w:right w:val="single" w:color="auto" w:sz="4" w:space="0"/>
            </w:tcBorders>
            <w:shd w:val="clear" w:color="auto" w:fill="9BBB59"/>
            <w:vAlign w:val="top"/>
          </w:tcPr>
          <w:p>
            <w:pPr>
              <w:wordWrap/>
              <w:adjustRightInd/>
              <w:snapToGrid/>
              <w:spacing w:before="0" w:beforeAutospacing="0" w:after="0" w:afterAutospacing="0" w:line="556" w:lineRule="exact"/>
              <w:ind w:right="0"/>
              <w:jc w:val="center"/>
              <w:textAlignment w:val="auto"/>
              <w:outlineLvl w:val="9"/>
              <w:rPr>
                <w:rFonts w:hint="eastAsia" w:ascii="仿宋_GB2312" w:hAnsi="仿宋_GB2312" w:eastAsia="仿宋_GB2312" w:cs="仿宋_GB2312"/>
                <w:color w:val="FFFFFF"/>
                <w:sz w:val="32"/>
                <w:szCs w:val="32"/>
              </w:rPr>
            </w:pPr>
            <w:r>
              <w:rPr>
                <w:rFonts w:hint="eastAsia" w:ascii="仿宋_GB2312" w:hAnsi="仿宋_GB2312" w:eastAsia="仿宋_GB2312" w:cs="仿宋_GB2312"/>
                <w:color w:val="FFFFFF"/>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shd w:val="clear" w:color="auto" w:fill="D7E3BC"/>
            <w:vAlign w:val="top"/>
          </w:tcPr>
          <w:p>
            <w:pPr>
              <w:wordWrap/>
              <w:adjustRightInd/>
              <w:snapToGrid/>
              <w:spacing w:before="0" w:beforeAutospacing="0" w:after="0" w:afterAutospacing="0" w:line="556" w:lineRule="exact"/>
              <w:ind w:right="0"/>
              <w:jc w:val="center"/>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w:t>
            </w:r>
          </w:p>
        </w:tc>
        <w:tc>
          <w:tcPr>
            <w:tcW w:w="6923" w:type="dxa"/>
            <w:tcBorders>
              <w:top w:val="single" w:color="auto" w:sz="4" w:space="0"/>
              <w:left w:val="single" w:color="auto" w:sz="4" w:space="0"/>
              <w:bottom w:val="single" w:color="auto" w:sz="4" w:space="0"/>
              <w:right w:val="single" w:color="auto" w:sz="4" w:space="0"/>
            </w:tcBorders>
            <w:shd w:val="clear" w:color="auto" w:fill="D7E3BC"/>
            <w:vAlign w:val="top"/>
          </w:tcPr>
          <w:p>
            <w:pPr>
              <w:wordWrap/>
              <w:adjustRightInd/>
              <w:snapToGrid/>
              <w:spacing w:before="0" w:beforeAutospacing="0" w:after="0" w:afterAutospacing="0" w:line="556" w:lineRule="exact"/>
              <w:ind w:right="0"/>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西安市阎良区民政局</w:t>
            </w:r>
            <w:r>
              <w:rPr>
                <w:rFonts w:hint="eastAsia" w:ascii="仿宋_GB2312" w:hAnsi="仿宋_GB2312" w:eastAsia="仿宋_GB2312" w:cs="仿宋_GB2312"/>
                <w:color w:val="000000"/>
                <w:sz w:val="30"/>
                <w:szCs w:val="30"/>
              </w:rPr>
              <w:t>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shd w:val="clear" w:color="auto" w:fill="FFFFFF"/>
            <w:vAlign w:val="top"/>
          </w:tcPr>
          <w:p>
            <w:pPr>
              <w:wordWrap/>
              <w:adjustRightInd/>
              <w:snapToGrid/>
              <w:spacing w:before="0" w:beforeAutospacing="0" w:after="0" w:afterAutospacing="0" w:line="556" w:lineRule="exact"/>
              <w:ind w:right="0"/>
              <w:jc w:val="center"/>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w:t>
            </w:r>
          </w:p>
        </w:tc>
        <w:tc>
          <w:tcPr>
            <w:tcW w:w="6923" w:type="dxa"/>
            <w:tcBorders>
              <w:top w:val="single" w:color="auto" w:sz="4" w:space="0"/>
              <w:left w:val="single" w:color="auto" w:sz="4" w:space="0"/>
              <w:bottom w:val="single" w:color="auto" w:sz="4" w:space="0"/>
              <w:right w:val="single" w:color="auto" w:sz="4" w:space="0"/>
            </w:tcBorders>
            <w:shd w:val="clear" w:color="auto" w:fill="FFFFFF"/>
            <w:vAlign w:val="top"/>
          </w:tcPr>
          <w:p>
            <w:pPr>
              <w:wordWrap/>
              <w:adjustRightInd/>
              <w:snapToGrid/>
              <w:spacing w:before="0" w:beforeAutospacing="0" w:after="0" w:afterAutospacing="0" w:line="556" w:lineRule="exact"/>
              <w:ind w:right="0"/>
              <w:textAlignment w:val="auto"/>
              <w:outlineLvl w:val="9"/>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西安市阎良区救助管理站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shd w:val="clear" w:color="auto" w:fill="D7E3BC"/>
            <w:vAlign w:val="top"/>
          </w:tcPr>
          <w:p>
            <w:pPr>
              <w:wordWrap/>
              <w:adjustRightInd/>
              <w:snapToGrid/>
              <w:spacing w:before="0" w:beforeAutospacing="0" w:after="0" w:afterAutospacing="0" w:line="556" w:lineRule="exact"/>
              <w:ind w:right="0"/>
              <w:jc w:val="center"/>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w:t>
            </w:r>
          </w:p>
        </w:tc>
        <w:tc>
          <w:tcPr>
            <w:tcW w:w="6923" w:type="dxa"/>
            <w:tcBorders>
              <w:top w:val="single" w:color="auto" w:sz="4" w:space="0"/>
              <w:left w:val="single" w:color="auto" w:sz="4" w:space="0"/>
              <w:bottom w:val="single" w:color="auto" w:sz="4" w:space="0"/>
              <w:right w:val="single" w:color="auto" w:sz="4" w:space="0"/>
            </w:tcBorders>
            <w:shd w:val="clear" w:color="auto" w:fill="D7E3BC"/>
            <w:vAlign w:val="top"/>
          </w:tcPr>
          <w:p>
            <w:pPr>
              <w:wordWrap/>
              <w:adjustRightInd/>
              <w:snapToGrid/>
              <w:spacing w:before="0" w:beforeAutospacing="0" w:after="0" w:afterAutospacing="0" w:line="556" w:lineRule="exact"/>
              <w:ind w:right="0"/>
              <w:textAlignment w:val="auto"/>
              <w:outlineLvl w:val="9"/>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西安市阎良区军队离退休干部管理所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shd w:val="clear" w:color="auto" w:fill="FFFFFF"/>
            <w:vAlign w:val="top"/>
          </w:tcPr>
          <w:p>
            <w:pPr>
              <w:wordWrap/>
              <w:adjustRightInd/>
              <w:snapToGrid/>
              <w:spacing w:before="0" w:beforeAutospacing="0" w:after="0" w:afterAutospacing="0" w:line="556" w:lineRule="exact"/>
              <w:ind w:right="0"/>
              <w:jc w:val="center"/>
              <w:textAlignment w:val="auto"/>
              <w:outlineLvl w:val="9"/>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val="en-US" w:eastAsia="zh-CN"/>
              </w:rPr>
              <w:t>4</w:t>
            </w:r>
          </w:p>
        </w:tc>
        <w:tc>
          <w:tcPr>
            <w:tcW w:w="6923" w:type="dxa"/>
            <w:tcBorders>
              <w:top w:val="single" w:color="auto" w:sz="4" w:space="0"/>
              <w:left w:val="single" w:color="auto" w:sz="4" w:space="0"/>
              <w:bottom w:val="single" w:color="auto" w:sz="4" w:space="0"/>
              <w:right w:val="single" w:color="auto" w:sz="4" w:space="0"/>
            </w:tcBorders>
            <w:shd w:val="clear" w:color="auto" w:fill="FFFFFF"/>
            <w:vAlign w:val="top"/>
          </w:tcPr>
          <w:p>
            <w:pPr>
              <w:wordWrap/>
              <w:adjustRightInd/>
              <w:snapToGrid/>
              <w:spacing w:before="0" w:beforeAutospacing="0" w:after="0" w:afterAutospacing="0" w:line="556" w:lineRule="exact"/>
              <w:ind w:right="0"/>
              <w:textAlignment w:val="auto"/>
              <w:outlineLvl w:val="9"/>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lang w:eastAsia="zh-CN"/>
              </w:rPr>
              <w:t>西安市阎良区殡葬管理所</w:t>
            </w:r>
          </w:p>
        </w:tc>
      </w:tr>
    </w:tbl>
    <w:p>
      <w:pPr>
        <w:wordWrap/>
        <w:adjustRightInd/>
        <w:snapToGrid/>
        <w:spacing w:before="0" w:beforeAutospacing="0" w:after="0" w:afterAutospacing="0" w:line="556" w:lineRule="exact"/>
        <w:ind w:right="0" w:firstLine="640" w:firstLineChars="200"/>
        <w:textAlignment w:val="auto"/>
        <w:outlineLvl w:val="9"/>
        <w:rPr>
          <w:rFonts w:hint="eastAsia" w:ascii="黑体" w:hAnsi="黑体" w:eastAsia="黑体" w:cs="黑体"/>
          <w:b w:val="0"/>
          <w:bCs w:val="0"/>
          <w:sz w:val="32"/>
          <w:szCs w:val="32"/>
        </w:rPr>
      </w:pPr>
    </w:p>
    <w:p>
      <w:pPr>
        <w:wordWrap/>
        <w:adjustRightInd/>
        <w:snapToGrid/>
        <w:spacing w:before="0" w:beforeAutospacing="0" w:after="0" w:afterAutospacing="0" w:line="556" w:lineRule="exact"/>
        <w:ind w:right="0" w:firstLine="640" w:firstLineChars="200"/>
        <w:textAlignment w:val="auto"/>
        <w:outlineLvl w:val="9"/>
        <w:rPr>
          <w:rFonts w:hint="eastAsia" w:ascii="黑体" w:hAnsi="黑体" w:eastAsia="黑体" w:cs="黑体"/>
          <w:b w:val="0"/>
          <w:bCs w:val="0"/>
          <w:sz w:val="32"/>
          <w:szCs w:val="32"/>
        </w:rPr>
      </w:pPr>
    </w:p>
    <w:p>
      <w:pPr>
        <w:wordWrap/>
        <w:adjustRightInd/>
        <w:snapToGrid/>
        <w:spacing w:before="0" w:beforeAutospacing="0" w:after="0" w:afterAutospacing="0" w:line="556" w:lineRule="exact"/>
        <w:ind w:right="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三、</w:t>
      </w:r>
      <w:r>
        <w:rPr>
          <w:rFonts w:hint="eastAsia" w:ascii="黑体" w:hAnsi="黑体" w:eastAsia="黑体" w:cs="黑体"/>
          <w:b w:val="0"/>
          <w:bCs w:val="0"/>
          <w:sz w:val="32"/>
          <w:szCs w:val="32"/>
          <w:lang w:eastAsia="zh-CN"/>
        </w:rPr>
        <w:t>西安市阎良区民政局</w:t>
      </w:r>
      <w:r>
        <w:rPr>
          <w:rFonts w:hint="eastAsia" w:ascii="黑体" w:hAnsi="黑体" w:eastAsia="黑体" w:cs="黑体"/>
          <w:b w:val="0"/>
          <w:bCs w:val="0"/>
          <w:sz w:val="32"/>
          <w:szCs w:val="32"/>
        </w:rPr>
        <w:t>人员情况说明</w:t>
      </w:r>
    </w:p>
    <w:p>
      <w:p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截止2017年底，本部门人员编制</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人，其中行政编制</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人、事业编制</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人；实有人员</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人，其中行政</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人、事业</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人。单位管理的离退休人员</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人。</w:t>
      </w:r>
    </w:p>
    <w:p>
      <w:p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kern w:val="2"/>
          <w:sz w:val="32"/>
          <w:szCs w:val="32"/>
          <w:lang w:val="en-US" w:eastAsia="zh-CN" w:bidi="ar-SA"/>
        </w:rPr>
        <w:pict>
          <v:shape id="图片 10" o:spid="_x0000_s1026" o:spt="75" type="#_x0000_t75" style="position:absolute;left:0pt;margin-left:38.2pt;margin-top:25.1pt;height:241.85pt;width:309.75pt;mso-wrap-distance-bottom:0pt;mso-wrap-distance-top:0pt;z-index:251659264;mso-width-relative:page;mso-height-relative:page;" o:ole="t" fillcolor="#FFFFFF" filled="f" o:preferrelative="t" stroked="f" coordsize="21600,21600">
            <v:path/>
            <v:fill on="f" color2="#FFFFFF" focussize="0,0"/>
            <v:stroke on="f"/>
            <v:imagedata r:id="rId5" gain="65536f" blacklevel="0f" gamma="0" o:title=""/>
            <o:lock v:ext="edit" position="f" selection="f" grouping="f" rotation="f" cropping="f" text="f" aspectratio="t"/>
            <w10:wrap type="topAndBottom"/>
          </v:shape>
          <o:OLEObject Type="Embed" ProgID="Excel.Chart.8" ShapeID="图片 10" DrawAspect="Content" ObjectID="_1468075725" r:id="rId4">
            <o:LockedField>false</o:LockedField>
          </o:OLEObject>
        </w:pict>
      </w:r>
    </w:p>
    <w:p>
      <w:pPr>
        <w:wordWrap/>
        <w:adjustRightInd/>
        <w:snapToGrid/>
        <w:spacing w:before="0" w:beforeAutospacing="0" w:after="0" w:afterAutospacing="0" w:line="556" w:lineRule="exact"/>
        <w:ind w:right="0"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四、2017年度</w:t>
      </w:r>
      <w:r>
        <w:rPr>
          <w:rFonts w:hint="eastAsia" w:ascii="黑体" w:hAnsi="黑体" w:eastAsia="黑体" w:cs="黑体"/>
          <w:b w:val="0"/>
          <w:bCs w:val="0"/>
          <w:sz w:val="32"/>
          <w:szCs w:val="32"/>
          <w:lang w:eastAsia="zh-CN"/>
        </w:rPr>
        <w:t>西安市阎良区民政局</w:t>
      </w:r>
      <w:r>
        <w:rPr>
          <w:rFonts w:hint="eastAsia" w:ascii="黑体" w:hAnsi="黑体" w:eastAsia="黑体" w:cs="黑体"/>
          <w:b w:val="0"/>
          <w:bCs w:val="0"/>
          <w:sz w:val="32"/>
          <w:szCs w:val="32"/>
        </w:rPr>
        <w:t>工作完成情况</w:t>
      </w:r>
    </w:p>
    <w:p>
      <w:pPr>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rPr>
        <w:t>2017年，</w:t>
      </w:r>
      <w:r>
        <w:rPr>
          <w:rFonts w:hint="eastAsia" w:ascii="仿宋_GB2312" w:hAnsi="仿宋_GB2312" w:eastAsia="仿宋_GB2312" w:cs="仿宋_GB2312"/>
          <w:sz w:val="32"/>
          <w:szCs w:val="32"/>
          <w:lang w:eastAsia="zh-CN"/>
        </w:rPr>
        <w:t>本部门</w:t>
      </w:r>
      <w:r>
        <w:rPr>
          <w:rFonts w:hint="eastAsia" w:ascii="仿宋_GB2312" w:hAnsi="仿宋_GB2312" w:eastAsia="仿宋_GB2312" w:cs="仿宋_GB2312"/>
          <w:sz w:val="32"/>
          <w:szCs w:val="32"/>
        </w:rPr>
        <w:t>紧紧围绕区委、区政府中心工作，坚持“民生为本、深化改革”主线，立足“追赶超越”总体要求，知难而进,自加压力，主动作为，出重拳、抓重点、解难点、创亮点，落实社会救助新政策，拓宽社会保障新渠道，创建爱民为民新模式，构建智慧服务新平台，加速专项改革迈出新步伐，提升行政效能取得新成效，推动民政工作开创新局面。</w:t>
      </w:r>
      <w:r>
        <w:rPr>
          <w:rFonts w:hint="eastAsia" w:ascii="仿宋_GB2312" w:hAnsi="仿宋_GB2312" w:eastAsia="仿宋_GB2312" w:cs="仿宋_GB2312"/>
          <w:sz w:val="32"/>
          <w:szCs w:val="32"/>
          <w:lang w:eastAsia="zh-CN"/>
        </w:rPr>
        <w:t>本部门</w:t>
      </w:r>
      <w:r>
        <w:rPr>
          <w:rFonts w:hint="eastAsia" w:ascii="仿宋_GB2312" w:hAnsi="仿宋_GB2312" w:eastAsia="仿宋_GB2312" w:cs="仿宋_GB2312"/>
          <w:sz w:val="32"/>
          <w:szCs w:val="32"/>
          <w:lang w:val="en-US" w:eastAsia="zh-CN"/>
        </w:rPr>
        <w:t>2017</w:t>
      </w:r>
      <w:r>
        <w:rPr>
          <w:rFonts w:hint="eastAsia" w:ascii="仿宋_GB2312" w:hAnsi="仿宋_GB2312" w:eastAsia="仿宋_GB2312" w:cs="仿宋_GB2312"/>
          <w:sz w:val="32"/>
          <w:szCs w:val="32"/>
        </w:rPr>
        <w:t>年承担市考指标2项，区级考核指标25项。现将</w:t>
      </w:r>
      <w:r>
        <w:rPr>
          <w:rFonts w:hint="eastAsia" w:ascii="仿宋_GB2312" w:hAnsi="仿宋_GB2312" w:eastAsia="仿宋_GB2312" w:cs="仿宋_GB2312"/>
          <w:b w:val="0"/>
          <w:bCs w:val="0"/>
          <w:sz w:val="32"/>
          <w:szCs w:val="32"/>
        </w:rPr>
        <w:t>各项指标任务完成情况报告如下：</w:t>
      </w:r>
    </w:p>
    <w:p>
      <w:pPr>
        <w:wordWrap/>
        <w:adjustRightInd/>
        <w:spacing w:before="0" w:after="0" w:line="556" w:lineRule="exact"/>
        <w:ind w:left="640" w:right="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市考指标完成情况</w:t>
      </w:r>
    </w:p>
    <w:p>
      <w:pPr>
        <w:wordWrap/>
        <w:adjustRightInd/>
        <w:snapToGrid w:val="0"/>
        <w:spacing w:before="0" w:after="0" w:line="556" w:lineRule="exact"/>
        <w:ind w:right="0" w:firstLine="643"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积极破解民生养老难</w:t>
      </w:r>
    </w:p>
    <w:p>
      <w:pPr>
        <w:wordWrap/>
        <w:adjustRightInd/>
        <w:snapToGrid w:val="0"/>
        <w:spacing w:before="0" w:after="0" w:line="556" w:lineRule="exact"/>
        <w:ind w:right="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lang w:val="en-US" w:eastAsia="zh-CN"/>
        </w:rPr>
        <w:t xml:space="preserve">   </w:t>
      </w:r>
      <w:r>
        <w:rPr>
          <w:rFonts w:hint="eastAsia" w:ascii="仿宋_GB2312" w:hAnsi="仿宋_GB2312" w:eastAsia="仿宋_GB2312" w:cs="仿宋_GB2312"/>
          <w:b w:val="0"/>
          <w:bCs w:val="0"/>
          <w:lang w:eastAsia="zh-CN"/>
        </w:rPr>
        <w:t>（</w:t>
      </w:r>
      <w:r>
        <w:rPr>
          <w:rFonts w:hint="eastAsia" w:ascii="仿宋_GB2312" w:hAnsi="仿宋_GB2312" w:eastAsia="仿宋_GB2312" w:cs="仿宋_GB2312"/>
          <w:b w:val="0"/>
          <w:bCs w:val="0"/>
          <w:lang w:val="en-US" w:eastAsia="zh-CN"/>
        </w:rPr>
        <w:t>1</w:t>
      </w:r>
      <w:r>
        <w:rPr>
          <w:rFonts w:hint="eastAsia" w:ascii="仿宋_GB2312" w:hAnsi="仿宋_GB2312" w:eastAsia="仿宋_GB2312" w:cs="仿宋_GB2312"/>
          <w:b w:val="0"/>
          <w:bCs w:val="0"/>
          <w:lang w:eastAsia="zh-CN"/>
        </w:rPr>
        <w:t>）</w:t>
      </w:r>
      <w:r>
        <w:rPr>
          <w:rFonts w:hint="eastAsia" w:ascii="仿宋_GB2312" w:hAnsi="仿宋_GB2312" w:eastAsia="仿宋_GB2312" w:cs="仿宋_GB2312"/>
          <w:b w:val="0"/>
          <w:bCs w:val="0"/>
          <w:sz w:val="32"/>
          <w:szCs w:val="32"/>
        </w:rPr>
        <w:t>大胆探索居家养老新模式。鼓励引导社会力量参与居家养老，由先洁助老服务中心建成智能化养老平台，以智能手表和监控系统为载体，通过配备专业稳定的服务团队，为社区老人提供生活照料、家政服务、康复护理和精神慰藉等多种居家养老服务，积极探索“互联网+养老业”模式。</w:t>
      </w:r>
    </w:p>
    <w:p>
      <w:pPr>
        <w:wordWrap/>
        <w:adjustRightInd/>
        <w:snapToGrid w:val="0"/>
        <w:spacing w:before="0" w:after="0" w:line="556" w:lineRule="exact"/>
        <w:ind w:right="0" w:firstLine="627" w:firstLineChars="196"/>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加大幸福院建设力度。我区共承担1个居家养老服务站和12个农村幸福院的建设任务，目前已经全部建成。已建成的关山镇北马村农村幸福院以及水寨村农村幸福院老年餐桌根据自己的村情制定了适应本村老年人实际的用餐实施办法，有针对性的为村里的孤寡老人、空巢老人解决了吃饭问题。同时在老年协会的组织引导下大量的开展了各种为老服务工作及丰富多彩的文娱活动，使得老有所依、老有所乐。</w:t>
      </w:r>
    </w:p>
    <w:p>
      <w:pPr>
        <w:wordWrap/>
        <w:adjustRightInd/>
        <w:snapToGrid w:val="0"/>
        <w:spacing w:before="0" w:after="0" w:line="556" w:lineRule="exact"/>
        <w:ind w:right="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2017年新增养老床位251张，全面完成年度任务（市局下达我区2017年新增养老床位任务为240张）。</w:t>
      </w:r>
    </w:p>
    <w:p>
      <w:pPr>
        <w:wordWrap/>
        <w:adjustRightInd/>
        <w:spacing w:before="0" w:after="0" w:line="556" w:lineRule="exact"/>
        <w:ind w:right="0" w:firstLine="619" w:firstLineChars="200"/>
        <w:textAlignment w:val="auto"/>
        <w:outlineLvl w:val="9"/>
        <w:rPr>
          <w:rFonts w:hint="eastAsia" w:ascii="仿宋_GB2312" w:hAnsi="仿宋_GB2312" w:eastAsia="仿宋_GB2312" w:cs="仿宋_GB2312"/>
          <w:b/>
          <w:bCs/>
          <w:spacing w:val="-6"/>
          <w:sz w:val="32"/>
          <w:szCs w:val="32"/>
        </w:rPr>
      </w:pPr>
      <w:r>
        <w:rPr>
          <w:rFonts w:hint="eastAsia" w:ascii="仿宋_GB2312" w:hAnsi="仿宋_GB2312" w:eastAsia="仿宋_GB2312" w:cs="仿宋_GB2312"/>
          <w:b/>
          <w:bCs/>
          <w:spacing w:val="-6"/>
          <w:sz w:val="32"/>
          <w:szCs w:val="32"/>
          <w:lang w:val="en-US" w:eastAsia="zh-CN"/>
        </w:rPr>
        <w:t>2、</w:t>
      </w:r>
      <w:r>
        <w:rPr>
          <w:rFonts w:hint="eastAsia" w:ascii="仿宋_GB2312" w:hAnsi="仿宋_GB2312" w:eastAsia="仿宋_GB2312" w:cs="仿宋_GB2312"/>
          <w:b/>
          <w:bCs/>
          <w:spacing w:val="-6"/>
          <w:sz w:val="32"/>
          <w:szCs w:val="32"/>
        </w:rPr>
        <w:t>提升社会救助水平，确保困难群众低保准确率达到96%</w:t>
      </w:r>
    </w:p>
    <w:p>
      <w:pPr>
        <w:wordWrap/>
        <w:adjustRightInd/>
        <w:spacing w:before="0" w:after="0" w:line="556" w:lineRule="exact"/>
        <w:ind w:right="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今年5月，市民政局下发了“西安市社会救助工作实施目标责任绩效考评”文件（市民发〔2017〕144号），就落实96%的目标任务制定了百分制的5项考评标准。围绕相应的考评内容我局主要做了以下五方面工作：</w:t>
      </w:r>
    </w:p>
    <w:p>
      <w:pPr>
        <w:wordWrap/>
        <w:adjustRightInd/>
        <w:spacing w:before="0" w:after="0" w:line="556" w:lineRule="exact"/>
        <w:ind w:right="0"/>
        <w:jc w:val="left"/>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xml:space="preserve">   （1）</w:t>
      </w:r>
      <w:r>
        <w:rPr>
          <w:rFonts w:hint="eastAsia" w:ascii="仿宋_GB2312" w:hAnsi="仿宋_GB2312" w:eastAsia="仿宋_GB2312" w:cs="仿宋_GB2312"/>
          <w:b w:val="0"/>
          <w:bCs w:val="0"/>
          <w:sz w:val="32"/>
          <w:szCs w:val="32"/>
        </w:rPr>
        <w:t>低保标准是否不低于市政府最低限定保障标准。</w:t>
      </w:r>
      <w:r>
        <w:rPr>
          <w:rFonts w:hint="eastAsia" w:ascii="仿宋_GB2312" w:hAnsi="仿宋_GB2312" w:eastAsia="仿宋_GB2312" w:cs="仿宋_GB2312"/>
          <w:b w:val="0"/>
          <w:bCs w:val="0"/>
          <w:kern w:val="0"/>
          <w:sz w:val="32"/>
          <w:szCs w:val="32"/>
        </w:rPr>
        <w:t>按照市局提高低保标准的文件精神，我局城乡低保从2017年10月起执行新标准，并对低保户中的残疾、单亲、重病、非义务教育阶段学生、哺乳期妇女、儿童等八类对象及时提高了分类施保金，确保了低保户的切身利益。</w:t>
      </w:r>
    </w:p>
    <w:p>
      <w:pPr>
        <w:wordWrap/>
        <w:adjustRightInd/>
        <w:spacing w:before="0" w:after="0" w:line="556" w:lineRule="exact"/>
        <w:ind w:right="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本地区低保是否实现“应保尽保”。今年我们为使低保工作实现动态管理下的“应保尽保”，我们主要通过完善低保制度、扩大政策宣传、完善核算办法、强化部门联动、提高公示效能和加大复核力度等措施，</w:t>
      </w:r>
      <w:r>
        <w:rPr>
          <w:rFonts w:hint="eastAsia" w:ascii="仿宋_GB2312" w:hAnsi="仿宋_GB2312" w:eastAsia="仿宋_GB2312" w:cs="仿宋_GB2312"/>
          <w:b w:val="0"/>
          <w:bCs w:val="0"/>
          <w:kern w:val="0"/>
          <w:sz w:val="32"/>
          <w:szCs w:val="32"/>
        </w:rPr>
        <w:t>已经建立健全了入户调查、民主评议、定期公示、复审排查、资金社会化发放、动态监督管理下的“应保尽保、应退尽退”等规章制度，不断促进了低保工作步入规范化管理的轨道。</w:t>
      </w:r>
    </w:p>
    <w:p>
      <w:pPr>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pacing w:val="-4"/>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pacing w:val="-4"/>
          <w:sz w:val="32"/>
          <w:szCs w:val="32"/>
        </w:rPr>
        <w:t>区县建立社会救助家庭经济状况核对机构情况。目前，阎良区居民家庭经济状况核对中心已经成立，并有4名工作人员已经到位。</w:t>
      </w:r>
    </w:p>
    <w:p>
      <w:pPr>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区县建立社会救助家庭经济状况核对信息平台情况。目前，区政府常务会议已审议通过，同意将居民家庭经济状况核对信息系统纳入“智慧民政”板块，与社区信息平台整合使用，剩余所需硬件同“四社联动”社区公共服务综合信息平台项目捆绑按程序采购。</w:t>
      </w:r>
    </w:p>
    <w:p>
      <w:pPr>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全面建立社会救助“一门受理、协同办理”窗口。11月2日全市“一门受理”现场会在我区召开，目前已投入70万元在全区7个镇街全部建立了社会救助“一门受理、协同办理”窗口，并明确社会救助申请受理、分办、转办、结果跟踪流程。</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区考指标完成情况</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重点项目、惠民实事</w:t>
      </w:r>
    </w:p>
    <w:p>
      <w:pPr>
        <w:tabs>
          <w:tab w:val="left" w:pos="540"/>
          <w:tab w:val="left" w:pos="720"/>
        </w:tabs>
        <w:wordWrap/>
        <w:adjustRightInd/>
        <w:spacing w:before="0" w:after="0" w:line="556" w:lineRule="exact"/>
        <w:ind w:right="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lang w:val="en-US" w:eastAsia="zh-CN"/>
        </w:rPr>
        <w:t xml:space="preserve">    </w:t>
      </w:r>
      <w:r>
        <w:rPr>
          <w:rFonts w:hint="eastAsia" w:ascii="仿宋_GB2312" w:hAnsi="仿宋_GB2312" w:eastAsia="仿宋_GB2312" w:cs="仿宋_GB2312"/>
          <w:b w:val="0"/>
          <w:bCs w:val="0"/>
          <w:lang w:eastAsia="zh-CN"/>
        </w:rPr>
        <w:t>（</w:t>
      </w:r>
      <w:r>
        <w:rPr>
          <w:rFonts w:hint="eastAsia" w:ascii="仿宋_GB2312" w:hAnsi="仿宋_GB2312" w:eastAsia="仿宋_GB2312" w:cs="仿宋_GB2312"/>
          <w:b w:val="0"/>
          <w:bCs w:val="0"/>
          <w:lang w:val="en-US" w:eastAsia="zh-CN"/>
        </w:rPr>
        <w:t>1</w:t>
      </w:r>
      <w:r>
        <w:rPr>
          <w:rFonts w:hint="eastAsia" w:ascii="仿宋_GB2312" w:hAnsi="仿宋_GB2312" w:eastAsia="仿宋_GB2312" w:cs="仿宋_GB2312"/>
          <w:b w:val="0"/>
          <w:bCs w:val="0"/>
          <w:lang w:eastAsia="zh-CN"/>
        </w:rPr>
        <w:t>）</w:t>
      </w:r>
      <w:r>
        <w:rPr>
          <w:rFonts w:hint="eastAsia" w:ascii="仿宋_GB2312" w:hAnsi="仿宋_GB2312" w:eastAsia="仿宋_GB2312" w:cs="仿宋_GB2312"/>
          <w:b w:val="0"/>
          <w:bCs w:val="0"/>
          <w:sz w:val="32"/>
          <w:szCs w:val="32"/>
        </w:rPr>
        <w:t>阎良区殡仪服务中心项目。按期完成了立项、可研、规划、环评、社会风险评估、招投标、初步设计、项目入库等手续办理工作；完成争取中省资金的申报工作；完成了土地申报及征用土地赔付工作；完成了地表清理及开工前准备工作。</w:t>
      </w:r>
    </w:p>
    <w:p>
      <w:pPr>
        <w:numPr>
          <w:ilvl w:val="0"/>
          <w:numId w:val="1"/>
        </w:numPr>
        <w:wordWrap/>
        <w:adjustRightInd/>
        <w:spacing w:before="0" w:after="0" w:line="556" w:lineRule="exact"/>
        <w:ind w:right="0" w:firstLine="640" w:firstLineChars="200"/>
        <w:jc w:val="left"/>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城乡低保金</w:t>
      </w:r>
      <w:r>
        <w:rPr>
          <w:rFonts w:hint="eastAsia" w:ascii="仿宋_GB2312" w:hAnsi="仿宋_GB2312" w:eastAsia="仿宋_GB2312" w:cs="仿宋_GB2312"/>
          <w:b w:val="0"/>
          <w:bCs w:val="0"/>
          <w:sz w:val="32"/>
          <w:szCs w:val="32"/>
          <w:lang w:eastAsia="zh-CN"/>
        </w:rPr>
        <w:t>按时</w:t>
      </w:r>
      <w:r>
        <w:rPr>
          <w:rFonts w:hint="eastAsia" w:ascii="仿宋_GB2312" w:hAnsi="仿宋_GB2312" w:eastAsia="仿宋_GB2312" w:cs="仿宋_GB2312"/>
          <w:b w:val="0"/>
          <w:bCs w:val="0"/>
          <w:sz w:val="32"/>
          <w:szCs w:val="32"/>
        </w:rPr>
        <w:t>发放。截至2017年12月，</w:t>
      </w:r>
      <w:r>
        <w:rPr>
          <w:rFonts w:hint="eastAsia" w:ascii="仿宋_GB2312" w:hAnsi="仿宋_GB2312" w:eastAsia="仿宋_GB2312" w:cs="仿宋_GB2312"/>
          <w:b w:val="0"/>
          <w:bCs w:val="0"/>
          <w:sz w:val="32"/>
          <w:szCs w:val="32"/>
          <w:lang w:eastAsia="zh-CN"/>
        </w:rPr>
        <w:t>均按时</w:t>
      </w:r>
      <w:r>
        <w:rPr>
          <w:rFonts w:hint="eastAsia" w:ascii="仿宋_GB2312" w:hAnsi="仿宋_GB2312" w:eastAsia="仿宋_GB2312" w:cs="仿宋_GB2312"/>
          <w:b w:val="0"/>
          <w:bCs w:val="0"/>
          <w:sz w:val="32"/>
          <w:szCs w:val="32"/>
        </w:rPr>
        <w:t>发放低保金和各类补贴、分类施保金、取暖费</w:t>
      </w:r>
      <w:r>
        <w:rPr>
          <w:rFonts w:hint="eastAsia" w:ascii="仿宋_GB2312" w:hAnsi="仿宋_GB2312" w:eastAsia="仿宋_GB2312" w:cs="仿宋_GB2312"/>
          <w:b w:val="0"/>
          <w:bCs w:val="0"/>
          <w:sz w:val="32"/>
          <w:szCs w:val="32"/>
          <w:lang w:eastAsia="zh-CN"/>
        </w:rPr>
        <w:t>等。</w:t>
      </w:r>
    </w:p>
    <w:p>
      <w:pPr>
        <w:numPr>
          <w:ilvl w:val="0"/>
          <w:numId w:val="0"/>
        </w:numPr>
        <w:wordWrap/>
        <w:adjustRightInd/>
        <w:spacing w:before="0" w:after="0" w:line="556" w:lineRule="exact"/>
        <w:ind w:right="0"/>
        <w:jc w:val="left"/>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灾后重建。完成灾后重建户27户，修缮户10户，通过惠民一卡通发放灾后重建资金。</w:t>
      </w:r>
    </w:p>
    <w:p>
      <w:pPr>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贫困大学生教育资助。全年共向155名困难学生发放教育资助资金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全面完成资助任务。</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第十次村民委员会换届选举工作</w:t>
      </w:r>
    </w:p>
    <w:p>
      <w:pPr>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按照全省统一安排，第十次村民委员会换届选举工作将于2018年实施，今年我局主要做了换届选举前期的调研等准备工作。</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和谐社区建设示范单位创建工作</w:t>
      </w:r>
    </w:p>
    <w:p>
      <w:pPr>
        <w:wordWrap/>
        <w:adjustRightInd/>
        <w:spacing w:before="0" w:after="0" w:line="556" w:lineRule="exact"/>
        <w:ind w:right="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和谐社区建设示范单位创建工作，是社区建设的重要载体和抓手，已经成为我区社区建设的一项常态化工作。我区现有社区24个，分辖于新华路街道办事处12个、凤凰路街道办事处11个，振兴街道办事处1个。</w:t>
      </w:r>
      <w:r>
        <w:rPr>
          <w:rFonts w:hint="eastAsia" w:ascii="仿宋_GB2312" w:hAnsi="仿宋_GB2312" w:eastAsia="仿宋_GB2312" w:cs="仿宋_GB2312"/>
          <w:b w:val="0"/>
          <w:bCs w:val="0"/>
          <w:color w:val="000000"/>
          <w:spacing w:val="-4"/>
          <w:sz w:val="32"/>
          <w:szCs w:val="32"/>
        </w:rPr>
        <w:t>近年来，我局紧紧</w:t>
      </w:r>
      <w:r>
        <w:rPr>
          <w:rFonts w:hint="eastAsia" w:ascii="仿宋_GB2312" w:hAnsi="仿宋_GB2312" w:eastAsia="仿宋_GB2312" w:cs="仿宋_GB2312"/>
          <w:b w:val="0"/>
          <w:bCs w:val="0"/>
          <w:color w:val="000000"/>
          <w:sz w:val="32"/>
          <w:szCs w:val="32"/>
        </w:rPr>
        <w:t>围绕“和谐社区建设”这一中心</w:t>
      </w:r>
      <w:r>
        <w:rPr>
          <w:rFonts w:hint="eastAsia" w:ascii="仿宋_GB2312" w:hAnsi="仿宋_GB2312" w:eastAsia="仿宋_GB2312" w:cs="仿宋_GB2312"/>
          <w:b w:val="0"/>
          <w:bCs w:val="0"/>
          <w:color w:val="000000"/>
          <w:spacing w:val="-4"/>
          <w:sz w:val="32"/>
          <w:szCs w:val="32"/>
        </w:rPr>
        <w:t>，按照“普遍争创、重点建设、分批达标、逐步推进、培育亮点、示范带动”的工作思路，认真实施“五个三”工程，在成功创建省级和谐社区建设示范街道2个和国家、省、市和谐社区建设示范社区21个（国家级1个，省级16个，市级9个）基础上，2016年，被省政府命名为“全省和谐社区建设示范区”（陕政办函〔2016〕6号）。</w:t>
      </w:r>
      <w:r>
        <w:rPr>
          <w:rFonts w:hint="eastAsia" w:ascii="仿宋_GB2312" w:hAnsi="仿宋_GB2312" w:eastAsia="仿宋_GB2312" w:cs="仿宋_GB2312"/>
          <w:b w:val="0"/>
          <w:bCs w:val="0"/>
          <w:sz w:val="32"/>
          <w:szCs w:val="32"/>
        </w:rPr>
        <w:t>今年，省市和谐社区建设示范单位创建申报指标尚未下达，待下达后，将按照有关要求积极申报。为进一步提升我区社区建设水平，今年向省市申报省级标准化建设示范社区项目2个（新华路街道福美社区、凤凰路街道荆塬社区），省市下达该项目建设资金360万元，现已拿出了建设方案及设计施工图，</w:t>
      </w:r>
      <w:r>
        <w:rPr>
          <w:rFonts w:hint="eastAsia" w:ascii="仿宋_GB2312" w:hAnsi="仿宋_GB2312" w:eastAsia="仿宋_GB2312" w:cs="仿宋_GB2312"/>
          <w:b w:val="0"/>
          <w:bCs w:val="0"/>
          <w:sz w:val="32"/>
          <w:szCs w:val="32"/>
          <w:lang w:val="en-US" w:eastAsia="zh-CN"/>
        </w:rPr>
        <w:t>下拨</w:t>
      </w:r>
      <w:bookmarkStart w:id="0" w:name="_GoBack"/>
      <w:bookmarkEnd w:id="0"/>
      <w:r>
        <w:rPr>
          <w:rFonts w:hint="eastAsia" w:ascii="仿宋_GB2312" w:hAnsi="仿宋_GB2312" w:eastAsia="仿宋_GB2312" w:cs="仿宋_GB2312"/>
          <w:b w:val="0"/>
          <w:bCs w:val="0"/>
          <w:sz w:val="32"/>
          <w:szCs w:val="32"/>
        </w:rPr>
        <w:t xml:space="preserve">建设经费各30万元（属跨年度项目），力争把该项目在2018年建成满足居民迫切需求的优良示范工程。 </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社区服务信息网络平台项目建设</w:t>
      </w:r>
    </w:p>
    <w:p>
      <w:pPr>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根据省、市关于社区服务信息网络平台项目建设的安排部署，我局已完成平台建设涉及的有关街道办及其所辖社区的电脑、打印机等硬件设施的配备工作；并投资20万元完成区民政局视频会议室内部装修及设备配套；同时，根据2016年11 月2日区政府召开的该项目建设专项会议精神“明确由区电信局按照社区信息平台建设标准，实施社区信息平台建设项目”。目前，该项目已建成，总投资约240万元。</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“四社联动”创新社区治理和服务工作</w:t>
      </w:r>
    </w:p>
    <w:p>
      <w:pPr>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开展四社联动工作是国家民政部贯彻十八届三中全会精神，推进社会治理创新的重要抓手，也是新时期提升社区管理与服务工作的重要途径。2016年，我区被省民政厅确定为“四社联动”创新社区治理和服务工作实验区，为切实做好“四社联动”工作，结合我区实际，从总体要求、主要任务 、保障措施等三个方面，以区政府办名义制定、出台了《阎良区开展“四社联动”创新社区治理和服务工作实施方案》，为我区“四社联动”创新社区治理和服务工作的顺利开展提供了政策保障。</w:t>
      </w:r>
    </w:p>
    <w:p>
      <w:pPr>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年来，我局把履行牵头职责同凝聚整体合力、落实重点任务、解决实际问题结合起来，紧盯加强社区建设，培育发展社区社会组织，提升强化社区社会工作专业能力，完善社区志愿服务网络，建立起以社区为平台、社区社会组织为载体、社会工作专业人才为支撑、社区志愿者为依托的“四社联动”机制工作目标，稳健推进社区建设、社区社会组织建设、社区社会工作、社区志愿服务互惠融合、优势互补、协调发展的新格局逐步实现。工作成效主要体现在五个方面：一是区、街、居开展四社联动的工作空间全面建成；二是区级社区社会组织孵化基地全面建成并投入运行，入驻社会组织5家；三是全区24个社区工作人员211人（“两委”及专职），其中社会工作专业人才达110人，达到了“社会工作专业人员配备不少于社区工作人员总数50%”的要求；四是我区注册登记志愿者24977人，达到了“注册社区志愿者达到城区居民总数12%以上”的要求；五是《区社区服务网络信息平台》基本建成。</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指导5个试点村完成了2017年农村社区建设试点工作任务</w:t>
      </w:r>
    </w:p>
    <w:p>
      <w:pPr>
        <w:wordWrap/>
        <w:adjustRightInd/>
        <w:spacing w:before="0" w:after="0" w:line="556" w:lineRule="exact"/>
        <w:ind w:right="0"/>
        <w:textAlignment w:val="auto"/>
        <w:outlineLvl w:val="9"/>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lang w:val="en-US" w:eastAsia="zh-CN"/>
        </w:rPr>
        <w:t xml:space="preserve">    </w:t>
      </w:r>
      <w:r>
        <w:rPr>
          <w:rFonts w:hint="eastAsia" w:ascii="仿宋_GB2312" w:hAnsi="仿宋_GB2312" w:eastAsia="仿宋_GB2312" w:cs="仿宋_GB2312"/>
          <w:b w:val="0"/>
          <w:bCs w:val="0"/>
          <w:spacing w:val="-2"/>
          <w:sz w:val="32"/>
          <w:szCs w:val="32"/>
        </w:rPr>
        <w:t>指导关山镇苏赵村、付马村、南樊村，武屯镇东孙村、新兴街道办新牛村等5个2017年农村社区建设试点村开展了试点工作。经过验收，5个试点村在村级治理体制机制，公共服务能力、人居环境改善等方面得到了不同程度的提升，基本达到了管理有序、服务完善、文明祥和的试点工作要求。</w:t>
      </w:r>
    </w:p>
    <w:p>
      <w:pPr>
        <w:wordWrap/>
        <w:adjustRightInd/>
        <w:spacing w:before="0" w:after="0" w:line="556" w:lineRule="exact"/>
        <w:ind w:right="0" w:firstLine="64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完成了第二次全国地名普查普查阶段工作任务</w:t>
      </w:r>
    </w:p>
    <w:p>
      <w:pPr>
        <w:wordWrap/>
        <w:adjustRightInd/>
        <w:spacing w:before="0" w:after="0" w:line="556" w:lineRule="exact"/>
        <w:ind w:right="0" w:firstLine="64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共完成了11大类52个子类3155条词条的普查，并按国家普查办的反馈意见进行了整改，经省地名普查办验收后，作为全省第一批区县上报国家地名普查办。</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bCs/>
          <w:sz w:val="32"/>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rPr>
        <w:t>为特困失能老人购买服务和完成12个农村幸福院建设任务</w:t>
      </w:r>
    </w:p>
    <w:p>
      <w:pPr>
        <w:tabs>
          <w:tab w:val="left" w:pos="540"/>
        </w:tabs>
        <w:wordWrap/>
        <w:adjustRightInd/>
        <w:spacing w:before="0" w:after="0" w:line="556" w:lineRule="exact"/>
        <w:ind w:right="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全年</w:t>
      </w:r>
      <w:r>
        <w:rPr>
          <w:rFonts w:hint="eastAsia" w:ascii="仿宋_GB2312" w:hAnsi="仿宋_GB2312" w:eastAsia="仿宋_GB2312" w:cs="仿宋_GB2312"/>
          <w:b w:val="0"/>
          <w:bCs w:val="0"/>
          <w:sz w:val="32"/>
        </w:rPr>
        <w:t>为</w:t>
      </w:r>
      <w:r>
        <w:rPr>
          <w:rFonts w:hint="eastAsia" w:ascii="仿宋_GB2312" w:hAnsi="仿宋_GB2312" w:eastAsia="仿宋_GB2312" w:cs="仿宋_GB2312"/>
          <w:b w:val="0"/>
          <w:bCs w:val="0"/>
          <w:sz w:val="32"/>
          <w:szCs w:val="32"/>
        </w:rPr>
        <w:t xml:space="preserve">74个特困失能老人购买服务6691小时。全面完成12个农村幸福院建设任务。 </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bCs/>
          <w:sz w:val="32"/>
        </w:rPr>
      </w:pPr>
      <w:r>
        <w:rPr>
          <w:rFonts w:hint="eastAsia" w:ascii="仿宋_GB2312" w:hAnsi="仿宋_GB2312" w:eastAsia="仿宋_GB2312" w:cs="仿宋_GB2312"/>
          <w:b/>
          <w:bCs/>
          <w:sz w:val="32"/>
          <w:lang w:val="en-US" w:eastAsia="zh-CN"/>
        </w:rPr>
        <w:t>9、</w:t>
      </w:r>
      <w:r>
        <w:rPr>
          <w:rFonts w:hint="eastAsia" w:ascii="仿宋_GB2312" w:hAnsi="仿宋_GB2312" w:eastAsia="仿宋_GB2312" w:cs="仿宋_GB2312"/>
          <w:b/>
          <w:bCs/>
          <w:sz w:val="32"/>
        </w:rPr>
        <w:t>引进民资2</w:t>
      </w:r>
      <w:r>
        <w:rPr>
          <w:rFonts w:hint="eastAsia" w:ascii="仿宋_GB2312" w:hAnsi="仿宋_GB2312" w:eastAsia="仿宋_GB2312" w:cs="仿宋_GB2312"/>
          <w:b/>
          <w:bCs/>
          <w:sz w:val="32"/>
          <w:lang w:val="en-US" w:eastAsia="zh-CN"/>
        </w:rPr>
        <w:t>1</w:t>
      </w:r>
      <w:r>
        <w:rPr>
          <w:rFonts w:hint="eastAsia" w:ascii="仿宋_GB2312" w:hAnsi="仿宋_GB2312" w:eastAsia="仿宋_GB2312" w:cs="仿宋_GB2312"/>
          <w:b/>
          <w:bCs/>
          <w:sz w:val="32"/>
        </w:rPr>
        <w:t>00万元</w:t>
      </w:r>
    </w:p>
    <w:p>
      <w:pPr>
        <w:wordWrap/>
        <w:adjustRightInd/>
        <w:spacing w:before="0" w:after="0" w:line="556" w:lineRule="exact"/>
        <w:ind w:right="0" w:firstLine="616" w:firstLineChars="200"/>
        <w:textAlignment w:val="auto"/>
        <w:outlineLvl w:val="9"/>
        <w:rPr>
          <w:rFonts w:hint="eastAsia" w:ascii="仿宋_GB2312" w:hAnsi="仿宋_GB2312" w:eastAsia="仿宋_GB2312" w:cs="仿宋_GB2312"/>
          <w:b w:val="0"/>
          <w:bCs w:val="0"/>
          <w:spacing w:val="-6"/>
        </w:rPr>
      </w:pPr>
      <w:r>
        <w:rPr>
          <w:rFonts w:hint="eastAsia" w:ascii="仿宋_GB2312" w:hAnsi="仿宋_GB2312" w:eastAsia="仿宋_GB2312" w:cs="仿宋_GB2312"/>
          <w:b w:val="0"/>
          <w:bCs w:val="0"/>
          <w:spacing w:val="-6"/>
          <w:sz w:val="32"/>
          <w:szCs w:val="32"/>
        </w:rPr>
        <w:t>2017年共引进民资2100余万元，并有陕西林苑建筑有限公司、西安华荣建筑工程有限公司、西安伟达印务有限公司与我局签订了合作框架协议，合同总额达到一亿余元。下一步，我局将继续与上级对接，在弄清国家政策的同时，加大与这几家有意向的民营企业对接，提升养老服务政策宣传力度，借鉴、学习相关地区的先进经验和做法，吸引社会力量参与构建我区的养老服务体系。</w:t>
      </w:r>
    </w:p>
    <w:p>
      <w:pPr>
        <w:wordWrap/>
        <w:adjustRightInd/>
        <w:spacing w:before="0" w:after="0" w:line="556" w:lineRule="exact"/>
        <w:ind w:right="0" w:firstLine="640"/>
        <w:textAlignment w:val="auto"/>
        <w:outlineLvl w:val="9"/>
        <w:rPr>
          <w:rFonts w:hint="eastAsia" w:ascii="仿宋_GB2312" w:hAnsi="仿宋_GB2312" w:eastAsia="仿宋_GB2312" w:cs="仿宋_GB2312"/>
          <w:b/>
          <w:bCs/>
          <w:sz w:val="32"/>
        </w:rPr>
      </w:pPr>
      <w:r>
        <w:rPr>
          <w:rFonts w:hint="eastAsia" w:ascii="仿宋_GB2312" w:hAnsi="仿宋_GB2312" w:eastAsia="仿宋_GB2312" w:cs="仿宋_GB2312"/>
          <w:b/>
          <w:bCs/>
          <w:sz w:val="32"/>
          <w:lang w:val="en-US" w:eastAsia="zh-CN"/>
        </w:rPr>
        <w:t>10、</w:t>
      </w:r>
      <w:r>
        <w:rPr>
          <w:rFonts w:hint="eastAsia" w:ascii="仿宋_GB2312" w:hAnsi="仿宋_GB2312" w:eastAsia="仿宋_GB2312" w:cs="仿宋_GB2312"/>
          <w:b/>
          <w:bCs/>
          <w:sz w:val="32"/>
        </w:rPr>
        <w:t>完善社会救助机制，健全农村“三留守”关爱服务体系</w:t>
      </w:r>
    </w:p>
    <w:p>
      <w:pPr>
        <w:wordWrap/>
        <w:adjustRightInd/>
        <w:spacing w:before="0" w:after="0" w:line="556" w:lineRule="exact"/>
        <w:ind w:right="0" w:firstLine="64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是各镇街按照属地管理原则，对辖区所有农村“三留守”人员进行全面排查。同时，各镇街建立了三留守人员基本信息动态管理数据库。二是2017年以区政府办名义下发了《阎良区农村留守儿童“合力监护、相伴成长”关爱保护专项行动实施方案》，由区民政局牵头，公安、教育、卫计等其他相关部门共同配合，旨在通过一系列行之有效的措施，不断完善农村留守儿童救助保护机制。三是完成了全区397名农村留守儿童监护责任确认书的签订以及全国农村留守儿童和困境儿童信息管理系统的录入工作。四是举办“活力魔方·关爱农村留守儿童”、“关爱留守儿童--党员在行动”、“公益福彩关爱农村留守儿童和留守妇女”等一系列活动，充分调动社会各方力量关爱“三留守”人员。</w:t>
      </w:r>
    </w:p>
    <w:p>
      <w:pPr>
        <w:wordWrap/>
        <w:adjustRightInd/>
        <w:spacing w:before="0" w:after="0" w:line="556" w:lineRule="exact"/>
        <w:ind w:right="0" w:firstLine="585"/>
        <w:textAlignment w:val="auto"/>
        <w:outlineLvl w:val="9"/>
        <w:rPr>
          <w:rFonts w:hint="eastAsia" w:ascii="仿宋_GB2312" w:hAnsi="仿宋_GB2312" w:eastAsia="仿宋_GB2312" w:cs="仿宋_GB2312"/>
          <w:b/>
          <w:bCs/>
          <w:sz w:val="32"/>
        </w:rPr>
      </w:pPr>
      <w:r>
        <w:rPr>
          <w:rFonts w:hint="eastAsia" w:ascii="仿宋_GB2312" w:hAnsi="仿宋_GB2312" w:eastAsia="仿宋_GB2312" w:cs="仿宋_GB2312"/>
          <w:b/>
          <w:bCs/>
          <w:sz w:val="32"/>
          <w:lang w:val="en-US" w:eastAsia="zh-CN"/>
        </w:rPr>
        <w:t>11、</w:t>
      </w:r>
      <w:r>
        <w:rPr>
          <w:rFonts w:hint="eastAsia" w:ascii="仿宋_GB2312" w:hAnsi="仿宋_GB2312" w:eastAsia="仿宋_GB2312" w:cs="仿宋_GB2312"/>
          <w:b/>
          <w:bCs/>
          <w:sz w:val="32"/>
        </w:rPr>
        <w:t>配合性工作共</w:t>
      </w:r>
      <w:r>
        <w:rPr>
          <w:rFonts w:hint="eastAsia" w:ascii="仿宋_GB2312" w:hAnsi="仿宋_GB2312" w:eastAsia="仿宋_GB2312" w:cs="仿宋_GB2312"/>
          <w:b/>
          <w:bCs/>
          <w:sz w:val="32"/>
          <w:lang w:val="en-US" w:eastAsia="zh-CN"/>
        </w:rPr>
        <w:t>11</w:t>
      </w:r>
      <w:r>
        <w:rPr>
          <w:rFonts w:hint="eastAsia" w:ascii="仿宋_GB2312" w:hAnsi="仿宋_GB2312" w:eastAsia="仿宋_GB2312" w:cs="仿宋_GB2312"/>
          <w:b/>
          <w:bCs/>
          <w:sz w:val="32"/>
        </w:rPr>
        <w:t>项</w:t>
      </w:r>
    </w:p>
    <w:p>
      <w:pPr>
        <w:wordWrap/>
        <w:adjustRightInd/>
        <w:spacing w:before="0" w:after="0" w:line="556" w:lineRule="exact"/>
        <w:ind w:right="0" w:firstLine="585"/>
        <w:textAlignment w:val="auto"/>
        <w:outlineLvl w:val="9"/>
        <w:rPr>
          <w:rFonts w:hint="eastAsia" w:ascii="仿宋_GB2312" w:hAnsi="仿宋_GB2312" w:eastAsia="仿宋_GB2312" w:cs="仿宋_GB2312"/>
          <w:b w:val="0"/>
          <w:bCs w:val="0"/>
          <w:sz w:val="32"/>
        </w:rPr>
      </w:pPr>
      <w:r>
        <w:rPr>
          <w:rFonts w:hint="eastAsia" w:ascii="仿宋_GB2312" w:hAnsi="仿宋_GB2312" w:eastAsia="仿宋_GB2312" w:cs="仿宋_GB2312"/>
          <w:b w:val="0"/>
          <w:bCs w:val="0"/>
          <w:sz w:val="32"/>
        </w:rPr>
        <w:t>按照任务分工，我局精心安排，认真做好有关工作的组织实施。截至目前，各项任务全面完成。</w:t>
      </w:r>
    </w:p>
    <w:p>
      <w:pPr>
        <w:wordWrap/>
        <w:adjustRightInd/>
        <w:spacing w:before="0" w:after="0" w:line="556" w:lineRule="exact"/>
        <w:ind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党建及班子建设</w:t>
      </w:r>
    </w:p>
    <w:p>
      <w:pPr>
        <w:wordWrap/>
        <w:adjustRightInd/>
        <w:spacing w:before="0" w:after="0" w:line="556" w:lineRule="exact"/>
        <w:ind w:right="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lang w:val="en-US" w:eastAsia="zh-CN"/>
        </w:rPr>
        <w:t xml:space="preserve">    1、</w:t>
      </w:r>
      <w:r>
        <w:rPr>
          <w:rFonts w:hint="eastAsia" w:ascii="仿宋_GB2312" w:hAnsi="仿宋_GB2312" w:eastAsia="仿宋_GB2312" w:cs="仿宋_GB2312"/>
          <w:b/>
          <w:bCs/>
          <w:sz w:val="32"/>
          <w:szCs w:val="32"/>
        </w:rPr>
        <w:t>强化凝聚作用，铸造坚强班子。</w:t>
      </w:r>
      <w:r>
        <w:rPr>
          <w:rFonts w:hint="eastAsia" w:ascii="仿宋_GB2312" w:hAnsi="仿宋_GB2312" w:eastAsia="仿宋_GB2312" w:cs="仿宋_GB2312"/>
          <w:b w:val="0"/>
          <w:bCs w:val="0"/>
          <w:kern w:val="0"/>
          <w:sz w:val="32"/>
        </w:rPr>
        <w:t>一是加强政治理论学习，确保政治立场坚定。切实推进“两学一做”学习教育常态化、制度化，组织集中学习、专题研讨活动8次，班子成员带头学习必读篇目，带头参加研讨，带头撰写心得体会，带头开展工作调研，特别是深学细研了十九大精神和习近平总书记系列重要讲话精神。高质量召开了“两学一做”学习教育、脱贫攻坚、肃清魏民洲等流毒、“奥凯问题电缆事件”等4次专题民主生活会。通过加强学习交流，民政局党委班子从精神上补了“钙”、行动上提了“神”。二是落实“一岗双责”，加强廉政建设。</w:t>
      </w:r>
      <w:r>
        <w:rPr>
          <w:rFonts w:hint="eastAsia" w:ascii="仿宋_GB2312" w:hAnsi="仿宋_GB2312" w:eastAsia="仿宋_GB2312" w:cs="仿宋_GB2312"/>
          <w:b w:val="0"/>
          <w:bCs w:val="0"/>
          <w:sz w:val="32"/>
          <w:szCs w:val="32"/>
        </w:rPr>
        <w:t>局党委班子始终牢记“职务即是责任”，严格落实“一岗双责”，不断强化党委核心建设，切实抓好政治履职。领导班子成员带头学习并严格落实领导干部廉洁自律各项规定，</w:t>
      </w:r>
      <w:r>
        <w:rPr>
          <w:rFonts w:hint="eastAsia" w:ascii="仿宋_GB2312" w:hAnsi="仿宋_GB2312" w:eastAsia="仿宋_GB2312" w:cs="仿宋_GB2312"/>
          <w:b w:val="0"/>
          <w:bCs w:val="0"/>
          <w:color w:val="000000"/>
          <w:sz w:val="32"/>
          <w:szCs w:val="32"/>
          <w:shd w:val="clear" w:color="auto" w:fill="FFFFFF"/>
        </w:rPr>
        <w:t>加大对重点领域、关键岗位和重要环节的风险防控，不断完善工作流程，确保各个环节公正透明，实现权力在阳光下运行。三是领导率先垂范，筑牢廉政防线。规范局党委班子成员廉政建设岗位责任制，明确、细化班子成员廉政建设具体责任。班子成员以身作则，把“严”、“实”、“硬”贯穿到廉政作风建设全过程，在城乡低保、社会救助等方面建立廉政风险预警机制，</w:t>
      </w:r>
      <w:r>
        <w:rPr>
          <w:rFonts w:hint="eastAsia" w:ascii="仿宋_GB2312" w:hAnsi="仿宋_GB2312" w:eastAsia="仿宋_GB2312" w:cs="仿宋_GB2312"/>
          <w:b w:val="0"/>
          <w:bCs w:val="0"/>
          <w:sz w:val="32"/>
          <w:szCs w:val="32"/>
        </w:rPr>
        <w:t>不断强化干部职工廉洁自律意识，筑牢反腐倡廉防线，全年未发生1例违规违纪现象。</w:t>
      </w:r>
    </w:p>
    <w:p>
      <w:pPr>
        <w:pBdr>
          <w:bottom w:val="single" w:color="FFFFFF" w:sz="4" w:space="29"/>
        </w:pBdr>
        <w:wordWrap/>
        <w:adjustRightInd/>
        <w:spacing w:before="0" w:after="0" w:line="556" w:lineRule="exact"/>
        <w:ind w:right="0" w:firstLine="803" w:firstLineChars="250"/>
        <w:textAlignment w:val="auto"/>
        <w:outlineLvl w:val="9"/>
        <w:rPr>
          <w:rFonts w:hint="eastAsia" w:ascii="仿宋_GB2312" w:hAnsi="仿宋_GB2312" w:eastAsia="仿宋_GB2312" w:cs="仿宋_GB2312"/>
          <w:b w:val="0"/>
          <w:bCs w:val="0"/>
          <w:kern w:val="0"/>
          <w:sz w:val="32"/>
        </w:rPr>
      </w:pPr>
      <w:r>
        <w:rPr>
          <w:rFonts w:hint="eastAsia" w:ascii="仿宋_GB2312" w:hAnsi="仿宋_GB2312" w:eastAsia="仿宋_GB2312" w:cs="仿宋_GB2312"/>
          <w:b/>
          <w:bCs/>
          <w:lang w:val="en-US" w:eastAsia="zh-CN"/>
        </w:rPr>
        <w:t>2、</w:t>
      </w:r>
      <w:r>
        <w:rPr>
          <w:rFonts w:hint="eastAsia" w:ascii="仿宋_GB2312" w:hAnsi="仿宋_GB2312" w:eastAsia="仿宋_GB2312" w:cs="仿宋_GB2312"/>
          <w:b/>
          <w:bCs/>
          <w:sz w:val="32"/>
          <w:szCs w:val="32"/>
        </w:rPr>
        <w:t>强化教育管理，打造过硬队伍。</w:t>
      </w:r>
      <w:r>
        <w:rPr>
          <w:rFonts w:hint="eastAsia" w:ascii="仿宋_GB2312" w:hAnsi="仿宋_GB2312" w:eastAsia="仿宋_GB2312" w:cs="仿宋_GB2312"/>
          <w:b w:val="0"/>
          <w:bCs w:val="0"/>
          <w:sz w:val="32"/>
          <w:szCs w:val="32"/>
        </w:rPr>
        <w:t>一是发挥支部堡垒作用。</w:t>
      </w:r>
      <w:r>
        <w:rPr>
          <w:rFonts w:hint="eastAsia" w:ascii="仿宋_GB2312" w:hAnsi="仿宋_GB2312" w:eastAsia="仿宋_GB2312" w:cs="仿宋_GB2312"/>
          <w:b w:val="0"/>
          <w:bCs w:val="0"/>
          <w:kern w:val="0"/>
          <w:sz w:val="32"/>
        </w:rPr>
        <w:t>党员领导干部到所联系支部参加组织生活，加强对支部党建工作的督导。</w:t>
      </w:r>
      <w:r>
        <w:rPr>
          <w:rFonts w:hint="eastAsia" w:ascii="仿宋_GB2312" w:hAnsi="仿宋_GB2312" w:eastAsia="仿宋_GB2312" w:cs="仿宋_GB2312"/>
          <w:b w:val="0"/>
          <w:bCs w:val="0"/>
          <w:spacing w:val="-8"/>
          <w:sz w:val="32"/>
          <w:szCs w:val="32"/>
        </w:rPr>
        <w:t>党委班子成员带头落实“三会一课”</w:t>
      </w:r>
      <w:r>
        <w:rPr>
          <w:rFonts w:hint="eastAsia" w:ascii="仿宋_GB2312" w:hAnsi="仿宋_GB2312" w:eastAsia="仿宋_GB2312" w:cs="仿宋_GB2312"/>
          <w:b w:val="0"/>
          <w:bCs w:val="0"/>
          <w:spacing w:val="-8"/>
          <w:sz w:val="32"/>
          <w:szCs w:val="32"/>
          <w:lang w:eastAsia="zh-CN"/>
        </w:rPr>
        <w:t>制度，</w:t>
      </w:r>
      <w:r>
        <w:rPr>
          <w:rFonts w:hint="eastAsia" w:ascii="仿宋_GB2312" w:hAnsi="仿宋_GB2312" w:eastAsia="仿宋_GB2312" w:cs="仿宋_GB2312"/>
          <w:b w:val="0"/>
          <w:bCs w:val="0"/>
          <w:spacing w:val="-8"/>
          <w:sz w:val="32"/>
          <w:szCs w:val="32"/>
        </w:rPr>
        <w:t>开展形式多样的“党员活动日”活动，坚持高质量开好民主生活会。局党委每年至少举办一次全局党务干部培训班，针对“三会一课”制度、党员发展程序等基础内容进行集中培训。经过培训提高和督导促进，各党支部落实“三会一课”、党员发展教育管理等制度的执行力度明显加大。二是强化党员教育管理。</w:t>
      </w:r>
      <w:r>
        <w:rPr>
          <w:rFonts w:hint="eastAsia" w:ascii="仿宋_GB2312" w:hAnsi="仿宋_GB2312" w:eastAsia="仿宋_GB2312" w:cs="仿宋_GB2312"/>
          <w:b w:val="0"/>
          <w:bCs w:val="0"/>
          <w:sz w:val="32"/>
          <w:szCs w:val="32"/>
        </w:rPr>
        <w:t>局党委开展了“争创为民先锋岗”活动，以改革创新精神加强基层党员素质建设，围绕“政治素质，党风廉政，作风效能，业务提升，工作实绩，学习先进查短板、全面谋划促提升”的标准，评选优秀党员、优秀窗口，发挥先进的激励作用和评价标准的导向作用，提升基层党员整体素质。三是打造阎良民政铁军。主动适应时代进步和“聚焦369、建设大西安”发展思路，不断组织党员干部广泛学习新知识新技能，不断拓宽新视野、树立新理念、掌握新技能、提升新胆识，打造阎良民政铁军。四是落实“三项机制”。我局</w:t>
      </w:r>
      <w:r>
        <w:rPr>
          <w:rFonts w:hint="eastAsia" w:ascii="仿宋_GB2312" w:hAnsi="仿宋_GB2312" w:eastAsia="仿宋_GB2312" w:cs="仿宋_GB2312"/>
          <w:b w:val="0"/>
          <w:bCs w:val="0"/>
          <w:kern w:val="0"/>
          <w:sz w:val="32"/>
        </w:rPr>
        <w:t>制定了干部实绩档案实施方案，推行实绩档案管理。将干部推荐、评先推优、奖金分配与工作业绩直接挂钩。充分运用考核结果，推荐处级后备干部2名，对2016年目标责任奖金进行了差异化发放。出台了《社区工作人员考核暂行办法》，根据考核结果续签了2018年聘用合同，激发了社区工作人员的工作积极性。</w:t>
      </w:r>
    </w:p>
    <w:p>
      <w:pPr>
        <w:widowControl w:val="0"/>
        <w:numPr>
          <w:ilvl w:val="0"/>
          <w:numId w:val="0"/>
        </w:numPr>
        <w:pBdr>
          <w:bottom w:val="single" w:color="FFFFFF" w:sz="4" w:space="29"/>
        </w:pBdr>
        <w:wordWrap/>
        <w:adjustRightInd/>
        <w:snapToGrid/>
        <w:spacing w:before="0" w:after="0" w:line="556" w:lineRule="exact"/>
        <w:ind w:right="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lang w:val="en-US" w:eastAsia="zh-CN"/>
        </w:rPr>
        <w:t xml:space="preserve">    </w:t>
      </w:r>
      <w:r>
        <w:rPr>
          <w:rFonts w:hint="eastAsia" w:ascii="仿宋_GB2312" w:hAnsi="仿宋_GB2312" w:eastAsia="仿宋_GB2312" w:cs="仿宋_GB2312"/>
          <w:b/>
          <w:bCs/>
          <w:kern w:val="0"/>
          <w:sz w:val="32"/>
          <w:lang w:val="en-US" w:eastAsia="zh-CN"/>
        </w:rPr>
        <w:t>3、</w:t>
      </w:r>
      <w:r>
        <w:rPr>
          <w:rFonts w:hint="eastAsia" w:ascii="仿宋_GB2312" w:hAnsi="仿宋_GB2312" w:eastAsia="仿宋_GB2312" w:cs="仿宋_GB2312"/>
          <w:b/>
          <w:bCs/>
          <w:kern w:val="0"/>
          <w:sz w:val="32"/>
        </w:rPr>
        <w:t>强化作风建设，提升行政效能。</w:t>
      </w:r>
      <w:r>
        <w:rPr>
          <w:rFonts w:hint="eastAsia" w:ascii="仿宋_GB2312" w:hAnsi="仿宋_GB2312" w:eastAsia="仿宋_GB2312" w:cs="仿宋_GB2312"/>
          <w:b w:val="0"/>
          <w:bCs w:val="0"/>
          <w:kern w:val="0"/>
          <w:sz w:val="32"/>
        </w:rPr>
        <w:t>一是依托问政开展作风整顿。以3月8日“问政时刻”栏目开展电视问政低保工作</w:t>
      </w:r>
      <w:r>
        <w:rPr>
          <w:rFonts w:hint="eastAsia" w:ascii="仿宋_GB2312" w:hAnsi="仿宋_GB2312" w:eastAsia="仿宋_GB2312" w:cs="仿宋_GB2312"/>
          <w:b w:val="0"/>
          <w:bCs w:val="0"/>
          <w:sz w:val="32"/>
          <w:szCs w:val="32"/>
        </w:rPr>
        <w:t>为契机，组织开展“回头看、怎么办”主题讨论和作风纪律大整顿活动，进一步严肃了工作纪律，改进了工作作风。二是根据需要优化窗口设置。将老年优待证办理、异地商会登记许可、区级社会团体年检等业务迁至区政务中心民政窗口办理，理顺了职责、优化了布局。三是创新简化办事流程。</w:t>
      </w:r>
      <w:r>
        <w:rPr>
          <w:rFonts w:hint="eastAsia" w:ascii="仿宋_GB2312" w:hAnsi="仿宋_GB2312" w:eastAsia="仿宋_GB2312" w:cs="仿宋_GB2312"/>
          <w:b w:val="0"/>
          <w:bCs w:val="0"/>
          <w:kern w:val="0"/>
          <w:sz w:val="32"/>
        </w:rPr>
        <w:t>大力压缩办事流程和所需资料，面向社会公布三批共53项“最多跑一次”、“零跑腿”事项办理指南、流程，累计办理业务14236件，困难群众医疗救助“一站式”报销1037人次，实现了办理流程和申报材料“双瘦身”，得到了群众广泛好评。四是</w:t>
      </w:r>
      <w:r>
        <w:rPr>
          <w:rFonts w:hint="eastAsia" w:ascii="仿宋_GB2312" w:hAnsi="仿宋_GB2312" w:eastAsia="仿宋_GB2312" w:cs="仿宋_GB2312"/>
          <w:b w:val="0"/>
          <w:bCs w:val="0"/>
          <w:sz w:val="32"/>
          <w:szCs w:val="32"/>
        </w:rPr>
        <w:t>健全完善了各项工作制度。健全了目标责任考核制度、科所工作职责、重大事项报告制度等一系列工作制度，使民政干部每项工作都有章可循、有矩可依。</w:t>
      </w:r>
    </w:p>
    <w:p>
      <w:pPr>
        <w:widowControl w:val="0"/>
        <w:numPr>
          <w:ilvl w:val="0"/>
          <w:numId w:val="0"/>
        </w:numPr>
        <w:pBdr>
          <w:bottom w:val="single" w:color="FFFFFF" w:sz="4" w:space="29"/>
        </w:pBdr>
        <w:wordWrap/>
        <w:adjustRightInd/>
        <w:snapToGrid/>
        <w:spacing w:before="0" w:after="0" w:line="556" w:lineRule="exact"/>
        <w:ind w:right="0" w:firstLine="643" w:firstLineChars="200"/>
        <w:jc w:val="both"/>
        <w:textAlignment w:val="auto"/>
        <w:outlineLvl w:val="9"/>
        <w:rPr>
          <w:rFonts w:hint="eastAsia" w:ascii="仿宋_GB2312" w:hAnsi="仿宋_GB2312" w:eastAsia="仿宋_GB2312" w:cs="仿宋_GB2312"/>
          <w:b w:val="0"/>
          <w:bCs w:val="0"/>
          <w:sz w:val="32"/>
          <w:szCs w:val="32"/>
          <w:shd w:val="clear" w:color="auto" w:fill="FFFFFF"/>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强化配合协作，服务发展大局。</w:t>
      </w:r>
      <w:r>
        <w:rPr>
          <w:rFonts w:hint="eastAsia" w:ascii="仿宋_GB2312" w:hAnsi="仿宋_GB2312" w:eastAsia="仿宋_GB2312" w:cs="仿宋_GB2312"/>
          <w:b w:val="0"/>
          <w:bCs w:val="0"/>
          <w:sz w:val="32"/>
          <w:szCs w:val="32"/>
        </w:rPr>
        <w:t>一是完成了公众满意度电话访问调查相关任务，全面完成了亲商助企任务</w:t>
      </w:r>
      <w:r>
        <w:rPr>
          <w:rFonts w:hint="eastAsia" w:ascii="仿宋_GB2312" w:hAnsi="仿宋_GB2312" w:eastAsia="仿宋_GB2312" w:cs="仿宋_GB2312"/>
          <w:b w:val="0"/>
          <w:bCs w:val="0"/>
          <w:spacing w:val="-8"/>
          <w:sz w:val="32"/>
          <w:szCs w:val="32"/>
        </w:rPr>
        <w:t>，</w:t>
      </w:r>
      <w:r>
        <w:rPr>
          <w:rFonts w:hint="eastAsia" w:ascii="仿宋_GB2312" w:hAnsi="仿宋_GB2312" w:eastAsia="仿宋_GB2312" w:cs="仿宋_GB2312"/>
          <w:b w:val="0"/>
          <w:bCs w:val="0"/>
          <w:sz w:val="32"/>
          <w:szCs w:val="32"/>
        </w:rPr>
        <w:t xml:space="preserve"> 依托阎良区社会组织孵化基地成立了阎良区社会组织党建工作指导站和阎良区社会组织党校。二是认真落实路长制,</w:t>
      </w:r>
      <w:r>
        <w:rPr>
          <w:rFonts w:hint="eastAsia" w:ascii="仿宋_GB2312" w:hAnsi="仿宋_GB2312" w:eastAsia="仿宋_GB2312" w:cs="仿宋_GB2312"/>
          <w:b w:val="0"/>
          <w:bCs w:val="0"/>
          <w:kern w:val="0"/>
          <w:sz w:val="32"/>
        </w:rPr>
        <w:t>逢九安排干部轮流上路段巡查清扫，督促沿街企业门店落实门前“三包”责任。三是扎实做好信访维稳工作，针对退役军人、军转干部等重点群体，开展经常性矛盾纠纷排查化解，处理信访案件1起，全年无一例进京、赴省、到市上访事件。四是</w:t>
      </w:r>
      <w:r>
        <w:rPr>
          <w:rFonts w:hint="eastAsia" w:ascii="仿宋_GB2312" w:hAnsi="仿宋_GB2312" w:eastAsia="仿宋_GB2312" w:cs="仿宋_GB2312"/>
          <w:b w:val="0"/>
          <w:bCs w:val="0"/>
          <w:color w:val="000000"/>
          <w:sz w:val="32"/>
          <w:szCs w:val="32"/>
          <w:shd w:val="clear" w:color="auto" w:fill="FFFFFF"/>
        </w:rPr>
        <w:t>助推“脱贫攻坚”工作</w:t>
      </w:r>
      <w:r>
        <w:rPr>
          <w:rFonts w:hint="eastAsia" w:ascii="仿宋_GB2312" w:hAnsi="仿宋_GB2312" w:eastAsia="仿宋_GB2312" w:cs="仿宋_GB2312"/>
          <w:b w:val="0"/>
          <w:bCs w:val="0"/>
          <w:kern w:val="0"/>
          <w:sz w:val="32"/>
        </w:rPr>
        <w:t>,</w:t>
      </w:r>
      <w:r>
        <w:rPr>
          <w:rFonts w:hint="eastAsia" w:ascii="仿宋_GB2312" w:hAnsi="仿宋_GB2312" w:eastAsia="仿宋_GB2312" w:cs="仿宋_GB2312"/>
          <w:b w:val="0"/>
          <w:bCs w:val="0"/>
          <w:color w:val="000000"/>
          <w:sz w:val="32"/>
          <w:szCs w:val="32"/>
          <w:shd w:val="clear" w:color="auto" w:fill="FFFFFF"/>
        </w:rPr>
        <w:t>我</w:t>
      </w:r>
      <w:r>
        <w:rPr>
          <w:rFonts w:hint="eastAsia" w:ascii="仿宋_GB2312" w:hAnsi="仿宋_GB2312" w:eastAsia="仿宋_GB2312" w:cs="仿宋_GB2312"/>
          <w:b w:val="0"/>
          <w:bCs w:val="0"/>
          <w:sz w:val="32"/>
          <w:szCs w:val="32"/>
          <w:shd w:val="clear" w:color="auto" w:fill="FFFFFF"/>
        </w:rPr>
        <w:t>局科级以上领导干部深入帮扶村和帮扶群众家中，摸清底子搞调研，分别制定个性化的帮扶计划和帮扶措施，开展“周四扶贫日”活动，坚持每周四去一次帮扶对象家中，帮其解决实际困难。</w:t>
      </w:r>
    </w:p>
    <w:p>
      <w:pPr>
        <w:widowControl w:val="0"/>
        <w:numPr>
          <w:ilvl w:val="0"/>
          <w:numId w:val="0"/>
        </w:numPr>
        <w:pBdr>
          <w:bottom w:val="single" w:color="FFFFFF" w:sz="4" w:space="29"/>
        </w:pBdr>
        <w:wordWrap/>
        <w:adjustRightInd/>
        <w:snapToGrid/>
        <w:spacing w:before="0" w:after="0" w:line="556" w:lineRule="exact"/>
        <w:ind w:right="0"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五、</w:t>
      </w:r>
      <w:r>
        <w:rPr>
          <w:rFonts w:hint="eastAsia" w:ascii="黑体" w:hAnsi="黑体" w:eastAsia="黑体" w:cs="黑体"/>
          <w:b w:val="0"/>
          <w:bCs w:val="0"/>
          <w:sz w:val="32"/>
          <w:szCs w:val="32"/>
          <w:lang w:eastAsia="zh-CN"/>
        </w:rPr>
        <w:t>西安市阎良区民政局</w:t>
      </w:r>
      <w:r>
        <w:rPr>
          <w:rFonts w:hint="eastAsia" w:ascii="黑体" w:hAnsi="黑体" w:eastAsia="黑体" w:cs="黑体"/>
          <w:b w:val="0"/>
          <w:bCs w:val="0"/>
          <w:sz w:val="32"/>
          <w:szCs w:val="32"/>
        </w:rPr>
        <w:t>决算收支情况说明</w:t>
      </w:r>
    </w:p>
    <w:p>
      <w:pPr>
        <w:widowControl w:val="0"/>
        <w:numPr>
          <w:ilvl w:val="0"/>
          <w:numId w:val="0"/>
        </w:numPr>
        <w:pBdr>
          <w:bottom w:val="single" w:color="FFFFFF" w:sz="4" w:space="29"/>
        </w:pBdr>
        <w:wordWrap/>
        <w:adjustRightInd/>
        <w:snapToGrid/>
        <w:spacing w:before="0" w:after="0" w:line="556" w:lineRule="exact"/>
        <w:ind w:left="0" w:leftChars="0" w:right="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（一）2017年度收入支出总体情况说明</w:t>
      </w:r>
    </w:p>
    <w:p>
      <w:pPr>
        <w:widowControl w:val="0"/>
        <w:numPr>
          <w:ilvl w:val="0"/>
          <w:numId w:val="2"/>
        </w:numPr>
        <w:pBdr>
          <w:bottom w:val="single" w:color="FFFFFF" w:sz="4" w:space="29"/>
        </w:pBdr>
        <w:wordWrap/>
        <w:adjustRightInd/>
        <w:snapToGrid/>
        <w:spacing w:before="0" w:after="0" w:line="556" w:lineRule="exact"/>
        <w:ind w:left="0" w:leftChars="0" w:right="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本年度收入支出总体情况</w:t>
      </w:r>
    </w:p>
    <w:p>
      <w:pPr>
        <w:widowControl w:val="0"/>
        <w:numPr>
          <w:ilvl w:val="0"/>
          <w:numId w:val="0"/>
        </w:numPr>
        <w:pBdr>
          <w:bottom w:val="single" w:color="FFFFFF" w:sz="4" w:space="29"/>
        </w:pBdr>
        <w:wordWrap/>
        <w:adjustRightInd/>
        <w:snapToGrid/>
        <w:spacing w:before="0" w:after="0" w:line="556" w:lineRule="exact"/>
        <w:ind w:left="0" w:leftChars="0" w:right="0"/>
        <w:jc w:val="both"/>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（1）2017年度本年收入合计</w:t>
      </w:r>
      <w:r>
        <w:rPr>
          <w:rFonts w:hint="eastAsia" w:ascii="仿宋_GB2312" w:hAnsi="仿宋_GB2312" w:eastAsia="仿宋_GB2312" w:cs="仿宋_GB2312"/>
          <w:sz w:val="32"/>
          <w:szCs w:val="32"/>
          <w:lang w:val="en-US" w:eastAsia="zh-CN"/>
        </w:rPr>
        <w:t>15170.22</w:t>
      </w:r>
      <w:r>
        <w:rPr>
          <w:rFonts w:hint="eastAsia" w:ascii="仿宋_GB2312" w:hAnsi="仿宋_GB2312" w:eastAsia="仿宋_GB2312" w:cs="仿宋_GB2312"/>
          <w:sz w:val="32"/>
          <w:szCs w:val="32"/>
        </w:rPr>
        <w:t>万元，较上年</w:t>
      </w:r>
      <w:r>
        <w:rPr>
          <w:rFonts w:hint="eastAsia" w:ascii="仿宋_GB2312" w:hAnsi="仿宋_GB2312" w:eastAsia="仿宋_GB2312" w:cs="仿宋_GB2312"/>
          <w:sz w:val="32"/>
          <w:szCs w:val="32"/>
          <w:lang w:val="en-US" w:eastAsia="zh-CN"/>
        </w:rPr>
        <w:t>11050.83万元</w:t>
      </w:r>
      <w:r>
        <w:rPr>
          <w:rFonts w:hint="eastAsia" w:ascii="仿宋_GB2312" w:hAnsi="仿宋_GB2312" w:eastAsia="仿宋_GB2312" w:cs="仿宋_GB2312"/>
          <w:sz w:val="32"/>
          <w:szCs w:val="32"/>
        </w:rPr>
        <w:t>增加</w:t>
      </w:r>
      <w:r>
        <w:rPr>
          <w:rFonts w:hint="eastAsia" w:ascii="仿宋_GB2312" w:hAnsi="仿宋_GB2312" w:eastAsia="仿宋_GB2312" w:cs="仿宋_GB2312"/>
          <w:sz w:val="32"/>
          <w:szCs w:val="32"/>
          <w:lang w:val="en-US" w:eastAsia="zh-CN"/>
        </w:rPr>
        <w:t>4119.39</w:t>
      </w:r>
      <w:r>
        <w:rPr>
          <w:rFonts w:hint="eastAsia" w:ascii="仿宋_GB2312" w:hAnsi="仿宋_GB2312" w:eastAsia="仿宋_GB2312" w:cs="仿宋_GB2312"/>
          <w:sz w:val="32"/>
          <w:szCs w:val="32"/>
        </w:rPr>
        <w:t>万元，主要原因是</w:t>
      </w:r>
      <w:r>
        <w:rPr>
          <w:rFonts w:hint="eastAsia" w:ascii="仿宋_GB2312" w:hAnsi="仿宋_GB2312" w:eastAsia="仿宋_GB2312" w:cs="仿宋_GB2312"/>
          <w:color w:val="000000"/>
          <w:sz w:val="32"/>
          <w:szCs w:val="32"/>
        </w:rPr>
        <w:t>随着各级对民政事业的关注度不断提高</w:t>
      </w:r>
      <w:r>
        <w:rPr>
          <w:rFonts w:hint="eastAsia" w:ascii="仿宋_GB2312" w:hAnsi="仿宋_GB2312" w:eastAsia="仿宋_GB2312" w:cs="仿宋_GB2312"/>
          <w:color w:val="000000"/>
          <w:sz w:val="32"/>
          <w:szCs w:val="32"/>
          <w:lang w:eastAsia="zh-CN"/>
        </w:rPr>
        <w:t>，涉及人民群众关心的民生项目支出增加。</w:t>
      </w:r>
    </w:p>
    <w:p>
      <w:pPr>
        <w:widowControl w:val="0"/>
        <w:numPr>
          <w:ilvl w:val="0"/>
          <w:numId w:val="0"/>
        </w:numPr>
        <w:pBdr>
          <w:bottom w:val="single" w:color="FFFFFF" w:sz="4" w:space="29"/>
        </w:pBdr>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（2）2017年度本年支出合计</w:t>
      </w:r>
      <w:r>
        <w:rPr>
          <w:rFonts w:hint="eastAsia" w:ascii="仿宋_GB2312" w:hAnsi="仿宋_GB2312" w:eastAsia="仿宋_GB2312" w:cs="仿宋_GB2312"/>
          <w:sz w:val="32"/>
          <w:szCs w:val="32"/>
          <w:lang w:val="en-US" w:eastAsia="zh-CN"/>
        </w:rPr>
        <w:t>15210.63</w:t>
      </w:r>
      <w:r>
        <w:rPr>
          <w:rFonts w:hint="eastAsia" w:ascii="仿宋_GB2312" w:hAnsi="仿宋_GB2312" w:eastAsia="仿宋_GB2312" w:cs="仿宋_GB2312"/>
          <w:sz w:val="32"/>
          <w:szCs w:val="32"/>
        </w:rPr>
        <w:t>万元，比上年</w:t>
      </w:r>
      <w:r>
        <w:rPr>
          <w:rFonts w:hint="eastAsia" w:ascii="仿宋_GB2312" w:hAnsi="仿宋_GB2312" w:eastAsia="仿宋_GB2312" w:cs="仿宋_GB2312"/>
          <w:sz w:val="32"/>
          <w:szCs w:val="32"/>
          <w:lang w:val="en-US" w:eastAsia="zh-CN"/>
        </w:rPr>
        <w:t>13197.18万元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2013.45</w:t>
      </w:r>
      <w:r>
        <w:rPr>
          <w:rFonts w:hint="eastAsia" w:ascii="仿宋_GB2312" w:hAnsi="仿宋_GB2312" w:eastAsia="仿宋_GB2312" w:cs="仿宋_GB2312"/>
          <w:sz w:val="32"/>
          <w:szCs w:val="32"/>
        </w:rPr>
        <w:t>万元，主要原因是</w:t>
      </w:r>
      <w:r>
        <w:rPr>
          <w:rFonts w:hint="eastAsia" w:ascii="仿宋_GB2312" w:hAnsi="仿宋_GB2312" w:eastAsia="仿宋_GB2312" w:cs="仿宋_GB2312"/>
          <w:color w:val="000000"/>
          <w:sz w:val="32"/>
          <w:szCs w:val="32"/>
          <w:lang w:eastAsia="zh-CN"/>
        </w:rPr>
        <w:t>残疾人生活和护理补贴项目</w:t>
      </w:r>
      <w:r>
        <w:rPr>
          <w:rFonts w:hint="eastAsia" w:ascii="仿宋_GB2312" w:hAnsi="仿宋_GB2312" w:eastAsia="仿宋_GB2312" w:cs="仿宋_GB2312"/>
          <w:color w:val="000000"/>
          <w:sz w:val="32"/>
          <w:szCs w:val="32"/>
          <w:lang w:val="en-US" w:eastAsia="zh-CN"/>
        </w:rPr>
        <w:t>2017年起此业务由区残联移交我单位发放、并且2017年度老龄事务支出及抚恤支出较上年增长</w:t>
      </w:r>
      <w:r>
        <w:rPr>
          <w:rFonts w:hint="eastAsia" w:ascii="仿宋_GB2312" w:hAnsi="仿宋_GB2312" w:eastAsia="仿宋_GB2312" w:cs="仿宋_GB2312"/>
          <w:sz w:val="32"/>
          <w:szCs w:val="32"/>
        </w:rPr>
        <w:t>。</w:t>
      </w:r>
    </w:p>
    <w:p>
      <w:pPr>
        <w:widowControl w:val="0"/>
        <w:numPr>
          <w:ilvl w:val="0"/>
          <w:numId w:val="3"/>
        </w:numPr>
        <w:pBdr>
          <w:bottom w:val="single" w:color="FFFFFF" w:sz="4" w:space="29"/>
        </w:pBdr>
        <w:wordWrap/>
        <w:adjustRightInd/>
        <w:snapToGrid/>
        <w:spacing w:before="0" w:after="0" w:line="556" w:lineRule="exact"/>
        <w:ind w:left="0" w:leftChars="0" w:right="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本年收入构成情况</w:t>
      </w:r>
    </w:p>
    <w:p>
      <w:pPr>
        <w:widowControl w:val="0"/>
        <w:numPr>
          <w:ilvl w:val="0"/>
          <w:numId w:val="0"/>
        </w:numPr>
        <w:pBdr>
          <w:bottom w:val="single" w:color="FFFFFF" w:sz="4" w:space="29"/>
        </w:pBdr>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2017年本年收入合计</w:t>
      </w:r>
      <w:r>
        <w:rPr>
          <w:rFonts w:hint="eastAsia" w:ascii="仿宋_GB2312" w:hAnsi="仿宋_GB2312" w:eastAsia="仿宋_GB2312" w:cs="仿宋_GB2312"/>
          <w:sz w:val="32"/>
          <w:szCs w:val="32"/>
          <w:lang w:val="en-US" w:eastAsia="zh-CN"/>
        </w:rPr>
        <w:t>16271.82</w:t>
      </w:r>
      <w:r>
        <w:rPr>
          <w:rFonts w:hint="eastAsia" w:ascii="仿宋_GB2312" w:hAnsi="仿宋_GB2312" w:eastAsia="仿宋_GB2312" w:cs="仿宋_GB2312"/>
          <w:sz w:val="32"/>
          <w:szCs w:val="32"/>
        </w:rPr>
        <w:t>万元。其中:</w:t>
      </w:r>
    </w:p>
    <w:p>
      <w:pPr>
        <w:widowControl w:val="0"/>
        <w:numPr>
          <w:ilvl w:val="0"/>
          <w:numId w:val="4"/>
        </w:numPr>
        <w:pBdr>
          <w:bottom w:val="single" w:color="FFFFFF" w:sz="4" w:space="29"/>
        </w:pBdr>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财政拨款</w:t>
      </w:r>
      <w:r>
        <w:rPr>
          <w:rFonts w:hint="eastAsia" w:ascii="仿宋_GB2312" w:hAnsi="仿宋_GB2312" w:eastAsia="仿宋_GB2312" w:cs="仿宋_GB2312"/>
          <w:sz w:val="32"/>
          <w:szCs w:val="32"/>
          <w:lang w:val="en-US" w:eastAsia="zh-CN"/>
        </w:rPr>
        <w:t>15170.22</w:t>
      </w:r>
      <w:r>
        <w:rPr>
          <w:rFonts w:hint="eastAsia" w:ascii="仿宋_GB2312" w:hAnsi="仿宋_GB2312" w:eastAsia="仿宋_GB2312" w:cs="仿宋_GB2312"/>
          <w:sz w:val="32"/>
          <w:szCs w:val="32"/>
        </w:rPr>
        <w:t>万元，占总收入的</w:t>
      </w:r>
      <w:r>
        <w:rPr>
          <w:rFonts w:hint="eastAsia" w:ascii="仿宋_GB2312" w:hAnsi="仿宋_GB2312" w:eastAsia="仿宋_GB2312" w:cs="仿宋_GB2312"/>
          <w:sz w:val="32"/>
          <w:szCs w:val="32"/>
          <w:lang w:val="en-US" w:eastAsia="zh-CN"/>
        </w:rPr>
        <w:t>93.23</w:t>
      </w:r>
      <w:r>
        <w:rPr>
          <w:rFonts w:hint="eastAsia" w:ascii="仿宋_GB2312" w:hAnsi="仿宋_GB2312" w:eastAsia="仿宋_GB2312" w:cs="仿宋_GB2312"/>
          <w:sz w:val="32"/>
          <w:szCs w:val="32"/>
        </w:rPr>
        <w:t>%，包括一般公共预算财政拨款</w:t>
      </w:r>
      <w:r>
        <w:rPr>
          <w:rFonts w:hint="eastAsia" w:ascii="仿宋_GB2312" w:hAnsi="仿宋_GB2312" w:eastAsia="仿宋_GB2312" w:cs="仿宋_GB2312"/>
          <w:sz w:val="32"/>
          <w:szCs w:val="32"/>
          <w:lang w:val="en-US" w:eastAsia="zh-CN"/>
        </w:rPr>
        <w:t>13583.03</w:t>
      </w:r>
      <w:r>
        <w:rPr>
          <w:rFonts w:hint="eastAsia" w:ascii="仿宋_GB2312" w:hAnsi="仿宋_GB2312" w:eastAsia="仿宋_GB2312" w:cs="仿宋_GB2312"/>
          <w:sz w:val="32"/>
          <w:szCs w:val="32"/>
        </w:rPr>
        <w:t>万元、政府性基金预算财政拨款</w:t>
      </w:r>
      <w:r>
        <w:rPr>
          <w:rFonts w:hint="eastAsia" w:ascii="仿宋_GB2312" w:hAnsi="仿宋_GB2312" w:eastAsia="仿宋_GB2312" w:cs="仿宋_GB2312"/>
          <w:sz w:val="32"/>
          <w:szCs w:val="32"/>
          <w:lang w:val="en-US" w:eastAsia="zh-CN"/>
        </w:rPr>
        <w:t>1587.19</w:t>
      </w:r>
      <w:r>
        <w:rPr>
          <w:rFonts w:hint="eastAsia" w:ascii="仿宋_GB2312" w:hAnsi="仿宋_GB2312" w:eastAsia="仿宋_GB2312" w:cs="仿宋_GB2312"/>
          <w:sz w:val="32"/>
          <w:szCs w:val="32"/>
        </w:rPr>
        <w:t>万元。</w:t>
      </w:r>
    </w:p>
    <w:p>
      <w:pPr>
        <w:widowControl w:val="0"/>
        <w:numPr>
          <w:ilvl w:val="0"/>
          <w:numId w:val="4"/>
        </w:numPr>
        <w:pBdr>
          <w:bottom w:val="single" w:color="FFFFFF" w:sz="4" w:space="29"/>
        </w:pBdr>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widowControl w:val="0"/>
        <w:numPr>
          <w:ilvl w:val="0"/>
          <w:numId w:val="4"/>
        </w:numPr>
        <w:pBdr>
          <w:bottom w:val="single" w:color="FFFFFF" w:sz="4" w:space="29"/>
        </w:pBdr>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widowControl w:val="0"/>
        <w:numPr>
          <w:ilvl w:val="0"/>
          <w:numId w:val="4"/>
        </w:numPr>
        <w:pBdr>
          <w:bottom w:val="single" w:color="FFFFFF" w:sz="4" w:space="29"/>
        </w:pBdr>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widowControl w:val="0"/>
        <w:numPr>
          <w:ilvl w:val="0"/>
          <w:numId w:val="4"/>
        </w:numPr>
        <w:pBdr>
          <w:bottom w:val="single" w:color="FFFFFF" w:sz="4" w:space="29"/>
        </w:pBdr>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用事业基金弥补收支差额</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w:t>
      </w:r>
    </w:p>
    <w:p>
      <w:pPr>
        <w:widowControl w:val="0"/>
        <w:numPr>
          <w:ilvl w:val="0"/>
          <w:numId w:val="4"/>
        </w:numPr>
        <w:pBdr>
          <w:bottom w:val="single" w:color="FFFFFF" w:sz="4" w:space="29"/>
        </w:pBdr>
        <w:wordWrap/>
        <w:adjustRightInd/>
        <w:snapToGrid/>
        <w:spacing w:before="0" w:after="0" w:line="556" w:lineRule="exact"/>
        <w:ind w:left="0" w:leftChars="0" w:right="0" w:firstLine="640" w:firstLineChars="200"/>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上年结转结余</w:t>
      </w:r>
      <w:r>
        <w:rPr>
          <w:rFonts w:hint="eastAsia" w:ascii="仿宋_GB2312" w:hAnsi="仿宋_GB2312" w:eastAsia="仿宋_GB2312" w:cs="仿宋_GB2312"/>
          <w:color w:val="000000"/>
          <w:sz w:val="32"/>
          <w:szCs w:val="32"/>
          <w:lang w:val="en-US" w:eastAsia="zh-CN"/>
        </w:rPr>
        <w:t>1101.60</w:t>
      </w:r>
      <w:r>
        <w:rPr>
          <w:rFonts w:hint="eastAsia" w:ascii="仿宋_GB2312" w:hAnsi="仿宋_GB2312" w:eastAsia="仿宋_GB2312" w:cs="仿宋_GB2312"/>
          <w:color w:val="000000"/>
          <w:sz w:val="32"/>
          <w:szCs w:val="32"/>
        </w:rPr>
        <w:t>万元, 为以前年度尚未列支，结转到本年仍按按规定用途继续使用的资金。</w:t>
      </w:r>
    </w:p>
    <w:tbl>
      <w:tblPr>
        <w:tblStyle w:val="5"/>
        <w:tblpPr w:leftFromText="180" w:rightFromText="180" w:vertAnchor="text" w:horzAnchor="page" w:tblpX="1903" w:tblpY="255"/>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tabs>
                <w:tab w:val="left" w:pos="318"/>
              </w:tabs>
              <w:wordWrap/>
              <w:adjustRightInd/>
              <w:snapToGrid/>
              <w:spacing w:before="0" w:beforeAutospacing="0" w:after="0" w:afterAutospacing="0" w:line="560" w:lineRule="exact"/>
              <w:jc w:val="left"/>
              <w:textAlignment w:val="auto"/>
              <w:outlineLvl w:val="9"/>
              <w:rPr>
                <w:rFonts w:hint="eastAsia" w:ascii="仿宋_GB2312" w:hAnsi="仿宋_GB2312" w:eastAsia="仿宋_GB2312" w:cs="仿宋_GB2312"/>
                <w:color w:val="FFFFFF"/>
                <w:sz w:val="32"/>
                <w:szCs w:val="32"/>
                <w:highlight w:val="none"/>
                <w:lang w:eastAsia="zh-CN"/>
              </w:rPr>
            </w:pPr>
            <w:r>
              <w:rPr>
                <w:rFonts w:hint="eastAsia" w:ascii="仿宋_GB2312" w:hAnsi="仿宋_GB2312" w:eastAsia="仿宋_GB2312" w:cs="仿宋_GB2312"/>
                <w:color w:val="FFFFFF"/>
                <w:sz w:val="21"/>
                <w:szCs w:val="21"/>
                <w:highlight w:val="none"/>
                <w:lang w:eastAsia="zh-CN"/>
              </w:rPr>
              <w:t>收入构成（万元）</w:t>
            </w:r>
          </w:p>
        </w:tc>
        <w:tc>
          <w:tcPr>
            <w:tcW w:w="1065"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FFFFFF"/>
                <w:sz w:val="21"/>
                <w:szCs w:val="21"/>
                <w:highlight w:val="none"/>
                <w:lang w:eastAsia="zh-CN"/>
              </w:rPr>
            </w:pPr>
            <w:r>
              <w:rPr>
                <w:rFonts w:hint="eastAsia" w:ascii="仿宋_GB2312" w:hAnsi="仿宋_GB2312" w:eastAsia="仿宋_GB2312" w:cs="仿宋_GB2312"/>
                <w:color w:val="FFFFFF"/>
                <w:sz w:val="21"/>
                <w:szCs w:val="21"/>
                <w:highlight w:val="none"/>
                <w:lang w:eastAsia="zh-CN"/>
              </w:rPr>
              <w:t>财政拨款收入</w:t>
            </w:r>
          </w:p>
        </w:tc>
        <w:tc>
          <w:tcPr>
            <w:tcW w:w="1065"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FFFFFF"/>
                <w:sz w:val="21"/>
                <w:szCs w:val="21"/>
                <w:highlight w:val="none"/>
                <w:lang w:eastAsia="zh-CN"/>
              </w:rPr>
            </w:pPr>
            <w:r>
              <w:rPr>
                <w:rFonts w:hint="eastAsia" w:ascii="仿宋_GB2312" w:hAnsi="仿宋_GB2312" w:eastAsia="仿宋_GB2312" w:cs="仿宋_GB2312"/>
                <w:color w:val="FFFFFF"/>
                <w:sz w:val="21"/>
                <w:szCs w:val="21"/>
                <w:highlight w:val="none"/>
                <w:lang w:eastAsia="zh-CN"/>
              </w:rPr>
              <w:t>事业收入</w:t>
            </w:r>
          </w:p>
        </w:tc>
        <w:tc>
          <w:tcPr>
            <w:tcW w:w="1065"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FFFFFF"/>
                <w:sz w:val="21"/>
                <w:szCs w:val="21"/>
                <w:highlight w:val="none"/>
                <w:lang w:eastAsia="zh-CN"/>
              </w:rPr>
            </w:pPr>
            <w:r>
              <w:rPr>
                <w:rFonts w:hint="eastAsia" w:ascii="仿宋_GB2312" w:hAnsi="仿宋_GB2312" w:eastAsia="仿宋_GB2312" w:cs="仿宋_GB2312"/>
                <w:color w:val="FFFFFF"/>
                <w:sz w:val="21"/>
                <w:szCs w:val="21"/>
                <w:highlight w:val="none"/>
                <w:lang w:eastAsia="zh-CN"/>
              </w:rPr>
              <w:t>经营收入</w:t>
            </w:r>
          </w:p>
        </w:tc>
        <w:tc>
          <w:tcPr>
            <w:tcW w:w="1065"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FFFFFF"/>
                <w:sz w:val="21"/>
                <w:szCs w:val="21"/>
                <w:highlight w:val="none"/>
                <w:lang w:eastAsia="zh-CN"/>
              </w:rPr>
            </w:pPr>
            <w:r>
              <w:rPr>
                <w:rFonts w:hint="eastAsia" w:ascii="仿宋_GB2312" w:hAnsi="仿宋_GB2312" w:eastAsia="仿宋_GB2312" w:cs="仿宋_GB2312"/>
                <w:color w:val="FFFFFF"/>
                <w:sz w:val="21"/>
                <w:szCs w:val="21"/>
                <w:highlight w:val="none"/>
                <w:lang w:eastAsia="zh-CN"/>
              </w:rPr>
              <w:t>其他收入</w:t>
            </w:r>
          </w:p>
        </w:tc>
        <w:tc>
          <w:tcPr>
            <w:tcW w:w="1065" w:type="dxa"/>
            <w:tcBorders>
              <w:top w:val="single" w:color="auto" w:sz="4" w:space="0"/>
              <w:left w:val="single" w:color="auto" w:sz="4" w:space="0"/>
              <w:bottom w:val="single" w:color="auto" w:sz="4" w:space="0"/>
              <w:right w:val="single" w:color="auto" w:sz="4" w:space="0"/>
            </w:tcBorders>
            <w:shd w:val="clear" w:color="auto" w:fill="9BBB59"/>
            <w:vAlign w:val="top"/>
          </w:tcPr>
          <w:p>
            <w:pPr>
              <w:jc w:val="center"/>
              <w:rPr>
                <w:rFonts w:hint="eastAsia" w:ascii="仿宋_GB2312" w:hAnsi="仿宋_GB2312" w:eastAsia="仿宋_GB2312" w:cs="仿宋_GB2312"/>
                <w:color w:val="FFFFFF"/>
                <w:sz w:val="21"/>
                <w:szCs w:val="21"/>
                <w:highlight w:val="none"/>
                <w:lang w:eastAsia="zh-CN"/>
              </w:rPr>
            </w:pPr>
            <w:r>
              <w:rPr>
                <w:rFonts w:hint="eastAsia" w:ascii="仿宋_GB2312" w:hAnsi="仿宋_GB2312" w:eastAsia="仿宋_GB2312" w:cs="仿宋_GB2312"/>
                <w:color w:val="FFFFFF"/>
                <w:sz w:val="21"/>
                <w:szCs w:val="21"/>
                <w:highlight w:val="none"/>
              </w:rPr>
              <w:t>用事业基金弥补收支差额</w:t>
            </w:r>
          </w:p>
        </w:tc>
        <w:tc>
          <w:tcPr>
            <w:tcW w:w="1066"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FFFFFF"/>
                <w:sz w:val="21"/>
                <w:szCs w:val="21"/>
                <w:highlight w:val="none"/>
                <w:lang w:eastAsia="zh-CN"/>
              </w:rPr>
            </w:pPr>
            <w:r>
              <w:rPr>
                <w:rFonts w:hint="eastAsia" w:ascii="仿宋_GB2312" w:hAnsi="仿宋_GB2312" w:eastAsia="仿宋_GB2312" w:cs="仿宋_GB2312"/>
                <w:color w:val="FFFFFF"/>
                <w:sz w:val="21"/>
                <w:szCs w:val="21"/>
                <w:highlight w:val="none"/>
              </w:rPr>
              <w:t>上年结转结余</w:t>
            </w:r>
          </w:p>
        </w:tc>
        <w:tc>
          <w:tcPr>
            <w:tcW w:w="1066"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FFFFFF"/>
                <w:sz w:val="21"/>
                <w:szCs w:val="21"/>
                <w:highlight w:val="none"/>
                <w:lang w:eastAsia="zh-CN"/>
              </w:rPr>
            </w:pPr>
            <w:r>
              <w:rPr>
                <w:rFonts w:hint="eastAsia" w:ascii="仿宋_GB2312" w:hAnsi="仿宋_GB2312" w:eastAsia="仿宋_GB2312" w:cs="仿宋_GB2312"/>
                <w:color w:val="FFFFFF"/>
                <w:sz w:val="21"/>
                <w:szCs w:val="21"/>
                <w:highlight w:val="none"/>
                <w:lang w:eastAsia="zh-CN"/>
              </w:rPr>
              <w:t>合</w:t>
            </w:r>
            <w:r>
              <w:rPr>
                <w:rFonts w:hint="eastAsia" w:ascii="仿宋_GB2312" w:hAnsi="仿宋_GB2312" w:eastAsia="仿宋_GB2312" w:cs="仿宋_GB2312"/>
                <w:color w:val="FFFFFF"/>
                <w:sz w:val="21"/>
                <w:szCs w:val="21"/>
                <w:highlight w:val="none"/>
                <w:lang w:val="en-US" w:eastAsia="zh-CN"/>
              </w:rPr>
              <w:t xml:space="preserve"> </w:t>
            </w:r>
            <w:r>
              <w:rPr>
                <w:rFonts w:hint="eastAsia" w:ascii="仿宋_GB2312" w:hAnsi="仿宋_GB2312" w:eastAsia="仿宋_GB2312" w:cs="仿宋_GB2312"/>
                <w:color w:val="FFFFFF"/>
                <w:sz w:val="21"/>
                <w:szCs w:val="21"/>
                <w:highlight w:val="none"/>
                <w:lang w:eastAsia="zh-CN"/>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收入数</w:t>
            </w:r>
          </w:p>
        </w:tc>
        <w:tc>
          <w:tcPr>
            <w:tcW w:w="1065"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15170.22</w:t>
            </w:r>
          </w:p>
        </w:tc>
        <w:tc>
          <w:tcPr>
            <w:tcW w:w="1065"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065"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065"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065"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066"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1101.60</w:t>
            </w:r>
          </w:p>
        </w:tc>
        <w:tc>
          <w:tcPr>
            <w:tcW w:w="1066"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16271.82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百分比</w:t>
            </w:r>
          </w:p>
        </w:tc>
        <w:tc>
          <w:tcPr>
            <w:tcW w:w="1065"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93.23%</w:t>
            </w:r>
          </w:p>
        </w:tc>
        <w:tc>
          <w:tcPr>
            <w:tcW w:w="1065"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065"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065"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065"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066"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6.77%</w:t>
            </w:r>
          </w:p>
        </w:tc>
        <w:tc>
          <w:tcPr>
            <w:tcW w:w="1066"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wordWrap/>
              <w:adjustRightInd/>
              <w:snapToGrid/>
              <w:spacing w:before="0" w:beforeAutospacing="0" w:after="0" w:afterAutospacing="0" w:line="560" w:lineRule="exact"/>
              <w:jc w:val="center"/>
              <w:textAlignment w:val="auto"/>
              <w:outlineLvl w:val="9"/>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 100%</w:t>
            </w:r>
          </w:p>
        </w:tc>
      </w:tr>
    </w:tbl>
    <w:p>
      <w:pPr>
        <w:pStyle w:val="4"/>
        <w:widowControl/>
        <w:numPr>
          <w:ilvl w:val="0"/>
          <w:numId w:val="5"/>
        </w:numPr>
        <w:wordWrap/>
        <w:adjustRightInd/>
        <w:snapToGrid/>
        <w:spacing w:before="0" w:beforeAutospacing="0" w:after="0" w:afterAutospacing="0" w:line="556" w:lineRule="exact"/>
        <w:ind w:left="0" w:leftChars="0" w:right="0" w:firstLine="643" w:firstLineChars="200"/>
        <w:jc w:val="left"/>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本年支出构成情况</w:t>
      </w:r>
    </w:p>
    <w:p>
      <w:pPr>
        <w:pStyle w:val="4"/>
        <w:widowControl/>
        <w:numPr>
          <w:ilvl w:val="0"/>
          <w:numId w:val="0"/>
        </w:numPr>
        <w:wordWrap/>
        <w:adjustRightInd/>
        <w:snapToGrid/>
        <w:spacing w:before="0" w:beforeAutospacing="0" w:after="0" w:afterAutospacing="0" w:line="556" w:lineRule="exact"/>
        <w:ind w:leftChars="200" w:right="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2017年本年支出合计</w:t>
      </w:r>
      <w:r>
        <w:rPr>
          <w:rFonts w:hint="eastAsia" w:ascii="仿宋_GB2312" w:hAnsi="仿宋_GB2312" w:eastAsia="仿宋_GB2312" w:cs="仿宋_GB2312"/>
          <w:sz w:val="32"/>
          <w:szCs w:val="32"/>
          <w:lang w:val="en-US" w:eastAsia="zh-CN"/>
        </w:rPr>
        <w:t>15210.63</w:t>
      </w:r>
      <w:r>
        <w:rPr>
          <w:rFonts w:hint="eastAsia" w:ascii="仿宋_GB2312" w:hAnsi="仿宋_GB2312" w:eastAsia="仿宋_GB2312" w:cs="仿宋_GB2312"/>
          <w:sz w:val="32"/>
          <w:szCs w:val="32"/>
        </w:rPr>
        <w:t>万元。其中:</w:t>
      </w:r>
    </w:p>
    <w:p>
      <w:pPr>
        <w:pStyle w:val="4"/>
        <w:widowControl/>
        <w:numPr>
          <w:ilvl w:val="0"/>
          <w:numId w:val="0"/>
        </w:numPr>
        <w:wordWrap/>
        <w:adjustRightInd/>
        <w:snapToGrid/>
        <w:spacing w:before="0" w:beforeAutospacing="0" w:after="0" w:afterAutospacing="0" w:line="556" w:lineRule="exact"/>
        <w:ind w:right="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（1）基本支出</w:t>
      </w:r>
      <w:r>
        <w:rPr>
          <w:rFonts w:hint="eastAsia" w:ascii="仿宋_GB2312" w:hAnsi="仿宋_GB2312" w:eastAsia="仿宋_GB2312" w:cs="仿宋_GB2312"/>
          <w:sz w:val="32"/>
          <w:szCs w:val="32"/>
          <w:lang w:val="en-US" w:eastAsia="zh-CN"/>
        </w:rPr>
        <w:t>435.53</w:t>
      </w:r>
      <w:r>
        <w:rPr>
          <w:rFonts w:hint="eastAsia" w:ascii="仿宋_GB2312" w:hAnsi="仿宋_GB2312" w:eastAsia="仿宋_GB2312" w:cs="仿宋_GB2312"/>
          <w:sz w:val="32"/>
          <w:szCs w:val="32"/>
        </w:rPr>
        <w:t>万元，占总支出的</w:t>
      </w:r>
      <w:r>
        <w:rPr>
          <w:rFonts w:hint="eastAsia" w:ascii="仿宋_GB2312" w:hAnsi="仿宋_GB2312" w:eastAsia="仿宋_GB2312" w:cs="仿宋_GB2312"/>
          <w:sz w:val="32"/>
          <w:szCs w:val="32"/>
          <w:lang w:val="en-US" w:eastAsia="zh-CN"/>
        </w:rPr>
        <w:t>2.87</w:t>
      </w:r>
      <w:r>
        <w:rPr>
          <w:rFonts w:hint="eastAsia" w:ascii="仿宋_GB2312" w:hAnsi="仿宋_GB2312" w:eastAsia="仿宋_GB2312" w:cs="仿宋_GB2312"/>
          <w:sz w:val="32"/>
          <w:szCs w:val="32"/>
        </w:rPr>
        <w:t>%，是为保障机构正常运转、完成日常工作任务而发生的各项支出，包括人员经费</w:t>
      </w:r>
      <w:r>
        <w:rPr>
          <w:rFonts w:hint="eastAsia" w:ascii="仿宋_GB2312" w:hAnsi="仿宋_GB2312" w:eastAsia="仿宋_GB2312" w:cs="仿宋_GB2312"/>
          <w:sz w:val="32"/>
          <w:szCs w:val="32"/>
          <w:lang w:val="en-US" w:eastAsia="zh-CN"/>
        </w:rPr>
        <w:t>367.36</w:t>
      </w:r>
      <w:r>
        <w:rPr>
          <w:rFonts w:hint="eastAsia" w:ascii="仿宋_GB2312" w:hAnsi="仿宋_GB2312" w:eastAsia="仿宋_GB2312" w:cs="仿宋_GB2312"/>
          <w:sz w:val="32"/>
          <w:szCs w:val="32"/>
        </w:rPr>
        <w:t>万元和公用经费</w:t>
      </w:r>
      <w:r>
        <w:rPr>
          <w:rFonts w:hint="eastAsia" w:ascii="仿宋_GB2312" w:hAnsi="仿宋_GB2312" w:eastAsia="仿宋_GB2312" w:cs="仿宋_GB2312"/>
          <w:sz w:val="32"/>
          <w:szCs w:val="32"/>
          <w:lang w:val="en-US" w:eastAsia="zh-CN"/>
        </w:rPr>
        <w:t>68.17</w:t>
      </w:r>
      <w:r>
        <w:rPr>
          <w:rFonts w:hint="eastAsia" w:ascii="仿宋_GB2312" w:hAnsi="仿宋_GB2312" w:eastAsia="仿宋_GB2312" w:cs="仿宋_GB2312"/>
          <w:sz w:val="32"/>
          <w:szCs w:val="32"/>
        </w:rPr>
        <w:t>万元。</w:t>
      </w:r>
    </w:p>
    <w:p>
      <w:pPr>
        <w:pStyle w:val="4"/>
        <w:widowControl/>
        <w:numPr>
          <w:ilvl w:val="0"/>
          <w:numId w:val="0"/>
        </w:numPr>
        <w:wordWrap/>
        <w:adjustRightInd/>
        <w:snapToGrid/>
        <w:spacing w:before="0" w:beforeAutospacing="0" w:after="0" w:afterAutospacing="0" w:line="556" w:lineRule="exact"/>
        <w:ind w:right="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（2）项目支出</w:t>
      </w:r>
      <w:r>
        <w:rPr>
          <w:rFonts w:hint="eastAsia" w:ascii="仿宋_GB2312" w:hAnsi="仿宋_GB2312" w:eastAsia="仿宋_GB2312" w:cs="仿宋_GB2312"/>
          <w:sz w:val="32"/>
          <w:szCs w:val="32"/>
          <w:lang w:val="en-US" w:eastAsia="zh-CN"/>
        </w:rPr>
        <w:t>14775.10</w:t>
      </w:r>
      <w:r>
        <w:rPr>
          <w:rFonts w:hint="eastAsia" w:ascii="仿宋_GB2312" w:hAnsi="仿宋_GB2312" w:eastAsia="仿宋_GB2312" w:cs="仿宋_GB2312"/>
          <w:sz w:val="32"/>
          <w:szCs w:val="32"/>
        </w:rPr>
        <w:t>万元，占总支出的</w:t>
      </w:r>
      <w:r>
        <w:rPr>
          <w:rFonts w:hint="eastAsia" w:ascii="仿宋_GB2312" w:hAnsi="仿宋_GB2312" w:eastAsia="仿宋_GB2312" w:cs="仿宋_GB2312"/>
          <w:sz w:val="32"/>
          <w:szCs w:val="32"/>
          <w:lang w:val="en-US" w:eastAsia="zh-CN"/>
        </w:rPr>
        <w:t>97.13</w:t>
      </w:r>
      <w:r>
        <w:rPr>
          <w:rFonts w:hint="eastAsia" w:ascii="仿宋_GB2312" w:hAnsi="仿宋_GB2312" w:eastAsia="仿宋_GB2312" w:cs="仿宋_GB2312"/>
          <w:sz w:val="32"/>
          <w:szCs w:val="32"/>
        </w:rPr>
        <w:t>%，是为完成特定的工作任务或事业发展目标，在基本支出之外发生的支出。主要包括</w:t>
      </w:r>
      <w:r>
        <w:rPr>
          <w:rFonts w:hint="eastAsia" w:ascii="仿宋_GB2312" w:hAnsi="仿宋_GB2312" w:eastAsia="仿宋_GB2312" w:cs="仿宋_GB2312"/>
          <w:sz w:val="32"/>
          <w:szCs w:val="32"/>
          <w:lang w:eastAsia="zh-CN"/>
        </w:rPr>
        <w:t>：其他教育支出</w:t>
      </w:r>
      <w:r>
        <w:rPr>
          <w:rFonts w:hint="eastAsia" w:ascii="仿宋_GB2312" w:hAnsi="仿宋_GB2312" w:eastAsia="仿宋_GB2312" w:cs="仿宋_GB2312"/>
          <w:sz w:val="32"/>
          <w:szCs w:val="32"/>
          <w:lang w:val="en-US" w:eastAsia="zh-CN"/>
        </w:rPr>
        <w:t>2.60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、一般行政管理事务</w:t>
      </w:r>
      <w:r>
        <w:rPr>
          <w:rFonts w:hint="eastAsia" w:ascii="仿宋_GB2312" w:hAnsi="仿宋_GB2312" w:eastAsia="仿宋_GB2312" w:cs="仿宋_GB2312"/>
          <w:sz w:val="32"/>
          <w:szCs w:val="32"/>
          <w:lang w:val="en-US" w:eastAsia="zh-CN"/>
        </w:rPr>
        <w:t>51.35万元、老龄事务1561.82万元、基层政权和社区建设1362.56万元、其他民政管理事务支出49.54万元、死亡抚恤87.50万元、义务兵优待1154.13万元、其他优抚支出1681.00万元、退役士兵安置218.00万元、军队移交政府的离退休人员安置2026.60万元  退役士兵管理教育4.40万元、其他退役安置支出2.00万元、儿童福利65.00万元、老年福利256.64万元、殡葬47.00万元、其他社会福利支出5.41万元、残疾人生活和护理补贴291.00万元、地方自然灾害生活补助1.00万元、自然灾害灾后重建补助42.20万元、城市最低生活保障金支出823.20万元、农村最低生活保障金支出2248.00万元、临时救助支出206.00万元、流浪乞讨人员救助支出43.00万元、城市特困人员救助供养支出7.80万元、农村特困人员救助供养支出219.13万元、移民补助439.71万元、其他城市生活救助15.00万元、其他社会保障和就业支出135.83万元、城乡医疗救助615.01万元、优抚对象医疗补助56.40万元、其他农业支出0.82万元、水利工程建设150.00万元、农业保险保费补贴3.19万元、福利彩票销售机构的业务费支出53.93万元、彩票市场调控资金支出40.00万元、用于社会福利的彩票公益金支出808.33万元</w:t>
      </w:r>
      <w:r>
        <w:rPr>
          <w:rFonts w:hint="eastAsia" w:ascii="仿宋_GB2312" w:hAnsi="仿宋_GB2312" w:eastAsia="仿宋_GB2312" w:cs="仿宋_GB2312"/>
          <w:sz w:val="32"/>
          <w:szCs w:val="32"/>
        </w:rPr>
        <w:t>。</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spacing w:line="520" w:lineRule="exact"/>
              <w:jc w:val="center"/>
              <w:rPr>
                <w:rFonts w:hint="eastAsia" w:ascii="仿宋_GB2312" w:hAnsi="仿宋_GB2312" w:eastAsia="仿宋_GB2312" w:cs="仿宋_GB2312"/>
                <w:b/>
                <w:bCs/>
                <w:color w:val="FFFFFF"/>
                <w:sz w:val="32"/>
                <w:szCs w:val="32"/>
                <w:lang w:eastAsia="zh-CN"/>
              </w:rPr>
            </w:pPr>
            <w:r>
              <w:rPr>
                <w:rFonts w:hint="eastAsia" w:ascii="仿宋_GB2312" w:hAnsi="仿宋_GB2312" w:eastAsia="仿宋_GB2312" w:cs="仿宋_GB2312"/>
                <w:b/>
                <w:bCs/>
                <w:color w:val="FFFFFF"/>
                <w:sz w:val="32"/>
                <w:szCs w:val="32"/>
                <w:lang w:eastAsia="zh-CN"/>
              </w:rPr>
              <w:t>支出构成（万元）</w:t>
            </w:r>
          </w:p>
        </w:tc>
        <w:tc>
          <w:tcPr>
            <w:tcW w:w="2841"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spacing w:line="520" w:lineRule="exact"/>
              <w:jc w:val="center"/>
              <w:rPr>
                <w:rFonts w:hint="eastAsia" w:ascii="仿宋_GB2312" w:hAnsi="仿宋_GB2312" w:eastAsia="仿宋_GB2312" w:cs="仿宋_GB2312"/>
                <w:b/>
                <w:bCs/>
                <w:color w:val="FFFFFF"/>
                <w:sz w:val="32"/>
                <w:szCs w:val="32"/>
                <w:lang w:eastAsia="zh-CN"/>
              </w:rPr>
            </w:pPr>
            <w:r>
              <w:rPr>
                <w:rFonts w:hint="eastAsia" w:ascii="仿宋_GB2312" w:hAnsi="仿宋_GB2312" w:eastAsia="仿宋_GB2312" w:cs="仿宋_GB2312"/>
                <w:b/>
                <w:bCs/>
                <w:color w:val="FFFFFF"/>
                <w:sz w:val="32"/>
                <w:szCs w:val="32"/>
                <w:lang w:eastAsia="zh-CN"/>
              </w:rPr>
              <w:t>支出数</w:t>
            </w:r>
          </w:p>
        </w:tc>
        <w:tc>
          <w:tcPr>
            <w:tcW w:w="2841" w:type="dxa"/>
            <w:tcBorders>
              <w:top w:val="single" w:color="auto" w:sz="4" w:space="0"/>
              <w:left w:val="single" w:color="auto" w:sz="4" w:space="0"/>
              <w:bottom w:val="single" w:color="auto" w:sz="4" w:space="0"/>
              <w:right w:val="single" w:color="auto" w:sz="4" w:space="0"/>
            </w:tcBorders>
            <w:shd w:val="clear" w:color="auto" w:fill="9BBB59"/>
            <w:vAlign w:val="top"/>
          </w:tcPr>
          <w:p>
            <w:pPr>
              <w:pStyle w:val="4"/>
              <w:spacing w:line="520" w:lineRule="exact"/>
              <w:jc w:val="center"/>
              <w:rPr>
                <w:rFonts w:hint="eastAsia" w:ascii="仿宋_GB2312" w:hAnsi="仿宋_GB2312" w:eastAsia="仿宋_GB2312" w:cs="仿宋_GB2312"/>
                <w:b/>
                <w:bCs/>
                <w:color w:val="FFFFFF"/>
                <w:sz w:val="32"/>
                <w:szCs w:val="32"/>
                <w:lang w:eastAsia="zh-CN"/>
              </w:rPr>
            </w:pPr>
            <w:r>
              <w:rPr>
                <w:rFonts w:hint="eastAsia" w:ascii="仿宋_GB2312" w:hAnsi="仿宋_GB2312" w:eastAsia="仿宋_GB2312" w:cs="仿宋_GB2312"/>
                <w:b/>
                <w:bCs/>
                <w:color w:val="FFFFFF"/>
                <w:sz w:val="32"/>
                <w:szCs w:val="32"/>
                <w:lang w:eastAsia="zh-CN"/>
              </w:rPr>
              <w:t>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b/>
                <w:bCs/>
                <w:color w:val="000000"/>
                <w:sz w:val="30"/>
                <w:szCs w:val="30"/>
                <w:lang w:eastAsia="zh-CN"/>
              </w:rPr>
            </w:pPr>
            <w:r>
              <w:rPr>
                <w:rFonts w:hint="eastAsia" w:ascii="仿宋_GB2312" w:hAnsi="仿宋_GB2312" w:eastAsia="仿宋_GB2312" w:cs="仿宋_GB2312"/>
                <w:b/>
                <w:bCs/>
                <w:color w:val="000000"/>
                <w:sz w:val="30"/>
                <w:szCs w:val="30"/>
                <w:lang w:eastAsia="zh-CN"/>
              </w:rPr>
              <w:t>合</w:t>
            </w:r>
            <w:r>
              <w:rPr>
                <w:rFonts w:hint="eastAsia" w:ascii="仿宋_GB2312" w:hAnsi="仿宋_GB2312" w:eastAsia="仿宋_GB2312" w:cs="仿宋_GB2312"/>
                <w:b/>
                <w:bCs/>
                <w:color w:val="000000"/>
                <w:sz w:val="30"/>
                <w:szCs w:val="30"/>
                <w:lang w:val="en-US" w:eastAsia="zh-CN"/>
              </w:rPr>
              <w:t xml:space="preserve"> </w:t>
            </w:r>
            <w:r>
              <w:rPr>
                <w:rFonts w:hint="eastAsia" w:ascii="仿宋_GB2312" w:hAnsi="仿宋_GB2312" w:eastAsia="仿宋_GB2312" w:cs="仿宋_GB2312"/>
                <w:b/>
                <w:bCs/>
                <w:color w:val="000000"/>
                <w:sz w:val="30"/>
                <w:szCs w:val="30"/>
                <w:lang w:eastAsia="zh-CN"/>
              </w:rPr>
              <w:t>计</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0"/>
                <w:szCs w:val="30"/>
                <w:lang w:val="en-US" w:eastAsia="zh-CN"/>
              </w:rPr>
              <w:t>15210.63</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0"/>
                <w:szCs w:val="30"/>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b/>
                <w:bCs/>
                <w:color w:val="000000"/>
                <w:sz w:val="30"/>
                <w:szCs w:val="30"/>
                <w:lang w:eastAsia="zh-CN"/>
              </w:rPr>
            </w:pPr>
            <w:r>
              <w:rPr>
                <w:rFonts w:hint="eastAsia" w:ascii="仿宋_GB2312" w:hAnsi="仿宋_GB2312" w:eastAsia="仿宋_GB2312" w:cs="仿宋_GB2312"/>
                <w:b/>
                <w:bCs/>
                <w:color w:val="000000"/>
                <w:sz w:val="30"/>
                <w:szCs w:val="30"/>
                <w:lang w:eastAsia="zh-CN"/>
              </w:rPr>
              <w:t>基本支出小计</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0"/>
                <w:szCs w:val="30"/>
                <w:lang w:val="en-US" w:eastAsia="zh-CN"/>
              </w:rPr>
              <w:t>435.53</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0"/>
                <w:szCs w:val="30"/>
                <w:lang w:val="en-US" w:eastAsia="zh-CN"/>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人员经费</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367.36</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公用经费</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68.17</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b/>
                <w:bCs/>
                <w:color w:val="000000"/>
                <w:sz w:val="30"/>
                <w:szCs w:val="30"/>
                <w:lang w:eastAsia="zh-CN"/>
              </w:rPr>
            </w:pPr>
            <w:r>
              <w:rPr>
                <w:rFonts w:hint="eastAsia" w:ascii="仿宋_GB2312" w:hAnsi="仿宋_GB2312" w:eastAsia="仿宋_GB2312" w:cs="仿宋_GB2312"/>
                <w:b/>
                <w:bCs/>
                <w:color w:val="000000"/>
                <w:sz w:val="30"/>
                <w:szCs w:val="30"/>
                <w:lang w:eastAsia="zh-CN"/>
              </w:rPr>
              <w:t>项目支出小计</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sz w:val="30"/>
                <w:szCs w:val="30"/>
                <w:lang w:val="en-US" w:eastAsia="zh-CN"/>
              </w:rPr>
              <w:t>14775.10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sz w:val="30"/>
                <w:szCs w:val="30"/>
                <w:lang w:val="en-US" w:eastAsia="zh-CN"/>
              </w:rPr>
              <w:t>97.13%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其他教育支出</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2.60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eastAsia="zh-CN"/>
              </w:rPr>
              <w:t>一般行政管理事务</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51.35</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老龄事务</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1561.82</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基层政权和社区建设</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1362.56</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其他民政管理事务支出</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49.54</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死亡抚恤</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87.50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义务兵优待</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1154.13</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7.59%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其他优抚支出</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1681.00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退役士兵安置</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218.00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18"/>
                <w:szCs w:val="18"/>
                <w:lang w:val="en-US" w:eastAsia="zh-CN"/>
              </w:rPr>
              <w:t>军队移交政府的离退休人员安置</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2026.60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退役士兵管理教育</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4.40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其他退役安置支出</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2.00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儿童福利</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65.00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老年福利</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256.64</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殡葬</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47.00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其他社会福利支出</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5.41</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残疾人生活和护理补贴</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291.00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地方自然灾害生活补助</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1.00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自然灾害灾后重建补助</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42.20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城市最低生活保障金支出</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823.20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农村最低生活保障金支出</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2248.00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临时救助支出</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206.00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流浪乞讨人员救助支出</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43.00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城市特困人员救助供养支出</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7.80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农村特困人员救助供养支出</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219.13</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移民补助</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439.71</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其他城市生活救助</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15.00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其他社会保障和就业支出</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135.83</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城乡医疗救助</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615.01</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优抚对象医疗补助</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56.40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其他农业支出</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0.82</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水利工程建设</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150.00</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农业保险保费补贴</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3.19</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福利彩票销售机构的业务费</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53.93</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彩票市场调控资金支出</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40.00</w:t>
            </w:r>
          </w:p>
        </w:tc>
        <w:tc>
          <w:tcPr>
            <w:tcW w:w="2841" w:type="dxa"/>
            <w:tcBorders>
              <w:top w:val="single" w:color="auto" w:sz="4" w:space="0"/>
              <w:left w:val="single" w:color="auto" w:sz="4" w:space="0"/>
              <w:bottom w:val="single" w:color="auto" w:sz="4" w:space="0"/>
              <w:right w:val="single" w:color="auto" w:sz="4" w:space="0"/>
            </w:tcBorders>
            <w:shd w:val="clear" w:color="auto" w:fill="FFFFFF"/>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用于社会福利的彩票公益金</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808.33</w:t>
            </w:r>
          </w:p>
        </w:tc>
        <w:tc>
          <w:tcPr>
            <w:tcW w:w="2841" w:type="dxa"/>
            <w:tcBorders>
              <w:top w:val="single" w:color="auto" w:sz="4" w:space="0"/>
              <w:left w:val="single" w:color="auto" w:sz="4" w:space="0"/>
              <w:bottom w:val="single" w:color="auto" w:sz="4" w:space="0"/>
              <w:right w:val="single" w:color="auto" w:sz="4" w:space="0"/>
            </w:tcBorders>
            <w:shd w:val="clear" w:color="auto" w:fill="D7E3BC"/>
            <w:vAlign w:val="top"/>
          </w:tcPr>
          <w:p>
            <w:pPr>
              <w:pStyle w:val="4"/>
              <w:spacing w:line="52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5.32%</w:t>
            </w:r>
          </w:p>
        </w:tc>
      </w:tr>
    </w:tbl>
    <w:p>
      <w:pPr>
        <w:pStyle w:val="4"/>
        <w:wordWrap/>
        <w:adjustRightInd/>
        <w:snapToGrid/>
        <w:spacing w:before="0" w:beforeAutospacing="0" w:after="0" w:afterAutospacing="0" w:line="556" w:lineRule="exact"/>
        <w:ind w:left="0" w:leftChars="0" w:right="0" w:firstLine="482" w:firstLineChars="150"/>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（二）2017年度财政拨款收入支出总体情况说明</w:t>
      </w:r>
    </w:p>
    <w:p>
      <w:pPr>
        <w:pStyle w:val="4"/>
        <w:numPr>
          <w:ilvl w:val="0"/>
          <w:numId w:val="6"/>
        </w:numPr>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sz w:val="32"/>
          <w:szCs w:val="32"/>
        </w:rPr>
        <w:t>财政拨款收入支出总体情况</w:t>
      </w:r>
    </w:p>
    <w:p>
      <w:pPr>
        <w:pStyle w:val="4"/>
        <w:numPr>
          <w:ilvl w:val="0"/>
          <w:numId w:val="0"/>
        </w:numPr>
        <w:wordWrap/>
        <w:adjustRightInd/>
        <w:snapToGrid/>
        <w:spacing w:before="0" w:beforeAutospacing="0" w:after="0" w:afterAutospacing="0" w:line="556" w:lineRule="exact"/>
        <w:ind w:right="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 xml:space="preserve">    2017年</w:t>
      </w:r>
      <w:r>
        <w:rPr>
          <w:rFonts w:hint="eastAsia" w:ascii="仿宋_GB2312" w:hAnsi="仿宋_GB2312" w:eastAsia="仿宋_GB2312" w:cs="仿宋_GB2312"/>
          <w:sz w:val="32"/>
          <w:szCs w:val="32"/>
        </w:rPr>
        <w:t>财政拨款</w:t>
      </w:r>
      <w:r>
        <w:rPr>
          <w:rFonts w:hint="eastAsia" w:ascii="仿宋_GB2312" w:hAnsi="仿宋_GB2312" w:eastAsia="仿宋_GB2312" w:cs="仿宋_GB2312"/>
          <w:sz w:val="32"/>
          <w:szCs w:val="32"/>
          <w:lang w:eastAsia="zh-CN"/>
        </w:rPr>
        <w:t>收入</w:t>
      </w:r>
      <w:r>
        <w:rPr>
          <w:rFonts w:hint="eastAsia" w:ascii="仿宋_GB2312" w:hAnsi="仿宋_GB2312" w:eastAsia="仿宋_GB2312" w:cs="仿宋_GB2312"/>
          <w:sz w:val="32"/>
          <w:szCs w:val="32"/>
          <w:lang w:val="en-US" w:eastAsia="zh-CN"/>
        </w:rPr>
        <w:t>15170.22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较上年</w:t>
      </w:r>
      <w:r>
        <w:rPr>
          <w:rFonts w:hint="eastAsia" w:ascii="仿宋_GB2312" w:hAnsi="仿宋_GB2312" w:eastAsia="仿宋_GB2312" w:cs="仿宋_GB2312"/>
          <w:sz w:val="32"/>
          <w:szCs w:val="32"/>
          <w:lang w:val="en-US" w:eastAsia="zh-CN"/>
        </w:rPr>
        <w:t>11050.83万元</w:t>
      </w:r>
      <w:r>
        <w:rPr>
          <w:rFonts w:hint="eastAsia" w:ascii="仿宋_GB2312" w:hAnsi="仿宋_GB2312" w:eastAsia="仿宋_GB2312" w:cs="仿宋_GB2312"/>
          <w:sz w:val="32"/>
          <w:szCs w:val="32"/>
        </w:rPr>
        <w:t>增加</w:t>
      </w:r>
      <w:r>
        <w:rPr>
          <w:rFonts w:hint="eastAsia" w:ascii="仿宋_GB2312" w:hAnsi="仿宋_GB2312" w:eastAsia="仿宋_GB2312" w:cs="仿宋_GB2312"/>
          <w:sz w:val="32"/>
          <w:szCs w:val="32"/>
          <w:lang w:val="en-US" w:eastAsia="zh-CN"/>
        </w:rPr>
        <w:t>4119.39</w:t>
      </w:r>
      <w:r>
        <w:rPr>
          <w:rFonts w:hint="eastAsia" w:ascii="仿宋_GB2312" w:hAnsi="仿宋_GB2312" w:eastAsia="仿宋_GB2312" w:cs="仿宋_GB2312"/>
          <w:sz w:val="32"/>
          <w:szCs w:val="32"/>
        </w:rPr>
        <w:t>万元，主要原因是</w:t>
      </w:r>
      <w:r>
        <w:rPr>
          <w:rFonts w:hint="eastAsia" w:ascii="仿宋_GB2312" w:hAnsi="仿宋_GB2312" w:eastAsia="仿宋_GB2312" w:cs="仿宋_GB2312"/>
          <w:color w:val="000000"/>
          <w:sz w:val="32"/>
          <w:szCs w:val="32"/>
        </w:rPr>
        <w:t>随着各级对民政事业的关注度不断提高</w:t>
      </w:r>
      <w:r>
        <w:rPr>
          <w:rFonts w:hint="eastAsia" w:ascii="仿宋_GB2312" w:hAnsi="仿宋_GB2312" w:eastAsia="仿宋_GB2312" w:cs="仿宋_GB2312"/>
          <w:color w:val="000000"/>
          <w:sz w:val="32"/>
          <w:szCs w:val="32"/>
          <w:lang w:eastAsia="zh-CN"/>
        </w:rPr>
        <w:t>，涉及人民群众关心的民生项目支出增加。</w:t>
      </w:r>
      <w:r>
        <w:rPr>
          <w:rFonts w:hint="eastAsia" w:ascii="仿宋_GB2312" w:hAnsi="仿宋_GB2312" w:eastAsia="仿宋_GB2312" w:cs="仿宋_GB2312"/>
          <w:sz w:val="32"/>
          <w:szCs w:val="32"/>
          <w:lang w:val="en-US" w:eastAsia="zh-CN"/>
        </w:rPr>
        <w:t>2017年财政拨款支出15210.63</w:t>
      </w:r>
      <w:r>
        <w:rPr>
          <w:rFonts w:hint="eastAsia" w:ascii="仿宋_GB2312" w:hAnsi="仿宋_GB2312" w:eastAsia="仿宋_GB2312" w:cs="仿宋_GB2312"/>
          <w:sz w:val="32"/>
          <w:szCs w:val="32"/>
        </w:rPr>
        <w:t>万元。比上年</w:t>
      </w:r>
      <w:r>
        <w:rPr>
          <w:rFonts w:hint="eastAsia" w:ascii="仿宋_GB2312" w:hAnsi="仿宋_GB2312" w:eastAsia="仿宋_GB2312" w:cs="仿宋_GB2312"/>
          <w:sz w:val="32"/>
          <w:szCs w:val="32"/>
          <w:lang w:val="en-US" w:eastAsia="zh-CN"/>
        </w:rPr>
        <w:t>13197.18万元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2013.45</w:t>
      </w:r>
      <w:r>
        <w:rPr>
          <w:rFonts w:hint="eastAsia" w:ascii="仿宋_GB2312" w:hAnsi="仿宋_GB2312" w:eastAsia="仿宋_GB2312" w:cs="仿宋_GB2312"/>
          <w:sz w:val="32"/>
          <w:szCs w:val="32"/>
        </w:rPr>
        <w:t>万元，主要原因是</w:t>
      </w:r>
      <w:r>
        <w:rPr>
          <w:rFonts w:hint="eastAsia" w:ascii="仿宋_GB2312" w:hAnsi="仿宋_GB2312" w:eastAsia="仿宋_GB2312" w:cs="仿宋_GB2312"/>
          <w:color w:val="000000"/>
          <w:sz w:val="32"/>
          <w:szCs w:val="32"/>
          <w:lang w:eastAsia="zh-CN"/>
        </w:rPr>
        <w:t>残疾人生活和护理补贴项目</w:t>
      </w:r>
      <w:r>
        <w:rPr>
          <w:rFonts w:hint="eastAsia" w:ascii="仿宋_GB2312" w:hAnsi="仿宋_GB2312" w:eastAsia="仿宋_GB2312" w:cs="仿宋_GB2312"/>
          <w:color w:val="000000"/>
          <w:sz w:val="32"/>
          <w:szCs w:val="32"/>
          <w:lang w:val="en-US" w:eastAsia="zh-CN"/>
        </w:rPr>
        <w:t>2017年起此业务由区残联移交我单位发放、并且2017年度老龄事务支出及抚恤支出较上年增长</w:t>
      </w:r>
      <w:r>
        <w:rPr>
          <w:rFonts w:hint="eastAsia" w:ascii="仿宋_GB2312" w:hAnsi="仿宋_GB2312" w:eastAsia="仿宋_GB2312" w:cs="仿宋_GB2312"/>
          <w:sz w:val="32"/>
          <w:szCs w:val="32"/>
        </w:rPr>
        <w:t>。</w:t>
      </w:r>
    </w:p>
    <w:p>
      <w:pPr>
        <w:pStyle w:val="4"/>
        <w:numPr>
          <w:ilvl w:val="0"/>
          <w:numId w:val="7"/>
        </w:numPr>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一般公共预算财政拨款支出情况</w:t>
      </w:r>
    </w:p>
    <w:p>
      <w:pPr>
        <w:pStyle w:val="4"/>
        <w:numPr>
          <w:ilvl w:val="0"/>
          <w:numId w:val="0"/>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2017年度一般公共预算财政拨款支出</w:t>
      </w:r>
      <w:r>
        <w:rPr>
          <w:rFonts w:hint="eastAsia" w:ascii="仿宋_GB2312" w:hAnsi="仿宋_GB2312" w:eastAsia="仿宋_GB2312" w:cs="仿宋_GB2312"/>
          <w:sz w:val="32"/>
          <w:szCs w:val="32"/>
          <w:lang w:val="en-US" w:eastAsia="zh-CN"/>
        </w:rPr>
        <w:t>13868.66</w:t>
      </w:r>
      <w:r>
        <w:rPr>
          <w:rFonts w:hint="eastAsia" w:ascii="仿宋_GB2312" w:hAnsi="仿宋_GB2312" w:eastAsia="仿宋_GB2312" w:cs="仿宋_GB2312"/>
          <w:sz w:val="32"/>
          <w:szCs w:val="32"/>
        </w:rPr>
        <w:t>万元，按支出功能科目分，包括:</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教育支出</w:t>
      </w:r>
      <w:r>
        <w:rPr>
          <w:rFonts w:hint="eastAsia" w:ascii="仿宋_GB2312" w:hAnsi="仿宋_GB2312" w:eastAsia="仿宋_GB2312" w:cs="仿宋_GB2312"/>
          <w:color w:val="000000"/>
          <w:sz w:val="32"/>
          <w:szCs w:val="32"/>
          <w:lang w:val="en-US" w:eastAsia="zh-CN"/>
        </w:rPr>
        <w:t>2.60</w:t>
      </w:r>
      <w:r>
        <w:rPr>
          <w:rFonts w:hint="eastAsia" w:ascii="仿宋_GB2312" w:hAnsi="仿宋_GB2312" w:eastAsia="仿宋_GB2312" w:cs="仿宋_GB2312"/>
          <w:color w:val="000000"/>
          <w:sz w:val="32"/>
          <w:szCs w:val="32"/>
        </w:rPr>
        <w:t>万元，其中：</w:t>
      </w:r>
      <w:r>
        <w:rPr>
          <w:rFonts w:hint="eastAsia" w:ascii="仿宋_GB2312" w:hAnsi="仿宋_GB2312" w:eastAsia="仿宋_GB2312" w:cs="仿宋_GB2312"/>
          <w:color w:val="000000"/>
          <w:sz w:val="32"/>
          <w:szCs w:val="32"/>
          <w:lang w:eastAsia="zh-CN"/>
        </w:rPr>
        <w:t>其他教育支出</w:t>
      </w:r>
      <w:r>
        <w:rPr>
          <w:rFonts w:hint="eastAsia" w:ascii="仿宋_GB2312" w:hAnsi="仿宋_GB2312" w:eastAsia="仿宋_GB2312" w:cs="仿宋_GB2312"/>
          <w:color w:val="000000"/>
          <w:sz w:val="32"/>
          <w:szCs w:val="32"/>
          <w:lang w:val="en-US" w:eastAsia="zh-CN"/>
        </w:rPr>
        <w:t>2.60万元。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民政管理事务</w:t>
      </w:r>
      <w:r>
        <w:rPr>
          <w:rFonts w:hint="eastAsia" w:ascii="仿宋_GB2312" w:hAnsi="仿宋_GB2312" w:eastAsia="仿宋_GB2312" w:cs="仿宋_GB2312"/>
          <w:color w:val="000000"/>
          <w:sz w:val="32"/>
          <w:szCs w:val="32"/>
          <w:lang w:val="en-US" w:eastAsia="zh-CN"/>
        </w:rPr>
        <w:t>3389.50万元，其中：行政运行234.48万元；一般行政管理事务51.35万元；老龄事务1561.82万元；基层政权和社区建设1362.56万元；其他民政管理事务支出179.29万元。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lang w:val="en-US" w:eastAsia="zh-CN"/>
        </w:rPr>
        <w:t>抚恤2922.63万元，其中：死亡抚恤87.50万元；义务兵优待1154.13万元；其他优抚支出1681.00万元。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lang w:val="en-US" w:eastAsia="zh-CN"/>
        </w:rPr>
        <w:t>退役安置2322.30万元，其中：退役士兵安置218.00万元；</w:t>
      </w:r>
      <w:r>
        <w:rPr>
          <w:rFonts w:hint="eastAsia" w:ascii="仿宋_GB2312" w:hAnsi="仿宋_GB2312" w:eastAsia="仿宋_GB2312" w:cs="仿宋_GB2312"/>
          <w:sz w:val="32"/>
          <w:szCs w:val="32"/>
          <w:lang w:val="en-US" w:eastAsia="zh-CN"/>
        </w:rPr>
        <w:t>军队移交政府的离退休人员安置2026.60万元；军队移交政府离退休干部管理机构71.30万元；退役士兵管理教育4.40万元；其他退役安置支出2.00万元。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社会福利374.05万元，其中：儿童福利65.00万元；老年福利256.64万元；殡葬47.00万元；其他社会福利支出5.41万元。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残疾人事业291.00万元，其中：残疾人生活和护理补贴291.00万元。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自然灾害生活救助43.20万元，其中：地方自然灾害生活补助1.00万元；自然灾害灾后重建补助42.20万元。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最低生活保障3071.20万元，其中：城市最低生活保障金支出823.20万元；农村最低生活保障金支出2248.00万元。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临时救助249.00万元，其中：临时救助支出206.00万元；流浪乞讨人员救助支出43.00万元。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特困人员救助供养226.93万元，其中：城市特困人员救助供养支出7.80万元；农村特困人员救助供养支出219.13万元。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其他生活救助15.00万元，其中：其他城市生活救助15.00万元。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其他社会保障和就业支出135.83万元，其中：其他社会保障和就业支出135.83万元。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医疗救助615.01万元，其中：城乡医疗救助615.01万元。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优抚对象医疗56.40万元，其中：优抚对象医疗补助56.40万元。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农业0.82万元，其中：其他农业支出0.82万元。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水利150.00万元，其中：水利工程建设150.00万元。</w:t>
      </w:r>
    </w:p>
    <w:p>
      <w:pPr>
        <w:pStyle w:val="4"/>
        <w:numPr>
          <w:ilvl w:val="0"/>
          <w:numId w:val="8"/>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普惠金融发展支出3.19万元，其中：农业保险保费补贴3.19万元。</w:t>
      </w:r>
    </w:p>
    <w:p>
      <w:pPr>
        <w:pStyle w:val="4"/>
        <w:numPr>
          <w:ilvl w:val="0"/>
          <w:numId w:val="9"/>
        </w:numPr>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一般公共预算财政拨款基本支出决算情况</w:t>
      </w:r>
    </w:p>
    <w:p>
      <w:pPr>
        <w:pStyle w:val="4"/>
        <w:numPr>
          <w:ilvl w:val="0"/>
          <w:numId w:val="0"/>
        </w:numPr>
        <w:wordWrap/>
        <w:adjustRightInd/>
        <w:snapToGrid/>
        <w:spacing w:before="0" w:beforeAutospacing="0" w:after="0" w:afterAutospacing="0" w:line="556" w:lineRule="exact"/>
        <w:ind w:right="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2017年度一般公共预算财政拨款基本支出</w:t>
      </w:r>
      <w:r>
        <w:rPr>
          <w:rFonts w:hint="eastAsia" w:ascii="仿宋_GB2312" w:hAnsi="仿宋_GB2312" w:eastAsia="仿宋_GB2312" w:cs="仿宋_GB2312"/>
          <w:sz w:val="32"/>
          <w:szCs w:val="32"/>
          <w:lang w:val="en-US" w:eastAsia="zh-CN"/>
        </w:rPr>
        <w:t>435.53</w:t>
      </w:r>
      <w:r>
        <w:rPr>
          <w:rFonts w:hint="eastAsia" w:ascii="仿宋_GB2312" w:hAnsi="仿宋_GB2312" w:eastAsia="仿宋_GB2312" w:cs="仿宋_GB2312"/>
          <w:sz w:val="32"/>
          <w:szCs w:val="32"/>
        </w:rPr>
        <w:t>万元，其中：人员经费</w:t>
      </w:r>
      <w:r>
        <w:rPr>
          <w:rFonts w:hint="eastAsia" w:ascii="仿宋_GB2312" w:hAnsi="仿宋_GB2312" w:eastAsia="仿宋_GB2312" w:cs="仿宋_GB2312"/>
          <w:sz w:val="32"/>
          <w:szCs w:val="32"/>
          <w:lang w:val="en-US" w:eastAsia="zh-CN"/>
        </w:rPr>
        <w:t>367.36</w:t>
      </w:r>
      <w:r>
        <w:rPr>
          <w:rFonts w:hint="eastAsia" w:ascii="仿宋_GB2312" w:hAnsi="仿宋_GB2312" w:eastAsia="仿宋_GB2312" w:cs="仿宋_GB2312"/>
          <w:sz w:val="32"/>
          <w:szCs w:val="32"/>
        </w:rPr>
        <w:t>万元，公用经费</w:t>
      </w:r>
      <w:r>
        <w:rPr>
          <w:rFonts w:hint="eastAsia" w:ascii="仿宋_GB2312" w:hAnsi="仿宋_GB2312" w:eastAsia="仿宋_GB2312" w:cs="仿宋_GB2312"/>
          <w:sz w:val="32"/>
          <w:szCs w:val="32"/>
          <w:lang w:val="en-US" w:eastAsia="zh-CN"/>
        </w:rPr>
        <w:t>68.17</w:t>
      </w:r>
      <w:r>
        <w:rPr>
          <w:rFonts w:hint="eastAsia" w:ascii="仿宋_GB2312" w:hAnsi="仿宋_GB2312" w:eastAsia="仿宋_GB2312" w:cs="仿宋_GB2312"/>
          <w:sz w:val="32"/>
          <w:szCs w:val="32"/>
        </w:rPr>
        <w:t>万元，用于保障机构正常运转和日常工作需要。</w:t>
      </w:r>
    </w:p>
    <w:p>
      <w:pPr>
        <w:pStyle w:val="4"/>
        <w:numPr>
          <w:ilvl w:val="0"/>
          <w:numId w:val="10"/>
        </w:numPr>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政府性基金财政拨款收支情况</w:t>
      </w:r>
    </w:p>
    <w:p>
      <w:pPr>
        <w:pStyle w:val="4"/>
        <w:numPr>
          <w:ilvl w:val="0"/>
          <w:numId w:val="0"/>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2017年政府性基金财政拨款</w:t>
      </w:r>
      <w:r>
        <w:rPr>
          <w:rFonts w:hint="eastAsia" w:ascii="仿宋_GB2312" w:hAnsi="仿宋_GB2312" w:eastAsia="仿宋_GB2312" w:cs="仿宋_GB2312"/>
          <w:color w:val="000000"/>
          <w:sz w:val="32"/>
          <w:szCs w:val="32"/>
          <w:lang w:eastAsia="zh-CN"/>
        </w:rPr>
        <w:t>年初结转和结余</w:t>
      </w:r>
      <w:r>
        <w:rPr>
          <w:rFonts w:hint="eastAsia" w:ascii="仿宋_GB2312" w:hAnsi="仿宋_GB2312" w:eastAsia="仿宋_GB2312" w:cs="仿宋_GB2312"/>
          <w:color w:val="000000"/>
          <w:sz w:val="32"/>
          <w:szCs w:val="32"/>
          <w:lang w:val="en-US" w:eastAsia="zh-CN"/>
        </w:rPr>
        <w:t>35.19万元，本年</w:t>
      </w:r>
      <w:r>
        <w:rPr>
          <w:rFonts w:hint="eastAsia" w:ascii="仿宋_GB2312" w:hAnsi="仿宋_GB2312" w:eastAsia="仿宋_GB2312" w:cs="仿宋_GB2312"/>
          <w:color w:val="000000"/>
          <w:sz w:val="32"/>
          <w:szCs w:val="32"/>
        </w:rPr>
        <w:t>收入</w:t>
      </w:r>
      <w:r>
        <w:rPr>
          <w:rFonts w:hint="eastAsia" w:ascii="仿宋_GB2312" w:hAnsi="仿宋_GB2312" w:eastAsia="仿宋_GB2312" w:cs="仿宋_GB2312"/>
          <w:color w:val="000000"/>
          <w:sz w:val="32"/>
          <w:szCs w:val="32"/>
          <w:lang w:val="en-US" w:eastAsia="zh-CN"/>
        </w:rPr>
        <w:t>1587.19</w:t>
      </w:r>
      <w:r>
        <w:rPr>
          <w:rFonts w:hint="eastAsia" w:ascii="仿宋_GB2312" w:hAnsi="仿宋_GB2312" w:eastAsia="仿宋_GB2312" w:cs="仿宋_GB2312"/>
          <w:color w:val="000000"/>
          <w:sz w:val="32"/>
          <w:szCs w:val="32"/>
        </w:rPr>
        <w:t>万元，支出</w:t>
      </w:r>
      <w:r>
        <w:rPr>
          <w:rFonts w:hint="eastAsia" w:ascii="仿宋_GB2312" w:hAnsi="仿宋_GB2312" w:eastAsia="仿宋_GB2312" w:cs="仿宋_GB2312"/>
          <w:color w:val="000000"/>
          <w:sz w:val="32"/>
          <w:szCs w:val="32"/>
          <w:lang w:val="en-US" w:eastAsia="zh-CN"/>
        </w:rPr>
        <w:t>1341.97</w:t>
      </w:r>
      <w:r>
        <w:rPr>
          <w:rFonts w:hint="eastAsia" w:ascii="仿宋_GB2312" w:hAnsi="仿宋_GB2312" w:eastAsia="仿宋_GB2312" w:cs="仿宋_GB2312"/>
          <w:color w:val="000000"/>
          <w:sz w:val="32"/>
          <w:szCs w:val="32"/>
        </w:rPr>
        <w:t>万元，结转结余</w:t>
      </w:r>
      <w:r>
        <w:rPr>
          <w:rFonts w:hint="eastAsia" w:ascii="仿宋_GB2312" w:hAnsi="仿宋_GB2312" w:eastAsia="仿宋_GB2312" w:cs="仿宋_GB2312"/>
          <w:color w:val="000000"/>
          <w:sz w:val="32"/>
          <w:szCs w:val="32"/>
          <w:lang w:val="en-US" w:eastAsia="zh-CN"/>
        </w:rPr>
        <w:t>280.41</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sz w:val="32"/>
          <w:szCs w:val="32"/>
        </w:rPr>
        <w:t>按支出功能科目分，包括:</w:t>
      </w:r>
    </w:p>
    <w:p>
      <w:pPr>
        <w:pStyle w:val="4"/>
        <w:numPr>
          <w:ilvl w:val="0"/>
          <w:numId w:val="11"/>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大中型水库移民后期扶持基金支出</w:t>
      </w:r>
      <w:r>
        <w:rPr>
          <w:rFonts w:hint="eastAsia" w:ascii="仿宋_GB2312" w:hAnsi="仿宋_GB2312" w:eastAsia="仿宋_GB2312" w:cs="仿宋_GB2312"/>
          <w:color w:val="000000"/>
          <w:sz w:val="32"/>
          <w:szCs w:val="32"/>
          <w:lang w:val="en-US" w:eastAsia="zh-CN"/>
        </w:rPr>
        <w:t>439.71万元，其中：移民补助439.71万元。</w:t>
      </w:r>
    </w:p>
    <w:p>
      <w:pPr>
        <w:pStyle w:val="4"/>
        <w:numPr>
          <w:ilvl w:val="0"/>
          <w:numId w:val="11"/>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彩票发行销售机构业务费安排的支出93.93万元，其中：福利彩票销售机构的业务费支出53.93万元；彩票市场调控资金支出40.00万元。</w:t>
      </w:r>
    </w:p>
    <w:p>
      <w:pPr>
        <w:pStyle w:val="4"/>
        <w:numPr>
          <w:ilvl w:val="0"/>
          <w:numId w:val="11"/>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彩票公益金及对应专项债务收入安排的支出808.33万元，用于社会福利的彩票公益金支出808.33万元。</w:t>
      </w:r>
    </w:p>
    <w:p>
      <w:pPr>
        <w:pStyle w:val="4"/>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5.国有资本经营财政拨款收支情况</w:t>
      </w:r>
    </w:p>
    <w:p>
      <w:pPr>
        <w:wordWrap/>
        <w:adjustRightInd/>
        <w:snapToGrid/>
        <w:spacing w:beforeAutospacing="0" w:afterAutospacing="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本部门无国有资本经营决算拨款收支。</w:t>
      </w:r>
    </w:p>
    <w:p>
      <w:pPr>
        <w:pStyle w:val="4"/>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6.政府采购支出情况</w:t>
      </w:r>
    </w:p>
    <w:p>
      <w:pPr>
        <w:wordWrap/>
        <w:adjustRightInd/>
        <w:snapToGrid/>
        <w:spacing w:line="556" w:lineRule="exact"/>
        <w:ind w:left="0" w:leftChars="0" w:right="0"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2017年本部门政府采购支出总额</w:t>
      </w:r>
      <w:r>
        <w:rPr>
          <w:rFonts w:hint="eastAsia" w:ascii="仿宋_GB2312" w:hAnsi="仿宋_GB2312" w:eastAsia="仿宋_GB2312" w:cs="仿宋_GB2312"/>
          <w:sz w:val="32"/>
          <w:szCs w:val="32"/>
          <w:lang w:val="en-US" w:eastAsia="zh-CN"/>
        </w:rPr>
        <w:t>117.94</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13.82</w:t>
      </w:r>
      <w:r>
        <w:rPr>
          <w:rFonts w:hint="eastAsia" w:ascii="仿宋_GB2312" w:hAnsi="仿宋_GB2312" w:eastAsia="仿宋_GB2312" w:cs="仿宋_GB2312"/>
          <w:sz w:val="32"/>
          <w:szCs w:val="32"/>
        </w:rPr>
        <w:t>万元、政府采购工程支出</w:t>
      </w:r>
      <w:r>
        <w:rPr>
          <w:rFonts w:hint="eastAsia" w:ascii="仿宋_GB2312" w:hAnsi="仿宋_GB2312" w:eastAsia="仿宋_GB2312" w:cs="仿宋_GB2312"/>
          <w:sz w:val="32"/>
          <w:szCs w:val="32"/>
          <w:lang w:val="en-US" w:eastAsia="zh-CN"/>
        </w:rPr>
        <w:t>104.12</w:t>
      </w:r>
      <w:r>
        <w:rPr>
          <w:rFonts w:hint="eastAsia" w:ascii="仿宋_GB2312" w:hAnsi="仿宋_GB2312" w:eastAsia="仿宋_GB2312" w:cs="仿宋_GB2312"/>
          <w:sz w:val="32"/>
          <w:szCs w:val="32"/>
        </w:rPr>
        <w:t>万元、政府采购服务支出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wordWrap/>
        <w:adjustRightInd/>
        <w:snapToGrid/>
        <w:spacing w:beforeAutospacing="0" w:afterAutospacing="0" w:line="556" w:lineRule="exact"/>
        <w:ind w:left="0" w:leftChars="0" w:right="0" w:firstLine="643" w:firstLineChars="200"/>
        <w:textAlignment w:val="auto"/>
        <w:outlineLvl w:val="9"/>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(三)</w:t>
      </w:r>
      <w:r>
        <w:rPr>
          <w:rFonts w:hint="eastAsia" w:ascii="仿宋_GB2312" w:hAnsi="仿宋_GB2312" w:eastAsia="仿宋_GB2312" w:cs="仿宋_GB2312"/>
          <w:b/>
          <w:bCs w:val="0"/>
          <w:sz w:val="32"/>
          <w:szCs w:val="32"/>
        </w:rPr>
        <w:t>017年“三公”经费、培训费及会议费支出情况</w:t>
      </w:r>
    </w:p>
    <w:p>
      <w:pPr>
        <w:pStyle w:val="4"/>
        <w:numPr>
          <w:ilvl w:val="0"/>
          <w:numId w:val="12"/>
        </w:numPr>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“三公”经费</w:t>
      </w:r>
      <w:r>
        <w:rPr>
          <w:rFonts w:hint="eastAsia" w:ascii="仿宋_GB2312" w:hAnsi="仿宋_GB2312" w:eastAsia="仿宋_GB2312" w:cs="仿宋_GB2312"/>
          <w:b/>
          <w:bCs/>
          <w:sz w:val="32"/>
          <w:szCs w:val="32"/>
          <w:lang w:eastAsia="zh-CN"/>
        </w:rPr>
        <w:t>财政拨款支出</w:t>
      </w:r>
      <w:r>
        <w:rPr>
          <w:rFonts w:hint="eastAsia" w:ascii="仿宋_GB2312" w:hAnsi="仿宋_GB2312" w:eastAsia="仿宋_GB2312" w:cs="仿宋_GB2312"/>
          <w:b/>
          <w:bCs/>
          <w:sz w:val="32"/>
          <w:szCs w:val="32"/>
        </w:rPr>
        <w:t>总体情况</w:t>
      </w:r>
      <w:r>
        <w:rPr>
          <w:rFonts w:hint="eastAsia" w:ascii="仿宋_GB2312" w:hAnsi="仿宋_GB2312" w:eastAsia="仿宋_GB2312" w:cs="仿宋_GB2312"/>
          <w:b/>
          <w:bCs/>
          <w:sz w:val="32"/>
          <w:szCs w:val="32"/>
          <w:lang w:eastAsia="zh-CN"/>
        </w:rPr>
        <w:t>说明</w:t>
      </w:r>
    </w:p>
    <w:p>
      <w:pPr>
        <w:pStyle w:val="4"/>
        <w:numPr>
          <w:ilvl w:val="0"/>
          <w:numId w:val="0"/>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2017年度一般公共预算财政拨款安排的“三公经费”支出</w:t>
      </w:r>
      <w:r>
        <w:rPr>
          <w:rFonts w:hint="eastAsia" w:ascii="仿宋_GB2312" w:hAnsi="仿宋_GB2312" w:eastAsia="仿宋_GB2312" w:cs="仿宋_GB2312"/>
          <w:sz w:val="32"/>
          <w:szCs w:val="32"/>
          <w:lang w:val="en-US" w:eastAsia="zh-CN"/>
        </w:rPr>
        <w:t>15.37</w:t>
      </w:r>
      <w:r>
        <w:rPr>
          <w:rFonts w:hint="eastAsia" w:ascii="仿宋_GB2312" w:hAnsi="仿宋_GB2312" w:eastAsia="仿宋_GB2312" w:cs="仿宋_GB2312"/>
          <w:sz w:val="32"/>
          <w:szCs w:val="32"/>
        </w:rPr>
        <w:t>万元，其中，因公出国（境）费用</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万元，公务用车购置及运行维护费</w:t>
      </w:r>
      <w:r>
        <w:rPr>
          <w:rFonts w:hint="eastAsia" w:ascii="仿宋_GB2312" w:hAnsi="仿宋_GB2312" w:eastAsia="仿宋_GB2312" w:cs="仿宋_GB2312"/>
          <w:sz w:val="32"/>
          <w:szCs w:val="32"/>
          <w:lang w:val="en-US" w:eastAsia="zh-CN"/>
        </w:rPr>
        <w:t>13.26</w:t>
      </w:r>
      <w:r>
        <w:rPr>
          <w:rFonts w:hint="eastAsia" w:ascii="仿宋_GB2312" w:hAnsi="仿宋_GB2312" w:eastAsia="仿宋_GB2312" w:cs="仿宋_GB2312"/>
          <w:sz w:val="32"/>
          <w:szCs w:val="32"/>
        </w:rPr>
        <w:t>万元，公务接待费</w:t>
      </w:r>
      <w:r>
        <w:rPr>
          <w:rFonts w:hint="eastAsia" w:ascii="仿宋_GB2312" w:hAnsi="仿宋_GB2312" w:eastAsia="仿宋_GB2312" w:cs="仿宋_GB2312"/>
          <w:sz w:val="32"/>
          <w:szCs w:val="32"/>
          <w:lang w:val="en-US" w:eastAsia="zh-CN"/>
        </w:rPr>
        <w:t>2.11</w:t>
      </w:r>
      <w:r>
        <w:rPr>
          <w:rFonts w:hint="eastAsia" w:ascii="仿宋_GB2312" w:hAnsi="仿宋_GB2312" w:eastAsia="仿宋_GB2312" w:cs="仿宋_GB2312"/>
          <w:sz w:val="32"/>
          <w:szCs w:val="32"/>
        </w:rPr>
        <w:t>万元。2017年度“三公经费”支出比2016年减少</w:t>
      </w:r>
      <w:r>
        <w:rPr>
          <w:rFonts w:hint="eastAsia" w:ascii="仿宋_GB2312" w:hAnsi="仿宋_GB2312" w:eastAsia="仿宋_GB2312" w:cs="仿宋_GB2312"/>
          <w:sz w:val="32"/>
          <w:szCs w:val="32"/>
          <w:lang w:val="en-US" w:eastAsia="zh-CN"/>
        </w:rPr>
        <w:t>1.35</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8.08</w:t>
      </w:r>
      <w:r>
        <w:rPr>
          <w:rFonts w:hint="eastAsia" w:ascii="仿宋_GB2312" w:hAnsi="仿宋_GB2312" w:eastAsia="仿宋_GB2312" w:cs="仿宋_GB2312"/>
          <w:sz w:val="32"/>
          <w:szCs w:val="32"/>
        </w:rPr>
        <w:t>%,其中：</w:t>
      </w:r>
    </w:p>
    <w:p>
      <w:pPr>
        <w:pStyle w:val="4"/>
        <w:numPr>
          <w:ilvl w:val="0"/>
          <w:numId w:val="0"/>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color w:val="000000"/>
          <w:sz w:val="32"/>
          <w:szCs w:val="32"/>
        </w:rPr>
        <w:t>2017年我单位因公出国实际支出</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2016年</w:t>
      </w:r>
      <w:r>
        <w:rPr>
          <w:rFonts w:hint="eastAsia" w:ascii="仿宋_GB2312" w:hAnsi="仿宋_GB2312" w:eastAsia="仿宋_GB2312" w:cs="仿宋_GB2312"/>
          <w:color w:val="000000"/>
          <w:sz w:val="32"/>
          <w:szCs w:val="32"/>
        </w:rPr>
        <w:t>因公出国实际支出</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，无变化。</w:t>
      </w:r>
    </w:p>
    <w:p>
      <w:pPr>
        <w:pStyle w:val="4"/>
        <w:numPr>
          <w:ilvl w:val="0"/>
          <w:numId w:val="0"/>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color w:val="000000"/>
          <w:sz w:val="32"/>
          <w:szCs w:val="32"/>
        </w:rPr>
        <w:t>2017年购置车辆</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台，经费支出</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万元；201</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年购置车辆</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台，经费支出</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万元；2017年公务用车运行维护支出</w:t>
      </w:r>
      <w:r>
        <w:rPr>
          <w:rFonts w:hint="eastAsia" w:ascii="仿宋_GB2312" w:hAnsi="仿宋_GB2312" w:eastAsia="仿宋_GB2312" w:cs="仿宋_GB2312"/>
          <w:color w:val="000000"/>
          <w:sz w:val="32"/>
          <w:szCs w:val="32"/>
          <w:lang w:val="en-US" w:eastAsia="zh-CN"/>
        </w:rPr>
        <w:t>13.26</w:t>
      </w:r>
      <w:r>
        <w:rPr>
          <w:rFonts w:hint="eastAsia" w:ascii="仿宋_GB2312" w:hAnsi="仿宋_GB2312" w:eastAsia="仿宋_GB2312" w:cs="仿宋_GB2312"/>
          <w:color w:val="000000"/>
          <w:sz w:val="32"/>
          <w:szCs w:val="32"/>
        </w:rPr>
        <w:t>万元，较2016年</w:t>
      </w:r>
      <w:r>
        <w:rPr>
          <w:rFonts w:hint="eastAsia" w:ascii="仿宋_GB2312" w:hAnsi="仿宋_GB2312" w:eastAsia="仿宋_GB2312" w:cs="仿宋_GB2312"/>
          <w:sz w:val="32"/>
          <w:szCs w:val="32"/>
        </w:rPr>
        <w:t>下降</w:t>
      </w:r>
      <w:r>
        <w:rPr>
          <w:rFonts w:hint="eastAsia" w:ascii="仿宋_GB2312" w:hAnsi="仿宋_GB2312" w:eastAsia="仿宋_GB2312" w:cs="仿宋_GB2312"/>
          <w:sz w:val="32"/>
          <w:szCs w:val="32"/>
          <w:lang w:val="en-US" w:eastAsia="zh-CN"/>
        </w:rPr>
        <w:t>15.17</w:t>
      </w:r>
      <w:r>
        <w:rPr>
          <w:rFonts w:hint="eastAsia" w:ascii="仿宋_GB2312" w:hAnsi="仿宋_GB2312" w:eastAsia="仿宋_GB2312" w:cs="仿宋_GB2312"/>
          <w:color w:val="000000"/>
          <w:sz w:val="32"/>
          <w:szCs w:val="32"/>
        </w:rPr>
        <w:t>%，原因</w:t>
      </w:r>
      <w:r>
        <w:rPr>
          <w:rFonts w:hint="eastAsia" w:ascii="仿宋_GB2312" w:hAnsi="仿宋_GB2312" w:eastAsia="仿宋_GB2312" w:cs="仿宋_GB2312"/>
          <w:color w:val="000000"/>
          <w:sz w:val="32"/>
          <w:szCs w:val="32"/>
          <w:lang w:eastAsia="zh-CN"/>
        </w:rPr>
        <w:t>为严格压缩</w:t>
      </w:r>
      <w:r>
        <w:rPr>
          <w:rFonts w:hint="eastAsia" w:ascii="仿宋_GB2312" w:hAnsi="仿宋_GB2312" w:eastAsia="仿宋_GB2312" w:cs="仿宋_GB2312"/>
          <w:color w:val="000000"/>
          <w:sz w:val="32"/>
          <w:szCs w:val="32"/>
        </w:rPr>
        <w:t>公务用车运行维护</w:t>
      </w:r>
      <w:r>
        <w:rPr>
          <w:rFonts w:hint="eastAsia" w:ascii="仿宋_GB2312" w:hAnsi="仿宋_GB2312" w:eastAsia="仿宋_GB2312" w:cs="仿宋_GB2312"/>
          <w:color w:val="000000"/>
          <w:sz w:val="32"/>
          <w:szCs w:val="32"/>
          <w:lang w:eastAsia="zh-CN"/>
        </w:rPr>
        <w:t>开支</w:t>
      </w:r>
      <w:r>
        <w:rPr>
          <w:rFonts w:hint="eastAsia" w:ascii="仿宋_GB2312" w:hAnsi="仿宋_GB2312" w:eastAsia="仿宋_GB2312" w:cs="仿宋_GB2312"/>
          <w:color w:val="000000"/>
          <w:sz w:val="32"/>
          <w:szCs w:val="32"/>
        </w:rPr>
        <w:t>。</w:t>
      </w:r>
    </w:p>
    <w:p>
      <w:pPr>
        <w:pStyle w:val="4"/>
        <w:numPr>
          <w:ilvl w:val="0"/>
          <w:numId w:val="0"/>
        </w:numPr>
        <w:wordWrap/>
        <w:adjustRightInd/>
        <w:snapToGrid/>
        <w:spacing w:before="0" w:beforeAutospacing="0" w:after="0" w:afterAutospacing="0" w:line="556" w:lineRule="exact"/>
        <w:ind w:right="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sz w:val="32"/>
          <w:szCs w:val="32"/>
        </w:rPr>
        <w:t>公务接待费用支出</w:t>
      </w:r>
      <w:r>
        <w:rPr>
          <w:rFonts w:hint="eastAsia" w:ascii="仿宋_GB2312" w:hAnsi="仿宋_GB2312" w:eastAsia="仿宋_GB2312" w:cs="仿宋_GB2312"/>
          <w:color w:val="000000"/>
          <w:sz w:val="32"/>
          <w:szCs w:val="32"/>
          <w:lang w:val="en-US" w:eastAsia="zh-CN"/>
        </w:rPr>
        <w:t>2.11</w:t>
      </w:r>
      <w:r>
        <w:rPr>
          <w:rFonts w:hint="eastAsia" w:ascii="仿宋_GB2312" w:hAnsi="仿宋_GB2312" w:eastAsia="仿宋_GB2312" w:cs="仿宋_GB2312"/>
          <w:color w:val="000000"/>
          <w:sz w:val="32"/>
          <w:szCs w:val="32"/>
        </w:rPr>
        <w:t>万元，主要包括</w:t>
      </w:r>
      <w:r>
        <w:rPr>
          <w:rFonts w:hint="eastAsia" w:ascii="仿宋_GB2312" w:hAnsi="仿宋_GB2312" w:eastAsia="仿宋_GB2312" w:cs="仿宋_GB2312"/>
          <w:color w:val="000000"/>
          <w:sz w:val="32"/>
          <w:szCs w:val="32"/>
          <w:lang w:eastAsia="zh-CN"/>
        </w:rPr>
        <w:t>上级部门检查工作接待费支出</w:t>
      </w:r>
      <w:r>
        <w:rPr>
          <w:rFonts w:hint="eastAsia" w:ascii="仿宋_GB2312" w:hAnsi="仿宋_GB2312" w:eastAsia="仿宋_GB2312" w:cs="仿宋_GB2312"/>
          <w:color w:val="000000"/>
          <w:sz w:val="32"/>
          <w:szCs w:val="32"/>
        </w:rPr>
        <w:t>。较2016年</w:t>
      </w:r>
      <w:r>
        <w:rPr>
          <w:rFonts w:hint="eastAsia" w:ascii="仿宋_GB2312" w:hAnsi="仿宋_GB2312" w:eastAsia="仿宋_GB2312" w:cs="仿宋_GB2312"/>
          <w:sz w:val="32"/>
          <w:szCs w:val="32"/>
        </w:rPr>
        <w:t>增长</w:t>
      </w:r>
      <w:r>
        <w:rPr>
          <w:rFonts w:hint="eastAsia" w:ascii="仿宋_GB2312" w:hAnsi="仿宋_GB2312" w:eastAsia="仿宋_GB2312" w:cs="仿宋_GB2312"/>
          <w:color w:val="000000"/>
          <w:sz w:val="32"/>
          <w:szCs w:val="32"/>
          <w:lang w:val="en-US" w:eastAsia="zh-CN"/>
        </w:rPr>
        <w:t>93.58</w:t>
      </w:r>
      <w:r>
        <w:rPr>
          <w:rFonts w:hint="eastAsia" w:ascii="仿宋_GB2312" w:hAnsi="仿宋_GB2312" w:eastAsia="仿宋_GB2312" w:cs="仿宋_GB2312"/>
          <w:color w:val="000000"/>
          <w:sz w:val="32"/>
          <w:szCs w:val="32"/>
        </w:rPr>
        <w:t>%，累计接待</w:t>
      </w:r>
      <w:r>
        <w:rPr>
          <w:rFonts w:hint="eastAsia" w:ascii="仿宋_GB2312" w:hAnsi="仿宋_GB2312" w:eastAsia="仿宋_GB2312" w:cs="仿宋_GB2312"/>
          <w:color w:val="000000"/>
          <w:sz w:val="32"/>
          <w:szCs w:val="32"/>
          <w:lang w:val="en-US" w:eastAsia="zh-CN"/>
        </w:rPr>
        <w:t>29</w:t>
      </w:r>
      <w:r>
        <w:rPr>
          <w:rFonts w:hint="eastAsia" w:ascii="仿宋_GB2312" w:hAnsi="仿宋_GB2312" w:eastAsia="仿宋_GB2312" w:cs="仿宋_GB2312"/>
          <w:color w:val="000000"/>
          <w:sz w:val="32"/>
          <w:szCs w:val="32"/>
        </w:rPr>
        <w:t>批次、</w:t>
      </w:r>
      <w:r>
        <w:rPr>
          <w:rFonts w:hint="eastAsia" w:ascii="仿宋_GB2312" w:hAnsi="仿宋_GB2312" w:eastAsia="仿宋_GB2312" w:cs="仿宋_GB2312"/>
          <w:color w:val="000000"/>
          <w:sz w:val="32"/>
          <w:szCs w:val="32"/>
          <w:lang w:val="en-US" w:eastAsia="zh-CN"/>
        </w:rPr>
        <w:t>217</w:t>
      </w:r>
      <w:r>
        <w:rPr>
          <w:rFonts w:hint="eastAsia" w:ascii="仿宋_GB2312" w:hAnsi="仿宋_GB2312" w:eastAsia="仿宋_GB2312" w:cs="仿宋_GB2312"/>
          <w:color w:val="000000"/>
          <w:sz w:val="32"/>
          <w:szCs w:val="32"/>
        </w:rPr>
        <w:t>人。</w:t>
      </w:r>
      <w:r>
        <w:rPr>
          <w:rFonts w:hint="eastAsia" w:ascii="仿宋_GB2312" w:hAnsi="仿宋_GB2312" w:eastAsia="仿宋_GB2312" w:cs="仿宋_GB2312"/>
          <w:sz w:val="32"/>
          <w:szCs w:val="32"/>
        </w:rPr>
        <w:t>增长</w:t>
      </w:r>
      <w:r>
        <w:rPr>
          <w:rFonts w:hint="eastAsia" w:ascii="仿宋_GB2312" w:hAnsi="仿宋_GB2312" w:eastAsia="仿宋_GB2312" w:cs="仿宋_GB2312"/>
          <w:color w:val="000000"/>
          <w:sz w:val="32"/>
          <w:szCs w:val="32"/>
        </w:rPr>
        <w:t>原因</w:t>
      </w:r>
      <w:r>
        <w:rPr>
          <w:rFonts w:hint="eastAsia" w:ascii="仿宋_GB2312" w:hAnsi="仿宋_GB2312" w:eastAsia="仿宋_GB2312" w:cs="仿宋_GB2312"/>
          <w:color w:val="000000"/>
          <w:sz w:val="32"/>
          <w:szCs w:val="32"/>
          <w:lang w:eastAsia="zh-CN"/>
        </w:rPr>
        <w:t>为上级部门检查工作增多。</w:t>
      </w:r>
    </w:p>
    <w:p>
      <w:pPr>
        <w:pStyle w:val="4"/>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sz w:val="32"/>
          <w:szCs w:val="32"/>
          <w:lang w:val="en-US" w:eastAsia="zh-CN"/>
        </w:rPr>
        <w:t>2.</w:t>
      </w:r>
      <w:r>
        <w:rPr>
          <w:rFonts w:hint="eastAsia" w:ascii="仿宋_GB2312" w:hAnsi="仿宋_GB2312" w:eastAsia="仿宋_GB2312" w:cs="仿宋_GB2312"/>
          <w:b/>
          <w:bCs/>
          <w:sz w:val="32"/>
          <w:szCs w:val="32"/>
        </w:rPr>
        <w:t>培训费支出决算情况</w:t>
      </w:r>
    </w:p>
    <w:p>
      <w:pPr>
        <w:pStyle w:val="4"/>
        <w:wordWrap/>
        <w:adjustRightInd/>
        <w:snapToGrid/>
        <w:spacing w:before="0" w:beforeAutospacing="0" w:after="0" w:afterAutospacing="0" w:line="556" w:lineRule="exact"/>
        <w:ind w:left="0" w:leftChars="0" w:right="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培训费支出</w:t>
      </w:r>
      <w:r>
        <w:rPr>
          <w:rFonts w:hint="eastAsia" w:ascii="仿宋_GB2312" w:hAnsi="仿宋_GB2312" w:eastAsia="仿宋_GB2312" w:cs="仿宋_GB2312"/>
          <w:sz w:val="32"/>
          <w:szCs w:val="32"/>
          <w:lang w:val="en-US" w:eastAsia="zh-CN"/>
        </w:rPr>
        <w:t>17.61</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退役士兵培训和干部培训</w:t>
      </w:r>
      <w:r>
        <w:rPr>
          <w:rFonts w:hint="eastAsia" w:ascii="仿宋_GB2312" w:hAnsi="仿宋_GB2312" w:eastAsia="仿宋_GB2312" w:cs="仿宋_GB2312"/>
          <w:sz w:val="32"/>
          <w:szCs w:val="32"/>
        </w:rPr>
        <w:t>支出，较2016年增加</w:t>
      </w:r>
      <w:r>
        <w:rPr>
          <w:rFonts w:hint="eastAsia" w:ascii="仿宋_GB2312" w:hAnsi="仿宋_GB2312" w:eastAsia="仿宋_GB2312" w:cs="仿宋_GB2312"/>
          <w:sz w:val="32"/>
          <w:szCs w:val="32"/>
          <w:lang w:val="en-US" w:eastAsia="zh-CN"/>
        </w:rPr>
        <w:t>6.46</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57.94</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原因</w:t>
      </w:r>
      <w:r>
        <w:rPr>
          <w:rFonts w:hint="eastAsia" w:ascii="仿宋_GB2312" w:hAnsi="仿宋_GB2312" w:eastAsia="仿宋_GB2312" w:cs="仿宋_GB2312"/>
          <w:sz w:val="32"/>
          <w:szCs w:val="32"/>
          <w:lang w:eastAsia="zh-CN"/>
        </w:rPr>
        <w:t>退役士兵培训和干部培训支出增加。</w:t>
      </w:r>
    </w:p>
    <w:p>
      <w:pPr>
        <w:pStyle w:val="4"/>
        <w:numPr>
          <w:ilvl w:val="0"/>
          <w:numId w:val="13"/>
        </w:numPr>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会议费支出决算情况</w:t>
      </w:r>
    </w:p>
    <w:p>
      <w:pPr>
        <w:pStyle w:val="4"/>
        <w:numPr>
          <w:ilvl w:val="0"/>
          <w:numId w:val="0"/>
        </w:numPr>
        <w:wordWrap/>
        <w:adjustRightInd/>
        <w:snapToGrid/>
        <w:spacing w:before="0" w:beforeAutospacing="0" w:after="0" w:afterAutospacing="0" w:line="556" w:lineRule="exact"/>
        <w:ind w:right="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会议费支出</w:t>
      </w:r>
      <w:r>
        <w:rPr>
          <w:rFonts w:hint="eastAsia" w:ascii="仿宋_GB2312" w:hAnsi="仿宋_GB2312" w:eastAsia="仿宋_GB2312" w:cs="仿宋_GB2312"/>
          <w:sz w:val="32"/>
          <w:szCs w:val="32"/>
          <w:lang w:val="en-US" w:eastAsia="zh-CN"/>
        </w:rPr>
        <w:t>15.54</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市级社会救助“一门受理”会议及统计核查会议支出</w:t>
      </w:r>
      <w:r>
        <w:rPr>
          <w:rFonts w:hint="eastAsia" w:ascii="仿宋_GB2312" w:hAnsi="仿宋_GB2312" w:eastAsia="仿宋_GB2312" w:cs="仿宋_GB2312"/>
          <w:sz w:val="32"/>
          <w:szCs w:val="32"/>
        </w:rPr>
        <w:t>，较2016年增加</w:t>
      </w:r>
      <w:r>
        <w:rPr>
          <w:rFonts w:hint="eastAsia" w:ascii="仿宋_GB2312" w:hAnsi="仿宋_GB2312" w:eastAsia="仿宋_GB2312" w:cs="仿宋_GB2312"/>
          <w:sz w:val="32"/>
          <w:szCs w:val="32"/>
          <w:lang w:val="en-US" w:eastAsia="zh-CN"/>
        </w:rPr>
        <w:t>7.72</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98.73</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原因</w:t>
      </w:r>
      <w:r>
        <w:rPr>
          <w:rFonts w:hint="eastAsia" w:ascii="仿宋_GB2312" w:hAnsi="仿宋_GB2312" w:eastAsia="仿宋_GB2312" w:cs="仿宋_GB2312"/>
          <w:color w:val="000000"/>
          <w:sz w:val="32"/>
          <w:szCs w:val="32"/>
          <w:lang w:eastAsia="zh-CN"/>
        </w:rPr>
        <w:t>西安市</w:t>
      </w:r>
      <w:r>
        <w:rPr>
          <w:rFonts w:hint="eastAsia" w:ascii="仿宋_GB2312" w:hAnsi="仿宋_GB2312" w:eastAsia="仿宋_GB2312" w:cs="仿宋_GB2312"/>
          <w:sz w:val="32"/>
          <w:szCs w:val="32"/>
          <w:lang w:eastAsia="zh-CN"/>
        </w:rPr>
        <w:t>社会救助“一门受理”会议在我区召开造成此数据增加。</w:t>
      </w:r>
    </w:p>
    <w:p>
      <w:pPr>
        <w:wordWrap/>
        <w:adjustRightInd/>
        <w:snapToGrid/>
        <w:spacing w:beforeAutospacing="0" w:afterAutospacing="0" w:line="556"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、2017年度部门绩效管理情况说明</w:t>
      </w:r>
    </w:p>
    <w:p>
      <w:pPr>
        <w:wordWrap/>
        <w:adjustRightInd/>
        <w:snapToGrid/>
        <w:spacing w:beforeAutospacing="0" w:afterAutospacing="0" w:line="556"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2017年本部门对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个专项业务经费项目开展了绩效自评，涉及一般公共预算当年拨款</w:t>
      </w:r>
      <w:r>
        <w:rPr>
          <w:rFonts w:hint="eastAsia" w:ascii="仿宋_GB2312" w:hAnsi="仿宋_GB2312" w:eastAsia="仿宋_GB2312" w:cs="仿宋_GB2312"/>
          <w:sz w:val="32"/>
          <w:szCs w:val="32"/>
          <w:lang w:val="en-US" w:eastAsia="zh-CN"/>
        </w:rPr>
        <w:t>1178.18</w:t>
      </w:r>
      <w:r>
        <w:rPr>
          <w:rFonts w:hint="eastAsia" w:ascii="仿宋_GB2312" w:hAnsi="仿宋_GB2312" w:eastAsia="仿宋_GB2312" w:cs="仿宋_GB2312"/>
          <w:sz w:val="32"/>
          <w:szCs w:val="32"/>
        </w:rPr>
        <w:t>万元。</w:t>
      </w:r>
    </w:p>
    <w:p>
      <w:pPr>
        <w:pStyle w:val="4"/>
        <w:wordWrap/>
        <w:adjustRightInd/>
        <w:snapToGrid/>
        <w:spacing w:before="0" w:beforeAutospacing="0" w:after="0" w:afterAutospacing="0" w:line="556" w:lineRule="exact"/>
        <w:ind w:left="0" w:leftChars="0" w:right="0"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七、</w:t>
      </w:r>
      <w:r>
        <w:rPr>
          <w:rFonts w:hint="eastAsia" w:ascii="黑体" w:hAnsi="黑体" w:eastAsia="黑体" w:cs="黑体"/>
          <w:b w:val="0"/>
          <w:bCs/>
          <w:sz w:val="32"/>
          <w:szCs w:val="32"/>
        </w:rPr>
        <w:t>2017年其他重要事项情况说明</w:t>
      </w:r>
    </w:p>
    <w:p>
      <w:pPr>
        <w:pStyle w:val="4"/>
        <w:numPr>
          <w:ilvl w:val="0"/>
          <w:numId w:val="14"/>
        </w:numPr>
        <w:wordWrap/>
        <w:adjustRightInd/>
        <w:snapToGrid/>
        <w:spacing w:before="0" w:beforeAutospacing="0" w:after="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机关运行经费支出情况</w:t>
      </w:r>
    </w:p>
    <w:p>
      <w:pPr>
        <w:pStyle w:val="4"/>
        <w:numPr>
          <w:ilvl w:val="0"/>
          <w:numId w:val="0"/>
        </w:numPr>
        <w:wordWrap/>
        <w:adjustRightInd/>
        <w:snapToGrid/>
        <w:spacing w:before="0" w:beforeAutospacing="0" w:after="0" w:afterAutospacing="0" w:line="556" w:lineRule="exact"/>
        <w:ind w:right="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2017年本部门机关运行经费支出</w:t>
      </w:r>
      <w:r>
        <w:rPr>
          <w:rFonts w:hint="eastAsia" w:ascii="仿宋_GB2312" w:hAnsi="仿宋_GB2312" w:eastAsia="仿宋_GB2312" w:cs="仿宋_GB2312"/>
          <w:sz w:val="32"/>
          <w:szCs w:val="32"/>
          <w:lang w:val="en-US" w:eastAsia="zh-CN"/>
        </w:rPr>
        <w:t>21.80</w:t>
      </w:r>
      <w:r>
        <w:rPr>
          <w:rFonts w:hint="eastAsia" w:ascii="仿宋_GB2312" w:hAnsi="仿宋_GB2312" w:eastAsia="仿宋_GB2312" w:cs="仿宋_GB2312"/>
          <w:sz w:val="32"/>
          <w:szCs w:val="32"/>
        </w:rPr>
        <w:t>万元，用于维持机关日常运转所必需的公用支出。其中：行政单位</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户，合计</w:t>
      </w:r>
      <w:r>
        <w:rPr>
          <w:rFonts w:hint="eastAsia" w:ascii="仿宋_GB2312" w:hAnsi="仿宋_GB2312" w:eastAsia="仿宋_GB2312" w:cs="仿宋_GB2312"/>
          <w:sz w:val="32"/>
          <w:szCs w:val="32"/>
          <w:lang w:val="en-US" w:eastAsia="zh-CN"/>
        </w:rPr>
        <w:t>21.80</w:t>
      </w:r>
      <w:r>
        <w:rPr>
          <w:rFonts w:hint="eastAsia" w:ascii="仿宋_GB2312" w:hAnsi="仿宋_GB2312" w:eastAsia="仿宋_GB2312" w:cs="仿宋_GB2312"/>
          <w:sz w:val="32"/>
          <w:szCs w:val="32"/>
        </w:rPr>
        <w:t>万元，占机关运行经费的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无</w:t>
      </w:r>
      <w:r>
        <w:rPr>
          <w:rFonts w:hint="eastAsia" w:ascii="仿宋_GB2312" w:hAnsi="仿宋_GB2312" w:eastAsia="仿宋_GB2312" w:cs="仿宋_GB2312"/>
          <w:sz w:val="32"/>
          <w:szCs w:val="32"/>
        </w:rPr>
        <w:t>参照公务员法管理的事业单位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2017年机关运行经费支出比2016年同口径减少</w:t>
      </w:r>
      <w:r>
        <w:rPr>
          <w:rFonts w:hint="eastAsia" w:ascii="仿宋_GB2312" w:hAnsi="仿宋_GB2312" w:eastAsia="仿宋_GB2312" w:cs="仿宋_GB2312"/>
          <w:sz w:val="32"/>
          <w:szCs w:val="32"/>
          <w:lang w:val="en-US" w:eastAsia="zh-CN"/>
        </w:rPr>
        <w:t>5.70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，下降</w:t>
      </w:r>
      <w:r>
        <w:rPr>
          <w:rFonts w:hint="eastAsia" w:ascii="仿宋_GB2312" w:hAnsi="仿宋_GB2312" w:eastAsia="仿宋_GB2312" w:cs="仿宋_GB2312"/>
          <w:sz w:val="32"/>
          <w:szCs w:val="32"/>
          <w:lang w:val="en-US" w:eastAsia="zh-CN"/>
        </w:rPr>
        <w:t>20.73</w:t>
      </w:r>
      <w:r>
        <w:rPr>
          <w:rFonts w:hint="eastAsia" w:ascii="仿宋_GB2312" w:hAnsi="仿宋_GB2312" w:eastAsia="仿宋_GB2312" w:cs="仿宋_GB2312"/>
          <w:sz w:val="32"/>
          <w:szCs w:val="32"/>
        </w:rPr>
        <w:t>%，主要原因是压缩机关运行经费开支</w:t>
      </w:r>
      <w:r>
        <w:rPr>
          <w:rFonts w:hint="eastAsia" w:ascii="仿宋_GB2312" w:hAnsi="仿宋_GB2312" w:eastAsia="仿宋_GB2312" w:cs="仿宋_GB2312"/>
          <w:sz w:val="32"/>
          <w:szCs w:val="32"/>
          <w:lang w:eastAsia="zh-CN"/>
        </w:rPr>
        <w:t>。</w:t>
      </w:r>
    </w:p>
    <w:p>
      <w:pPr>
        <w:wordWrap/>
        <w:adjustRightInd/>
        <w:snapToGrid/>
        <w:spacing w:beforeAutospacing="0" w:afterAutospacing="0" w:line="556" w:lineRule="exact"/>
        <w:ind w:left="0" w:leftChars="0" w:right="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（二）国有资产占用及购置情况说明</w:t>
      </w:r>
    </w:p>
    <w:p>
      <w:pPr>
        <w:wordWrap/>
        <w:adjustRightInd/>
        <w:snapToGrid/>
        <w:spacing w:line="556" w:lineRule="exact"/>
        <w:ind w:left="0" w:leftChars="0" w:right="0" w:firstLine="645"/>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截至2017年12月31日，本部门共有车辆</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辆，其中，一般公务用车</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辆、一般执法执勤用车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辆；单位价值</w:t>
      </w:r>
      <w:r>
        <w:rPr>
          <w:rFonts w:hint="eastAsia" w:ascii="仿宋_GB2312" w:hAnsi="仿宋_GB2312" w:eastAsia="仿宋_GB2312" w:cs="仿宋_GB2312"/>
          <w:sz w:val="32"/>
          <w:szCs w:val="32"/>
          <w:lang w:val="en-US" w:eastAsia="zh-CN"/>
        </w:rPr>
        <w:t>50-100</w:t>
      </w:r>
      <w:r>
        <w:rPr>
          <w:rFonts w:hint="eastAsia" w:ascii="仿宋_GB2312" w:hAnsi="仿宋_GB2312" w:eastAsia="仿宋_GB2312" w:cs="仿宋_GB2312"/>
          <w:sz w:val="32"/>
          <w:szCs w:val="32"/>
        </w:rPr>
        <w:t>万元以上大型设备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pPr>
        <w:wordWrap/>
        <w:adjustRightInd/>
        <w:snapToGrid/>
        <w:spacing w:beforeAutospacing="0" w:afterAutospacing="0" w:line="556"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、专业名词解释</w:t>
      </w:r>
    </w:p>
    <w:p>
      <w:pPr>
        <w:wordWrap/>
        <w:adjustRightInd/>
        <w:snapToGrid/>
        <w:spacing w:beforeAutospacing="0" w:afterAutospacing="0" w:line="556"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基本支出：</w:t>
      </w:r>
      <w:r>
        <w:rPr>
          <w:rFonts w:hint="eastAsia" w:ascii="仿宋_GB2312" w:hAnsi="仿宋_GB2312" w:eastAsia="仿宋_GB2312" w:cs="仿宋_GB2312"/>
          <w:sz w:val="32"/>
          <w:szCs w:val="32"/>
        </w:rPr>
        <w:t>指为保障机构正常运转、完成日常工作任务而发生的各项支出。</w:t>
      </w:r>
    </w:p>
    <w:p>
      <w:pPr>
        <w:wordWrap/>
        <w:adjustRightInd/>
        <w:snapToGrid/>
        <w:spacing w:beforeAutospacing="0" w:afterAutospacing="0" w:line="556"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项目支出：</w:t>
      </w:r>
      <w:r>
        <w:rPr>
          <w:rFonts w:hint="eastAsia" w:ascii="仿宋_GB2312" w:hAnsi="仿宋_GB2312" w:eastAsia="仿宋_GB2312" w:cs="仿宋_GB2312"/>
          <w:sz w:val="32"/>
          <w:szCs w:val="32"/>
        </w:rPr>
        <w:t>指单位为完成特定的行政工作任务或事业发展目标所发生的各项支出。</w:t>
      </w:r>
    </w:p>
    <w:p>
      <w:pPr>
        <w:wordWrap/>
        <w:adjustRightInd/>
        <w:snapToGrid/>
        <w:spacing w:beforeAutospacing="0" w:afterAutospacing="0" w:line="556"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“三公”经费：</w:t>
      </w:r>
      <w:r>
        <w:rPr>
          <w:rFonts w:hint="eastAsia" w:ascii="仿宋_GB2312" w:hAnsi="仿宋_GB2312" w:eastAsia="仿宋_GB2312" w:cs="仿宋_GB2312"/>
          <w:sz w:val="32"/>
          <w:szCs w:val="32"/>
        </w:rPr>
        <w:t>指部门使用一般公共预算财政拨款安排的因公出国（境）费、公务用车购置及运行费和公务接待费支出。</w:t>
      </w:r>
    </w:p>
    <w:p>
      <w:pPr>
        <w:wordWrap/>
        <w:adjustRightInd/>
        <w:snapToGrid/>
        <w:spacing w:beforeAutospacing="0" w:afterAutospacing="0" w:line="556"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机关运行经费：</w:t>
      </w:r>
      <w:r>
        <w:rPr>
          <w:rFonts w:hint="eastAsia" w:ascii="仿宋_GB2312" w:hAnsi="仿宋_GB2312" w:eastAsia="仿宋_GB2312" w:cs="仿宋_GB2312"/>
          <w:sz w:val="32"/>
          <w:szCs w:val="32"/>
        </w:rPr>
        <w:t>指行政单位和参照公务员法管理的事业单位使用一般公共预算财政拨款安排的日常公用经费支出。</w:t>
      </w:r>
    </w:p>
    <w:p>
      <w:pPr>
        <w:pStyle w:val="4"/>
        <w:shd w:val="clear" w:color="auto" w:fill="FFFFFF"/>
        <w:wordWrap/>
        <w:adjustRightInd/>
        <w:snapToGrid/>
        <w:spacing w:before="0" w:beforeAutospacing="0" w:after="0" w:afterAutospacing="0" w:line="556" w:lineRule="exact"/>
        <w:ind w:left="0" w:leftChars="0" w:right="0" w:firstLine="585"/>
        <w:textAlignment w:val="auto"/>
        <w:outlineLvl w:val="9"/>
        <w:rPr>
          <w:rStyle w:val="7"/>
          <w:rFonts w:hint="eastAsia"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lang w:eastAsia="zh-CN"/>
        </w:rPr>
        <w:t>九</w:t>
      </w:r>
      <w:r>
        <w:rPr>
          <w:rStyle w:val="7"/>
          <w:rFonts w:hint="eastAsia" w:ascii="黑体" w:hAnsi="黑体" w:eastAsia="黑体" w:cs="黑体"/>
          <w:b w:val="0"/>
          <w:bCs w:val="0"/>
          <w:color w:val="000000"/>
          <w:sz w:val="32"/>
          <w:szCs w:val="32"/>
        </w:rPr>
        <w:t>、2017年部门决算</w:t>
      </w:r>
      <w:r>
        <w:rPr>
          <w:rStyle w:val="7"/>
          <w:rFonts w:hint="eastAsia" w:ascii="黑体" w:hAnsi="黑体" w:eastAsia="黑体" w:cs="黑体"/>
          <w:b w:val="0"/>
          <w:bCs w:val="0"/>
          <w:color w:val="000000"/>
          <w:sz w:val="32"/>
          <w:szCs w:val="32"/>
          <w:lang w:eastAsia="zh-CN"/>
        </w:rPr>
        <w:t>公开报</w:t>
      </w:r>
      <w:r>
        <w:rPr>
          <w:rStyle w:val="7"/>
          <w:rFonts w:hint="eastAsia" w:ascii="黑体" w:hAnsi="黑体" w:eastAsia="黑体" w:cs="黑体"/>
          <w:b w:val="0"/>
          <w:bCs w:val="0"/>
          <w:color w:val="000000"/>
          <w:sz w:val="32"/>
          <w:szCs w:val="32"/>
        </w:rPr>
        <w:t>表</w:t>
      </w:r>
    </w:p>
    <w:p>
      <w:pPr>
        <w:pStyle w:val="4"/>
        <w:numPr>
          <w:ilvl w:val="0"/>
          <w:numId w:val="15"/>
        </w:numPr>
        <w:shd w:val="clear" w:color="auto" w:fill="FFFFFF"/>
        <w:wordWrap/>
        <w:adjustRightInd/>
        <w:snapToGrid/>
        <w:spacing w:before="0" w:beforeAutospacing="0" w:after="0" w:afterAutospacing="0" w:line="556" w:lineRule="exact"/>
        <w:ind w:left="0" w:leftChars="0" w:right="0" w:firstLine="58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公开</w:t>
      </w:r>
      <w:r>
        <w:rPr>
          <w:rFonts w:hint="eastAsia" w:ascii="仿宋_GB2312" w:hAnsi="仿宋_GB2312" w:eastAsia="仿宋_GB2312" w:cs="仿宋_GB2312"/>
          <w:b/>
          <w:bCs/>
          <w:sz w:val="32"/>
          <w:szCs w:val="32"/>
        </w:rPr>
        <w:t>01表-部门决算收支总表</w:t>
      </w:r>
    </w:p>
    <w:p>
      <w:pPr>
        <w:pStyle w:val="4"/>
        <w:numPr>
          <w:ilvl w:val="0"/>
          <w:numId w:val="15"/>
        </w:numPr>
        <w:shd w:val="clear" w:color="auto" w:fill="FFFFFF"/>
        <w:wordWrap/>
        <w:adjustRightInd/>
        <w:snapToGrid/>
        <w:spacing w:before="0" w:beforeAutospacing="0" w:after="0" w:afterAutospacing="0" w:line="556" w:lineRule="exact"/>
        <w:ind w:left="0" w:leftChars="0" w:right="0" w:firstLine="58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公开</w:t>
      </w:r>
      <w:r>
        <w:rPr>
          <w:rFonts w:hint="eastAsia" w:ascii="仿宋_GB2312" w:hAnsi="仿宋_GB2312" w:eastAsia="仿宋_GB2312" w:cs="仿宋_GB2312"/>
          <w:b/>
          <w:bCs/>
          <w:sz w:val="32"/>
          <w:szCs w:val="32"/>
        </w:rPr>
        <w:t>02表-部门决算收入总表</w:t>
      </w:r>
    </w:p>
    <w:p>
      <w:pPr>
        <w:pStyle w:val="4"/>
        <w:numPr>
          <w:ilvl w:val="0"/>
          <w:numId w:val="15"/>
        </w:numPr>
        <w:shd w:val="clear" w:color="auto" w:fill="FFFFFF"/>
        <w:wordWrap/>
        <w:adjustRightInd/>
        <w:snapToGrid/>
        <w:spacing w:before="0" w:beforeAutospacing="0" w:after="0" w:afterAutospacing="0" w:line="556" w:lineRule="exact"/>
        <w:ind w:left="0" w:leftChars="0" w:right="0" w:firstLine="58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公开</w:t>
      </w:r>
      <w:r>
        <w:rPr>
          <w:rFonts w:hint="eastAsia" w:ascii="仿宋_GB2312" w:hAnsi="仿宋_GB2312" w:eastAsia="仿宋_GB2312" w:cs="仿宋_GB2312"/>
          <w:b/>
          <w:bCs/>
          <w:sz w:val="32"/>
          <w:szCs w:val="32"/>
        </w:rPr>
        <w:t>03表-部门决算支出总表</w:t>
      </w:r>
    </w:p>
    <w:p>
      <w:pPr>
        <w:pStyle w:val="4"/>
        <w:numPr>
          <w:ilvl w:val="0"/>
          <w:numId w:val="15"/>
        </w:numPr>
        <w:shd w:val="clear" w:color="auto" w:fill="FFFFFF"/>
        <w:wordWrap/>
        <w:adjustRightInd/>
        <w:snapToGrid/>
        <w:spacing w:before="0" w:beforeAutospacing="0" w:after="0" w:afterAutospacing="0" w:line="556" w:lineRule="exact"/>
        <w:ind w:left="0" w:leftChars="0" w:right="0" w:firstLine="58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公开</w:t>
      </w:r>
      <w:r>
        <w:rPr>
          <w:rFonts w:hint="eastAsia" w:ascii="仿宋_GB2312" w:hAnsi="仿宋_GB2312" w:eastAsia="仿宋_GB2312" w:cs="仿宋_GB2312"/>
          <w:b/>
          <w:bCs/>
          <w:sz w:val="32"/>
          <w:szCs w:val="32"/>
        </w:rPr>
        <w:t>04表-部门决算财政拨款收支总表</w:t>
      </w:r>
    </w:p>
    <w:p>
      <w:pPr>
        <w:pStyle w:val="4"/>
        <w:numPr>
          <w:ilvl w:val="0"/>
          <w:numId w:val="15"/>
        </w:numPr>
        <w:shd w:val="clear" w:color="auto" w:fill="FFFFFF"/>
        <w:wordWrap/>
        <w:adjustRightInd/>
        <w:snapToGrid/>
        <w:spacing w:before="0" w:beforeAutospacing="0" w:after="0" w:afterAutospacing="0" w:line="556" w:lineRule="exact"/>
        <w:ind w:left="0" w:leftChars="0" w:right="0" w:firstLine="58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公开</w:t>
      </w:r>
      <w:r>
        <w:rPr>
          <w:rFonts w:hint="eastAsia" w:ascii="仿宋_GB2312" w:hAnsi="仿宋_GB2312" w:eastAsia="仿宋_GB2312" w:cs="仿宋_GB2312"/>
          <w:b/>
          <w:bCs/>
          <w:sz w:val="32"/>
          <w:szCs w:val="32"/>
        </w:rPr>
        <w:t>05表-</w:t>
      </w:r>
      <w:r>
        <w:rPr>
          <w:rFonts w:hint="eastAsia" w:ascii="仿宋_GB2312" w:hAnsi="仿宋_GB2312" w:eastAsia="仿宋_GB2312" w:cs="仿宋_GB2312"/>
          <w:b/>
          <w:bCs/>
          <w:kern w:val="2"/>
          <w:sz w:val="32"/>
          <w:lang w:eastAsia="zh-CN"/>
        </w:rPr>
        <w:t>部门决算</w:t>
      </w:r>
      <w:r>
        <w:rPr>
          <w:rFonts w:hint="eastAsia" w:ascii="仿宋_GB2312" w:hAnsi="仿宋_GB2312" w:eastAsia="仿宋_GB2312" w:cs="仿宋_GB2312"/>
          <w:b/>
          <w:bCs/>
          <w:kern w:val="2"/>
          <w:sz w:val="32"/>
        </w:rPr>
        <w:t>一般公共预算财政拨款支出</w:t>
      </w:r>
      <w:r>
        <w:rPr>
          <w:rFonts w:hint="eastAsia" w:ascii="仿宋_GB2312" w:hAnsi="仿宋_GB2312" w:eastAsia="仿宋_GB2312" w:cs="仿宋_GB2312"/>
          <w:b/>
          <w:bCs/>
          <w:kern w:val="2"/>
          <w:sz w:val="32"/>
          <w:lang w:eastAsia="zh-CN"/>
        </w:rPr>
        <w:t>明细</w:t>
      </w:r>
      <w:r>
        <w:rPr>
          <w:rFonts w:hint="eastAsia" w:ascii="仿宋_GB2312" w:hAnsi="仿宋_GB2312" w:eastAsia="仿宋_GB2312" w:cs="仿宋_GB2312"/>
          <w:b/>
          <w:bCs/>
          <w:kern w:val="2"/>
          <w:sz w:val="32"/>
        </w:rPr>
        <w:t>表</w:t>
      </w:r>
      <w:r>
        <w:rPr>
          <w:rFonts w:hint="eastAsia" w:ascii="仿宋_GB2312" w:hAnsi="仿宋_GB2312" w:eastAsia="仿宋_GB2312" w:cs="仿宋_GB2312"/>
          <w:b/>
          <w:bCs/>
          <w:kern w:val="2"/>
          <w:sz w:val="32"/>
          <w:lang w:val="en-US" w:eastAsia="zh-CN"/>
        </w:rPr>
        <w:t>（按功能分类科目）</w:t>
      </w:r>
    </w:p>
    <w:p>
      <w:pPr>
        <w:pStyle w:val="4"/>
        <w:numPr>
          <w:ilvl w:val="0"/>
          <w:numId w:val="15"/>
        </w:numPr>
        <w:shd w:val="clear" w:color="auto" w:fill="FFFFFF"/>
        <w:wordWrap/>
        <w:adjustRightInd/>
        <w:snapToGrid/>
        <w:spacing w:before="0" w:beforeAutospacing="0" w:after="0" w:afterAutospacing="0" w:line="556" w:lineRule="exact"/>
        <w:ind w:left="0" w:leftChars="0" w:right="0" w:firstLine="58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公开</w:t>
      </w:r>
      <w:r>
        <w:rPr>
          <w:rFonts w:hint="eastAsia" w:ascii="仿宋_GB2312" w:hAnsi="仿宋_GB2312" w:eastAsia="仿宋_GB2312" w:cs="仿宋_GB2312"/>
          <w:b/>
          <w:bCs/>
          <w:sz w:val="32"/>
          <w:szCs w:val="32"/>
        </w:rPr>
        <w:t>06表-部门决算一般公共预算财政拨款基本支出表（按经济分类科目）</w:t>
      </w:r>
    </w:p>
    <w:p>
      <w:pPr>
        <w:pStyle w:val="4"/>
        <w:numPr>
          <w:ilvl w:val="0"/>
          <w:numId w:val="15"/>
        </w:numPr>
        <w:shd w:val="clear" w:color="auto" w:fill="FFFFFF"/>
        <w:wordWrap/>
        <w:adjustRightInd/>
        <w:snapToGrid/>
        <w:spacing w:before="0" w:beforeAutospacing="0" w:after="0" w:afterAutospacing="0" w:line="556" w:lineRule="exact"/>
        <w:ind w:left="0" w:leftChars="0" w:right="0" w:firstLine="58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公开</w:t>
      </w:r>
      <w:r>
        <w:rPr>
          <w:rFonts w:hint="eastAsia" w:ascii="仿宋_GB2312" w:hAnsi="仿宋_GB2312" w:eastAsia="仿宋_GB2312" w:cs="仿宋_GB2312"/>
          <w:b/>
          <w:bCs/>
          <w:sz w:val="32"/>
          <w:szCs w:val="32"/>
        </w:rPr>
        <w:t>07表-部门决算一般公共预算财政拨款“三公”经费支出表</w:t>
      </w:r>
    </w:p>
    <w:p>
      <w:pPr>
        <w:pStyle w:val="4"/>
        <w:numPr>
          <w:ilvl w:val="0"/>
          <w:numId w:val="15"/>
        </w:numPr>
        <w:shd w:val="clear" w:color="auto" w:fill="FFFFFF"/>
        <w:wordWrap/>
        <w:adjustRightInd/>
        <w:snapToGrid/>
        <w:spacing w:before="0" w:beforeAutospacing="0" w:after="0" w:afterAutospacing="0" w:line="556" w:lineRule="exact"/>
        <w:ind w:left="0" w:leftChars="0" w:right="0" w:firstLine="58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公开</w:t>
      </w:r>
      <w:r>
        <w:rPr>
          <w:rFonts w:hint="eastAsia" w:ascii="仿宋_GB2312" w:hAnsi="仿宋_GB2312" w:eastAsia="仿宋_GB2312" w:cs="仿宋_GB2312"/>
          <w:b/>
          <w:bCs/>
          <w:sz w:val="32"/>
          <w:szCs w:val="32"/>
        </w:rPr>
        <w:t>08表-部门决算政府性基金收支表</w:t>
      </w:r>
    </w:p>
    <w:p>
      <w:pPr>
        <w:pStyle w:val="4"/>
        <w:numPr>
          <w:ilvl w:val="0"/>
          <w:numId w:val="15"/>
        </w:numPr>
        <w:shd w:val="clear" w:color="auto" w:fill="FFFFFF"/>
        <w:wordWrap/>
        <w:adjustRightInd/>
        <w:snapToGrid/>
        <w:spacing w:before="0" w:beforeAutospacing="0" w:after="0" w:afterAutospacing="0" w:line="556" w:lineRule="exact"/>
        <w:ind w:left="0" w:leftChars="0" w:right="0" w:firstLine="585"/>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公开</w:t>
      </w:r>
      <w:r>
        <w:rPr>
          <w:rFonts w:hint="eastAsia" w:ascii="仿宋_GB2312" w:hAnsi="仿宋_GB2312" w:eastAsia="仿宋_GB2312" w:cs="仿宋_GB2312"/>
          <w:b/>
          <w:bCs/>
          <w:sz w:val="32"/>
          <w:szCs w:val="32"/>
        </w:rPr>
        <w:t>09表-政府采购决算表</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黑体"/>
    <w:panose1 w:val="03000509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suff w:val="nothing"/>
      <w:lvlText w:val="%1．"/>
      <w:lvlJc w:val="left"/>
    </w:lvl>
  </w:abstractNum>
  <w:abstractNum w:abstractNumId="1">
    <w:nsid w:val="5BBC71BE"/>
    <w:multiLevelType w:val="singleLevel"/>
    <w:tmpl w:val="5BBC71BE"/>
    <w:lvl w:ilvl="0" w:tentative="0">
      <w:start w:val="2"/>
      <w:numFmt w:val="decimal"/>
      <w:suff w:val="nothing"/>
      <w:lvlText w:val="（%1）"/>
      <w:lvlJc w:val="left"/>
    </w:lvl>
  </w:abstractNum>
  <w:abstractNum w:abstractNumId="2">
    <w:nsid w:val="5BBC7394"/>
    <w:multiLevelType w:val="singleLevel"/>
    <w:tmpl w:val="5BBC7394"/>
    <w:lvl w:ilvl="0" w:tentative="0">
      <w:start w:val="1"/>
      <w:numFmt w:val="decimal"/>
      <w:suff w:val="nothing"/>
      <w:lvlText w:val="%1."/>
      <w:lvlJc w:val="left"/>
    </w:lvl>
  </w:abstractNum>
  <w:abstractNum w:abstractNumId="3">
    <w:nsid w:val="5BBC73B4"/>
    <w:multiLevelType w:val="singleLevel"/>
    <w:tmpl w:val="5BBC73B4"/>
    <w:lvl w:ilvl="0" w:tentative="0">
      <w:start w:val="2"/>
      <w:numFmt w:val="decimal"/>
      <w:suff w:val="nothing"/>
      <w:lvlText w:val="%1."/>
      <w:lvlJc w:val="left"/>
    </w:lvl>
  </w:abstractNum>
  <w:abstractNum w:abstractNumId="4">
    <w:nsid w:val="5BBC73D0"/>
    <w:multiLevelType w:val="singleLevel"/>
    <w:tmpl w:val="5BBC73D0"/>
    <w:lvl w:ilvl="0" w:tentative="0">
      <w:start w:val="1"/>
      <w:numFmt w:val="decimal"/>
      <w:suff w:val="nothing"/>
      <w:lvlText w:val="（%1）"/>
      <w:lvlJc w:val="left"/>
    </w:lvl>
  </w:abstractNum>
  <w:abstractNum w:abstractNumId="5">
    <w:nsid w:val="5BBC741B"/>
    <w:multiLevelType w:val="singleLevel"/>
    <w:tmpl w:val="5BBC741B"/>
    <w:lvl w:ilvl="0" w:tentative="0">
      <w:start w:val="3"/>
      <w:numFmt w:val="decimal"/>
      <w:suff w:val="nothing"/>
      <w:lvlText w:val="%1."/>
      <w:lvlJc w:val="left"/>
    </w:lvl>
  </w:abstractNum>
  <w:abstractNum w:abstractNumId="6">
    <w:nsid w:val="5BBC7473"/>
    <w:multiLevelType w:val="singleLevel"/>
    <w:tmpl w:val="5BBC7473"/>
    <w:lvl w:ilvl="0" w:tentative="0">
      <w:start w:val="2"/>
      <w:numFmt w:val="decimal"/>
      <w:suff w:val="nothing"/>
      <w:lvlText w:val="%1."/>
      <w:lvlJc w:val="left"/>
    </w:lvl>
  </w:abstractNum>
  <w:abstractNum w:abstractNumId="7">
    <w:nsid w:val="5BBC748C"/>
    <w:multiLevelType w:val="singleLevel"/>
    <w:tmpl w:val="5BBC748C"/>
    <w:lvl w:ilvl="0" w:tentative="0">
      <w:start w:val="1"/>
      <w:numFmt w:val="decimal"/>
      <w:suff w:val="nothing"/>
      <w:lvlText w:val="（%1）"/>
      <w:lvlJc w:val="left"/>
    </w:lvl>
  </w:abstractNum>
  <w:abstractNum w:abstractNumId="8">
    <w:nsid w:val="5BBC7508"/>
    <w:multiLevelType w:val="singleLevel"/>
    <w:tmpl w:val="5BBC7508"/>
    <w:lvl w:ilvl="0" w:tentative="0">
      <w:start w:val="3"/>
      <w:numFmt w:val="decimal"/>
      <w:suff w:val="nothing"/>
      <w:lvlText w:val="%1."/>
      <w:lvlJc w:val="left"/>
    </w:lvl>
  </w:abstractNum>
  <w:abstractNum w:abstractNumId="9">
    <w:nsid w:val="5BBC751B"/>
    <w:multiLevelType w:val="singleLevel"/>
    <w:tmpl w:val="5BBC751B"/>
    <w:lvl w:ilvl="0" w:tentative="0">
      <w:start w:val="4"/>
      <w:numFmt w:val="decimal"/>
      <w:suff w:val="nothing"/>
      <w:lvlText w:val="%1."/>
      <w:lvlJc w:val="left"/>
    </w:lvl>
  </w:abstractNum>
  <w:abstractNum w:abstractNumId="10">
    <w:nsid w:val="5BBC753D"/>
    <w:multiLevelType w:val="singleLevel"/>
    <w:tmpl w:val="5BBC753D"/>
    <w:lvl w:ilvl="0" w:tentative="0">
      <w:start w:val="1"/>
      <w:numFmt w:val="decimal"/>
      <w:suff w:val="nothing"/>
      <w:lvlText w:val="（%1）"/>
      <w:lvlJc w:val="left"/>
    </w:lvl>
  </w:abstractNum>
  <w:abstractNum w:abstractNumId="11">
    <w:nsid w:val="5BBC7566"/>
    <w:multiLevelType w:val="singleLevel"/>
    <w:tmpl w:val="5BBC7566"/>
    <w:lvl w:ilvl="0" w:tentative="0">
      <w:start w:val="1"/>
      <w:numFmt w:val="decimal"/>
      <w:suff w:val="nothing"/>
      <w:lvlText w:val="%1."/>
      <w:lvlJc w:val="left"/>
    </w:lvl>
  </w:abstractNum>
  <w:abstractNum w:abstractNumId="12">
    <w:nsid w:val="5BBC75B9"/>
    <w:multiLevelType w:val="singleLevel"/>
    <w:tmpl w:val="5BBC75B9"/>
    <w:lvl w:ilvl="0" w:tentative="0">
      <w:start w:val="3"/>
      <w:numFmt w:val="decimal"/>
      <w:suff w:val="nothing"/>
      <w:lvlText w:val="%1."/>
      <w:lvlJc w:val="left"/>
    </w:lvl>
  </w:abstractNum>
  <w:abstractNum w:abstractNumId="13">
    <w:nsid w:val="5BBC75D8"/>
    <w:multiLevelType w:val="singleLevel"/>
    <w:tmpl w:val="5BBC75D8"/>
    <w:lvl w:ilvl="0" w:tentative="0">
      <w:start w:val="1"/>
      <w:numFmt w:val="chineseCounting"/>
      <w:suff w:val="nothing"/>
      <w:lvlText w:val="（%1）"/>
      <w:lvlJc w:val="left"/>
    </w:lvl>
  </w:abstractNum>
  <w:abstractNum w:abstractNumId="14">
    <w:nsid w:val="5BBC7644"/>
    <w:multiLevelType w:val="singleLevel"/>
    <w:tmpl w:val="5BBC7644"/>
    <w:lvl w:ilvl="0" w:tentative="0">
      <w:start w:val="1"/>
      <w:numFmt w:val="chineseCounting"/>
      <w:suff w:val="nothing"/>
      <w:lvlText w:val="（%1）"/>
      <w:lvlJc w:val="left"/>
    </w:lvl>
  </w:abstractNum>
  <w:num w:numId="1">
    <w:abstractNumId w:val="1"/>
  </w:num>
  <w:num w:numId="2">
    <w:abstractNumId w:val="2"/>
  </w:num>
  <w:num w:numId="3">
    <w:abstractNumId w:val="3"/>
  </w:num>
  <w:num w:numId="4">
    <w:abstractNumId w:val="4"/>
  </w:num>
  <w:num w:numId="5">
    <w:abstractNumId w:val="5"/>
  </w:num>
  <w:num w:numId="6">
    <w:abstractNumId w:val="0"/>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TM3NmI3ZTE1ZTYyNTljN2NjOTVmNGFiZmYyMDkyMWEifQ=="/>
  </w:docVars>
  <w:rsids>
    <w:rsidRoot w:val="00000000"/>
    <w:rsid w:val="0CC63F5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uiPriority="99"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nhideWhenUsed="0"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uiPriority="99"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0"/>
      <w:lang w:val="en-US" w:eastAsia="zh-CN" w:bidi="ar-SA"/>
    </w:rPr>
  </w:style>
  <w:style w:type="character" w:default="1" w:styleId="6">
    <w:name w:val="Default Paragraph Font"/>
    <w:autoRedefine/>
    <w:qFormat/>
    <w:uiPriority w:val="1"/>
  </w:style>
  <w:style w:type="table" w:default="1" w:styleId="5">
    <w:name w:val="Normal Table"/>
    <w:autoRedefine/>
    <w:semiHidden/>
    <w:unhideWhenUsed/>
    <w:uiPriority w:val="99"/>
    <w:tblPr>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rFonts w:ascii="Calibri" w:hAnsi="Calibri" w:eastAsia="宋体" w:cs="宋体"/>
      <w:sz w:val="18"/>
      <w:szCs w:val="18"/>
    </w:rPr>
  </w:style>
  <w:style w:type="paragraph" w:styleId="3">
    <w:name w:val="header"/>
    <w:basedOn w:val="1"/>
    <w:link w:val="9"/>
    <w:qFormat/>
    <w:uiPriority w:val="99"/>
    <w:pPr>
      <w:pBdr>
        <w:bottom w:val="single" w:color="auto" w:sz="6" w:space="1"/>
      </w:pBdr>
      <w:tabs>
        <w:tab w:val="center" w:pos="4153"/>
        <w:tab w:val="right" w:pos="8306"/>
      </w:tabs>
      <w:snapToGrid w:val="0"/>
      <w:jc w:val="center"/>
    </w:pPr>
    <w:rPr>
      <w:rFonts w:ascii="Calibri" w:hAnsi="Calibri" w:eastAsia="宋体" w:cs="宋体"/>
      <w:sz w:val="18"/>
      <w:szCs w:val="18"/>
    </w:rPr>
  </w:style>
  <w:style w:type="paragraph" w:styleId="4">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page number"/>
    <w:basedOn w:val="6"/>
    <w:semiHidden/>
    <w:unhideWhenUsed/>
    <w:uiPriority w:val="99"/>
  </w:style>
  <w:style w:type="character" w:customStyle="1" w:styleId="9">
    <w:name w:val="页眉 Char"/>
    <w:basedOn w:val="6"/>
    <w:link w:val="3"/>
    <w:qFormat/>
    <w:uiPriority w:val="99"/>
    <w:rPr>
      <w:sz w:val="18"/>
      <w:szCs w:val="18"/>
    </w:rPr>
  </w:style>
  <w:style w:type="character" w:customStyle="1" w:styleId="10">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2687</Words>
  <Characters>2943</Characters>
  <Lines>0</Lines>
  <Paragraphs>93</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2018-10-09T01:34:00Z</dcterms:created>
  <dc:creator>微软用户</dc:creator>
  <cp:lastModifiedBy>zhouqin</cp:lastModifiedBy>
  <cp:lastPrinted>2018-10-09T09:23:00Z</cp:lastPrinted>
  <dcterms:modified xsi:type="dcterms:W3CDTF">2024-01-29T07:05:28Z</dcterms:modified>
  <dc:title>西安市阎良区民政局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DD3B1C9EC7A64EC3A433C04B40034D3A_12</vt:lpwstr>
  </property>
</Properties>
</file>