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6"/>
        <w:shd w:val="clear" w:color="auto" w:fill="FFFFFF"/>
        <w:spacing w:before="0" w:beforeAutospacing="0" w:after="0" w:afterAutospacing="0"/>
        <w:jc w:val="center"/>
        <w:rPr>
          <w:rStyle w:val="9"/>
          <w:sz w:val="36"/>
          <w:szCs w:val="36"/>
        </w:rPr>
      </w:pPr>
    </w:p>
    <w:p>
      <w:pPr>
        <w:pStyle w:val="6"/>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sz w:val="44"/>
          <w:szCs w:val="44"/>
        </w:rPr>
      </w:pPr>
      <w:r>
        <w:rPr>
          <w:rStyle w:val="9"/>
          <w:rFonts w:hint="eastAsia" w:ascii="方正小标宋简体" w:hAnsi="方正小标宋简体" w:eastAsia="方正小标宋简体" w:cs="方正小标宋简体"/>
          <w:sz w:val="44"/>
          <w:szCs w:val="44"/>
        </w:rPr>
        <w:t>阎良区救助管理站</w:t>
      </w:r>
    </w:p>
    <w:p>
      <w:pPr>
        <w:pStyle w:val="6"/>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hint="eastAsia" w:ascii="方正小标宋简体" w:hAnsi="方正小标宋简体" w:eastAsia="方正小标宋简体" w:cs="方正小标宋简体"/>
          <w:color w:val="000000"/>
          <w:sz w:val="44"/>
          <w:szCs w:val="44"/>
        </w:rPr>
        <w:t>2019年度部门决算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Cs w:val="32"/>
        </w:rPr>
      </w:pPr>
    </w:p>
    <w:p>
      <w:pPr>
        <w:spacing w:line="400" w:lineRule="exact"/>
        <w:ind w:firstLine="2570" w:firstLineChars="800"/>
        <w:rPr>
          <w:rFonts w:ascii="宋体" w:hAnsi="宋体" w:eastAsia="宋体" w:cs="宋体"/>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保密审查情况：已审查</w:t>
      </w:r>
    </w:p>
    <w:p>
      <w:pPr>
        <w:spacing w:line="400" w:lineRule="exact"/>
        <w:jc w:val="center"/>
        <w:rPr>
          <w:rFonts w:ascii="宋体" w:hAnsi="宋体" w:eastAsia="宋体" w:cs="宋体"/>
          <w:b/>
          <w:bCs/>
          <w:szCs w:val="32"/>
        </w:rPr>
      </w:pPr>
    </w:p>
    <w:p>
      <w:pPr>
        <w:spacing w:line="400" w:lineRule="exact"/>
        <w:ind w:firstLine="2088" w:firstLineChars="650"/>
        <w:rPr>
          <w:rFonts w:ascii="宋体" w:hAnsi="宋体" w:cs="宋体"/>
          <w:b/>
          <w:bCs/>
          <w:szCs w:val="32"/>
        </w:rPr>
      </w:pPr>
      <w:r>
        <w:rPr>
          <w:rFonts w:hint="eastAsia" w:ascii="宋体" w:hAnsi="宋体" w:eastAsia="宋体" w:cs="宋体"/>
          <w:b/>
          <w:bCs/>
          <w:szCs w:val="32"/>
        </w:rPr>
        <w:t>部门主要负责人审签情况：</w:t>
      </w:r>
    </w:p>
    <w:p>
      <w:pPr>
        <w:jc w:val="center"/>
        <w:rPr>
          <w:rFonts w:ascii="黑体" w:hAnsi="宋体" w:eastAsia="黑体"/>
          <w:b/>
          <w:color w:val="000000"/>
          <w:kern w:val="0"/>
          <w:sz w:val="56"/>
          <w:szCs w:val="56"/>
        </w:rPr>
      </w:pPr>
    </w:p>
    <w:p>
      <w:pPr>
        <w:jc w:val="cente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widowControl/>
        <w:numPr>
          <w:ilvl w:val="0"/>
          <w:numId w:val="1"/>
        </w:numPr>
        <w:spacing w:line="560" w:lineRule="exact"/>
        <w:ind w:left="1723" w:hanging="108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主要职责</w:t>
      </w:r>
    </w:p>
    <w:p>
      <w:pPr>
        <w:widowControl/>
        <w:spacing w:line="560" w:lineRule="exact"/>
        <w:ind w:firstLine="640" w:firstLineChars="200"/>
        <w:jc w:val="left"/>
        <w:rPr>
          <w:rFonts w:ascii="仿宋" w:hAnsi="仿宋" w:eastAsia="仿宋" w:cs="仿宋_GB2312"/>
          <w:bCs/>
          <w:kern w:val="0"/>
          <w:szCs w:val="32"/>
        </w:rPr>
      </w:pPr>
      <w:r>
        <w:rPr>
          <w:rFonts w:hint="eastAsia" w:ascii="仿宋" w:hAnsi="仿宋" w:eastAsia="仿宋" w:cs="仿宋_GB2312"/>
          <w:bCs/>
          <w:kern w:val="0"/>
          <w:szCs w:val="32"/>
        </w:rPr>
        <w:t>1、负责对在城市生活无着的流浪、乞讨人员实行救助，保障其基本生活权益；2、负责保障受助人员在站内的人身安全和随身携带物品的安全；3、负责宣传国家相关的政策法规，劝导受助人员返回其住所地或者所在单位；4、负责对受助的残疾人、未成年人、老年人予以照顾。</w:t>
      </w:r>
    </w:p>
    <w:p>
      <w:pPr>
        <w:widowControl/>
        <w:numPr>
          <w:ilvl w:val="0"/>
          <w:numId w:val="1"/>
        </w:numPr>
        <w:spacing w:line="560" w:lineRule="exact"/>
        <w:ind w:left="1723" w:hanging="108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内设机构</w:t>
      </w:r>
    </w:p>
    <w:p>
      <w:pPr>
        <w:widowControl/>
        <w:spacing w:line="560" w:lineRule="exact"/>
        <w:ind w:firstLine="640" w:firstLineChars="200"/>
        <w:jc w:val="left"/>
        <w:rPr>
          <w:rFonts w:ascii="仿宋" w:hAnsi="仿宋" w:eastAsia="仿宋" w:cs="仿宋_GB2312"/>
          <w:bCs/>
          <w:kern w:val="0"/>
          <w:szCs w:val="32"/>
        </w:rPr>
      </w:pPr>
      <w:r>
        <w:rPr>
          <w:rFonts w:hint="eastAsia" w:ascii="仿宋" w:hAnsi="仿宋" w:eastAsia="仿宋" w:cs="仿宋_GB2312"/>
          <w:bCs/>
          <w:kern w:val="0"/>
          <w:szCs w:val="32"/>
        </w:rPr>
        <w:t>我站下设综合科、救助安置科、未成年人保护科，共3个科室。</w:t>
      </w:r>
    </w:p>
    <w:p>
      <w:pPr>
        <w:widowControl/>
        <w:spacing w:line="560" w:lineRule="exact"/>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spacing w:line="560" w:lineRule="exact"/>
        <w:ind w:firstLine="640"/>
        <w:rPr>
          <w:rFonts w:ascii="仿宋" w:hAnsi="仿宋" w:eastAsia="仿宋" w:cs="仿宋_GB2312"/>
          <w:szCs w:val="32"/>
        </w:rPr>
      </w:pPr>
      <w:r>
        <w:rPr>
          <w:rFonts w:hint="eastAsia" w:ascii="仿宋" w:hAnsi="仿宋" w:eastAsia="仿宋" w:cs="仿宋_GB2312"/>
          <w:szCs w:val="32"/>
        </w:rPr>
        <w:t>纳入2019年度本部门决算编制范围的单位共1个，包括本机，我站属于西安市阎良区民政局下属</w:t>
      </w:r>
      <w:r>
        <w:rPr>
          <w:rFonts w:ascii="仿宋" w:hAnsi="仿宋" w:eastAsia="仿宋" w:cs="仿宋_GB2312"/>
          <w:color w:val="000000"/>
          <w:kern w:val="0"/>
          <w:sz w:val="31"/>
          <w:szCs w:val="31"/>
        </w:rPr>
        <w:t>二级预算</w:t>
      </w:r>
      <w:r>
        <w:rPr>
          <w:rFonts w:hint="eastAsia" w:ascii="仿宋" w:hAnsi="仿宋" w:eastAsia="仿宋" w:cs="仿宋_GB2312"/>
          <w:szCs w:val="32"/>
        </w:rPr>
        <w:t>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trPr>
        <w:tc>
          <w:tcPr>
            <w:tcW w:w="1681" w:type="dxa"/>
            <w:vAlign w:val="center"/>
          </w:tcPr>
          <w:p>
            <w:pPr>
              <w:jc w:val="center"/>
              <w:rPr>
                <w:rFonts w:ascii="仿宋" w:hAnsi="仿宋" w:eastAsia="仿宋"/>
                <w:szCs w:val="32"/>
              </w:rPr>
            </w:pPr>
            <w:r>
              <w:rPr>
                <w:rFonts w:hint="eastAsia" w:ascii="仿宋" w:hAnsi="仿宋" w:eastAsia="仿宋"/>
                <w:szCs w:val="32"/>
              </w:rPr>
              <w:t>序号</w:t>
            </w:r>
          </w:p>
        </w:tc>
        <w:tc>
          <w:tcPr>
            <w:tcW w:w="7278" w:type="dxa"/>
            <w:vAlign w:val="center"/>
          </w:tcPr>
          <w:p>
            <w:pPr>
              <w:jc w:val="center"/>
              <w:rPr>
                <w:rFonts w:ascii="仿宋" w:hAnsi="仿宋" w:eastAsia="仿宋"/>
                <w:szCs w:val="32"/>
              </w:rPr>
            </w:pPr>
            <w:r>
              <w:rPr>
                <w:rFonts w:hint="eastAsia" w:ascii="仿宋" w:hAnsi="仿宋" w:eastAsia="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 w:hAnsi="仿宋" w:eastAsia="仿宋" w:cs="仿宋_GB2312"/>
                <w:szCs w:val="32"/>
              </w:rPr>
            </w:pPr>
            <w:r>
              <w:rPr>
                <w:rFonts w:hint="eastAsia" w:ascii="仿宋" w:hAnsi="仿宋" w:eastAsia="仿宋" w:cs="仿宋_GB2312"/>
                <w:szCs w:val="32"/>
              </w:rPr>
              <w:t>1</w:t>
            </w:r>
          </w:p>
        </w:tc>
        <w:tc>
          <w:tcPr>
            <w:tcW w:w="7278" w:type="dxa"/>
            <w:vAlign w:val="center"/>
          </w:tcPr>
          <w:p>
            <w:pPr>
              <w:jc w:val="center"/>
              <w:rPr>
                <w:rFonts w:ascii="仿宋" w:hAnsi="仿宋" w:eastAsia="仿宋" w:cs="仿宋_GB2312"/>
                <w:szCs w:val="32"/>
              </w:rPr>
            </w:pPr>
            <w:r>
              <w:rPr>
                <w:rFonts w:hint="eastAsia" w:ascii="仿宋" w:hAnsi="仿宋" w:eastAsia="仿宋" w:cs="仿宋_GB2312"/>
                <w:szCs w:val="32"/>
              </w:rPr>
              <w:t>西安市阎良区救助管理站</w:t>
            </w:r>
          </w:p>
        </w:tc>
      </w:tr>
    </w:tbl>
    <w:p>
      <w:pPr>
        <w:ind w:firstLine="640"/>
        <w:rPr>
          <w:rFonts w:ascii="黑体" w:hAnsi="黑体" w:eastAsia="黑体"/>
          <w:b/>
          <w:bCs/>
          <w:szCs w:val="32"/>
        </w:rPr>
      </w:pPr>
      <w:r>
        <w:rPr>
          <w:rFonts w:hint="eastAsia" w:ascii="黑体" w:hAnsi="黑体" w:eastAsia="黑体"/>
          <w:b/>
          <w:bCs/>
          <w:szCs w:val="32"/>
        </w:rPr>
        <w:t>三、部门人员情况</w:t>
      </w:r>
    </w:p>
    <w:p>
      <w:pPr>
        <w:spacing w:line="560" w:lineRule="exact"/>
        <w:ind w:firstLine="641"/>
        <w:rPr>
          <w:rFonts w:ascii="仿宋" w:hAnsi="仿宋" w:eastAsia="仿宋" w:cs="仿宋_GB2312"/>
          <w:szCs w:val="32"/>
        </w:rPr>
      </w:pPr>
      <w:r>
        <w:rPr>
          <w:rFonts w:hint="eastAsia" w:ascii="仿宋" w:hAnsi="仿宋" w:eastAsia="仿宋" w:cs="仿宋_GB2312"/>
          <w:szCs w:val="32"/>
        </w:rPr>
        <w:t>截止2019年底，本单位人员编制6人，其中事业编制6人；实有人数6人，其中事业6人。</w:t>
      </w:r>
    </w:p>
    <w:p>
      <w:pPr>
        <w:widowControl/>
        <w:rPr>
          <w:rFonts w:ascii="黑体" w:hAnsi="宋体" w:eastAsia="黑体"/>
          <w:color w:val="000000"/>
          <w:kern w:val="0"/>
          <w:sz w:val="44"/>
          <w:szCs w:val="44"/>
        </w:rPr>
      </w:pPr>
      <w:r>
        <w:rPr>
          <w:rFonts w:ascii="黑体" w:hAnsi="宋体" w:eastAsia="黑体" w:cs="Times New Roman"/>
          <w:color w:val="000000"/>
          <w:kern w:val="0"/>
          <w:sz w:val="44"/>
          <w:szCs w:val="44"/>
          <w:lang w:val="en-US" w:eastAsia="zh-CN" w:bidi="ar-SA"/>
        </w:rPr>
        <mc:AlternateContent>
          <mc:Choice Requires="wps">
            <w:drawing>
              <wp:anchor distT="0" distB="0" distL="114300" distR="114300" simplePos="0" relativeHeight="251659264" behindDoc="0" locked="0" layoutInCell="1" allowOverlap="1">
                <wp:simplePos x="0" y="0"/>
                <wp:positionH relativeFrom="page">
                  <wp:posOffset>1147445</wp:posOffset>
                </wp:positionH>
                <wp:positionV relativeFrom="page">
                  <wp:posOffset>7630160</wp:posOffset>
                </wp:positionV>
                <wp:extent cx="2666365" cy="1385570"/>
                <wp:effectExtent l="0" t="0" r="0" b="0"/>
                <wp:wrapTopAndBottom/>
                <wp:docPr id="6" name="对象 1"/>
                <wp:cNvGraphicFramePr/>
                <a:graphic xmlns:a="http://schemas.openxmlformats.org/drawingml/2006/main">
                  <a:graphicData uri="http://schemas.microsoft.com/office/word/2010/wordprocessingShape">
                    <wps:wsp>
                      <wps:cNvSpPr/>
                      <wps:spPr>
                        <a:xfrm>
                          <a:off x="0" y="0"/>
                          <a:ext cx="2666365" cy="1385570"/>
                        </a:xfrm>
                        <a:custGeom>
                          <a:avLst/>
                          <a:gdLst/>
                          <a:ahLst/>
                          <a:cxnLst/>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对象 1" o:spid="_x0000_s1026" o:spt="100" style="position:absolute;left:0pt;margin-left:90.35pt;margin-top:600.8pt;height:109.1pt;width:209.95pt;mso-position-horizontal-relative:page;mso-position-vertical-relative:page;mso-wrap-distance-bottom:0pt;mso-wrap-distance-top:0pt;z-index:251659264;mso-width-relative:page;mso-height-relative:page;" fillcolor="#FFFFFF" filled="t" stroked="t" coordsize="2666365,1385570" o:gfxdata="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fTGLfYAAAADQEAAA8AAAAAAAAAAQAgAAAAIgAAAGRycy9kb3du&#10;cmV2LnhtbFBLAQIUABQAAAAIAIdO4kDnkLNo/wEAADQEAAAOAAAAAAAAAAEAIAAAACcBAABkcnMv&#10;ZTJvRG9jLnhtbFBLBQYAAAAABgAGAFkBAACYBQAAAAA=&#10;">
                <v:fill on="t" focussize="0,0"/>
                <v:stroke color="#000000" joinstyle="round"/>
                <v:imagedata o:title=""/>
                <o:lock v:ext="edit" aspectratio="f"/>
                <w10:wrap type="topAndBottom"/>
              </v:shape>
            </w:pict>
          </mc:Fallback>
        </mc:AlternateContent>
      </w:r>
    </w:p>
    <w:p>
      <w:pPr>
        <w:widowControl/>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p>
      <w:pPr>
        <w:widowControl/>
        <w:rPr>
          <w:rFonts w:ascii="黑体" w:hAnsi="宋体" w:eastAsia="黑体"/>
          <w:color w:val="000000"/>
          <w:kern w:val="0"/>
          <w:sz w:val="44"/>
          <w:szCs w:val="44"/>
        </w:rPr>
      </w:pPr>
    </w:p>
    <w:tbl>
      <w:tblPr>
        <w:tblStyle w:val="7"/>
        <w:tblpPr w:leftFromText="180" w:rightFromText="180" w:vertAnchor="text" w:horzAnchor="page" w:tblpX="1437" w:tblpY="510"/>
        <w:tblOverlap w:val="never"/>
        <w:tblW w:w="93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3"/>
        <w:gridCol w:w="5651"/>
        <w:gridCol w:w="596"/>
        <w:gridCol w:w="26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eastAsia="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exact"/>
        </w:trPr>
        <w:tc>
          <w:tcPr>
            <w:tcW w:w="513"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5651"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596"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611"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6" w:hRule="exact"/>
        </w:trPr>
        <w:tc>
          <w:tcPr>
            <w:tcW w:w="5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1"/>
                <w:szCs w:val="21"/>
              </w:rPr>
            </w:pPr>
            <w:r>
              <w:rPr>
                <w:rFonts w:hint="eastAsia" w:ascii="宋体" w:hAnsi="宋体" w:cs="宋体"/>
                <w:color w:val="000000"/>
                <w:kern w:val="0"/>
                <w:sz w:val="21"/>
                <w:szCs w:val="21"/>
              </w:rPr>
              <w:t>表8</w:t>
            </w:r>
          </w:p>
        </w:tc>
        <w:tc>
          <w:tcPr>
            <w:tcW w:w="5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政府性基金预算财政拨款收入支出决算表</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kern w:val="0"/>
                <w:sz w:val="21"/>
                <w:szCs w:val="21"/>
              </w:rPr>
            </w:pPr>
            <w:r>
              <w:rPr>
                <w:rFonts w:hint="eastAsia" w:ascii="宋体" w:hAnsi="宋体" w:cs="宋体"/>
                <w:color w:val="000000"/>
                <w:kern w:val="0"/>
                <w:sz w:val="21"/>
                <w:szCs w:val="21"/>
              </w:rPr>
              <w:t>是</w:t>
            </w:r>
          </w:p>
        </w:tc>
        <w:tc>
          <w:tcPr>
            <w:tcW w:w="26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kern w:val="0"/>
                <w:sz w:val="21"/>
                <w:szCs w:val="21"/>
              </w:rPr>
            </w:pPr>
            <w:r>
              <w:rPr>
                <w:rFonts w:hint="eastAsia" w:ascii="宋体" w:hAnsi="宋体" w:cs="宋体"/>
                <w:color w:val="000000"/>
                <w:kern w:val="0"/>
                <w:sz w:val="21"/>
                <w:szCs w:val="21"/>
              </w:rPr>
              <w:t>本部门无政府性基金</w:t>
            </w:r>
          </w:p>
        </w:tc>
      </w:tr>
    </w:tbl>
    <w:p>
      <w:pPr>
        <w:widowControl/>
        <w:rPr>
          <w:rFonts w:ascii="宋体" w:hAnsi="宋体" w:cs="宋体"/>
          <w:color w:val="000000"/>
          <w:kern w:val="0"/>
          <w:sz w:val="21"/>
          <w:szCs w:val="21"/>
        </w:rPr>
      </w:pPr>
    </w:p>
    <w:p>
      <w:pPr>
        <w:widowControl/>
        <w:textAlignment w:val="center"/>
        <w:rPr>
          <w:rFonts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widowControl/>
        <w:textAlignment w:val="center"/>
        <w:rPr>
          <w:rFonts w:hint="eastAsia" w:ascii="宋体" w:hAnsi="宋体" w:cs="宋体"/>
          <w:b/>
          <w:color w:val="000000"/>
          <w:kern w:val="0"/>
          <w:sz w:val="40"/>
          <w:szCs w:val="40"/>
        </w:rPr>
      </w:pPr>
    </w:p>
    <w:p>
      <w:pPr>
        <w:widowControl/>
        <w:textAlignment w:val="center"/>
        <w:rPr>
          <w:rFonts w:ascii="宋体" w:hAnsi="宋体" w:cs="宋体"/>
          <w:b/>
          <w:color w:val="000000"/>
          <w:kern w:val="0"/>
          <w:sz w:val="40"/>
          <w:szCs w:val="40"/>
        </w:rPr>
      </w:pPr>
    </w:p>
    <w:p>
      <w:pPr>
        <w:jc w:val="center"/>
        <w:rPr>
          <w:rFonts w:ascii="宋体" w:hAnsi="宋体" w:eastAsia="宋体" w:cs="宋体"/>
          <w:b/>
          <w:bCs/>
          <w:szCs w:val="32"/>
        </w:rPr>
      </w:pPr>
      <w:r>
        <w:rPr>
          <w:rFonts w:hint="eastAsia" w:ascii="宋体" w:hAnsi="宋体" w:eastAsia="宋体" w:cs="宋体"/>
          <w:b/>
          <w:bCs/>
          <w:szCs w:val="32"/>
        </w:rPr>
        <w:t>收入支出决算总表</w:t>
      </w:r>
    </w:p>
    <w:p>
      <w:pPr>
        <w:ind w:right="420"/>
        <w:rPr>
          <w:rFonts w:ascii="宋体" w:hAnsi="宋体" w:eastAsia="宋体" w:cs="宋体"/>
          <w:b/>
          <w:bCs/>
          <w:sz w:val="21"/>
          <w:szCs w:val="21"/>
        </w:rPr>
      </w:pPr>
      <w:r>
        <w:rPr>
          <w:rFonts w:hint="eastAsia" w:ascii="宋体" w:hAnsi="宋体" w:eastAsia="宋体" w:cs="宋体"/>
          <w:b/>
          <w:bCs/>
          <w:sz w:val="21"/>
          <w:szCs w:val="21"/>
        </w:rPr>
        <w:t>公开01表</w:t>
      </w:r>
    </w:p>
    <w:p>
      <w:pPr>
        <w:jc w:val="left"/>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388"/>
        <w:gridCol w:w="1080"/>
        <w:gridCol w:w="3090"/>
        <w:gridCol w:w="1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137.83</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编制部门：西安市阎良区救助管理站                               金额单位：万元</w:t>
      </w:r>
    </w:p>
    <w:tbl>
      <w:tblPr>
        <w:tblStyle w:val="7"/>
        <w:tblW w:w="8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66"/>
        <w:gridCol w:w="2410"/>
        <w:gridCol w:w="850"/>
        <w:gridCol w:w="709"/>
        <w:gridCol w:w="567"/>
        <w:gridCol w:w="567"/>
        <w:gridCol w:w="850"/>
        <w:gridCol w:w="709"/>
        <w:gridCol w:w="709"/>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9" w:hRule="atLeast"/>
        </w:trPr>
        <w:tc>
          <w:tcPr>
            <w:tcW w:w="327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41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63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41" w:hRule="atLeast"/>
        </w:trPr>
        <w:tc>
          <w:tcPr>
            <w:tcW w:w="866"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41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327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20123</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民族事务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2012399</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其他民族事务支出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131.47</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131.47</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民政管理事务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73.07</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73.07</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2080202</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2080299</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其他民政管理事务支出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72.52</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72.52</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410" w:type="dxa"/>
            <w:tcBorders>
              <w:top w:val="single" w:color="000000" w:sz="4" w:space="0"/>
              <w:left w:val="single" w:color="000000" w:sz="4" w:space="0"/>
              <w:bottom w:val="single" w:color="000000" w:sz="4" w:space="0"/>
              <w:right w:val="single" w:color="000000" w:sz="4" w:space="0"/>
            </w:tcBorders>
            <w:vAlign w:val="center"/>
          </w:tcPr>
          <w:p>
            <w:pPr>
              <w:ind w:left="211" w:leftChars="66"/>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20820</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临时救助</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53.00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53.00</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2082002</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流浪乞讨人员救助支出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53.00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53.00</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2101102</w:t>
            </w:r>
          </w:p>
        </w:tc>
        <w:tc>
          <w:tcPr>
            <w:tcW w:w="241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事业单位医疗</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jc w:val="left"/>
        <w:rPr>
          <w:rFonts w:ascii="宋体" w:hAnsi="宋体" w:eastAsia="宋体" w:cs="宋体"/>
          <w:b/>
          <w:bCs/>
          <w:sz w:val="21"/>
          <w:szCs w:val="21"/>
        </w:rPr>
      </w:pPr>
      <w:r>
        <w:rPr>
          <w:rFonts w:hint="eastAsia" w:ascii="宋体" w:hAnsi="宋体" w:eastAsia="宋体" w:cs="宋体"/>
          <w:b/>
          <w:bCs/>
          <w:sz w:val="21"/>
          <w:szCs w:val="21"/>
        </w:rPr>
        <w:t>公开03表</w:t>
      </w:r>
    </w:p>
    <w:p>
      <w:pPr>
        <w:rPr>
          <w:rFonts w:ascii="宋体" w:hAnsi="宋体" w:eastAsia="宋体" w:cs="宋体"/>
          <w:b/>
          <w:bCs/>
          <w:sz w:val="48"/>
          <w:szCs w:val="48"/>
        </w:rPr>
      </w:pPr>
      <w:r>
        <w:rPr>
          <w:rFonts w:hint="eastAsia" w:ascii="宋体" w:hAnsi="宋体" w:eastAsia="宋体" w:cs="宋体"/>
          <w:b/>
          <w:bCs/>
          <w:sz w:val="21"/>
          <w:szCs w:val="21"/>
        </w:rPr>
        <w:t>编制部门：西安市阎良区救助管理站                               金额单位：万元</w:t>
      </w:r>
    </w:p>
    <w:tbl>
      <w:tblPr>
        <w:tblStyle w:val="7"/>
        <w:tblW w:w="88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97"/>
        <w:gridCol w:w="11"/>
        <w:gridCol w:w="3118"/>
        <w:gridCol w:w="1134"/>
        <w:gridCol w:w="851"/>
        <w:gridCol w:w="708"/>
        <w:gridCol w:w="709"/>
        <w:gridCol w:w="567"/>
        <w:gridCol w:w="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412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80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2"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312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0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412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84.84</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69.28</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15.56</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20123</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民族事务</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2012399</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其他民族事务支出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78.48</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62.92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15.56</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民政管理事务</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73.07</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57.52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2080202</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2080299</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其他民政管理事务支出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72.52</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57.52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15.00</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20820</w:t>
            </w: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临时救助</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2082002</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流浪乞讨人员救助支出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2101102</w:t>
            </w:r>
          </w:p>
        </w:tc>
        <w:tc>
          <w:tcPr>
            <w:tcW w:w="311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事业单位医疗</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3"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11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0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ascii="宋体" w:hAnsi="宋体" w:eastAsia="宋体" w:cs="宋体"/>
          <w:color w:val="000000"/>
          <w:kern w:val="0"/>
          <w:sz w:val="21"/>
          <w:szCs w:val="21"/>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Pr>
        <w:widowControl/>
        <w:jc w:val="left"/>
        <w:rPr>
          <w:rFonts w:ascii="宋体" w:hAnsi="宋体" w:eastAsia="宋体" w:cs="宋体"/>
          <w:color w:val="000000"/>
          <w:kern w:val="0"/>
          <w:sz w:val="21"/>
          <w:szCs w:val="21"/>
        </w:rPr>
      </w:pPr>
    </w:p>
    <w:p>
      <w:pPr>
        <w:widowControl/>
        <w:jc w:val="left"/>
        <w:rPr>
          <w:rFonts w:eastAsia="宋体" w:cs="黑体"/>
          <w:sz w:val="21"/>
          <w:szCs w:val="24"/>
        </w:rPr>
      </w:pPr>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7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5"/>
        <w:gridCol w:w="1072"/>
        <w:gridCol w:w="2703"/>
        <w:gridCol w:w="1134"/>
        <w:gridCol w:w="1102"/>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78.47</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78.47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003"/>
        <w:gridCol w:w="1554"/>
        <w:gridCol w:w="1815"/>
        <w:gridCol w:w="1230"/>
        <w:gridCol w:w="1061"/>
        <w:gridCol w:w="1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137.83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84.84</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84.84</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52.99</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52.99</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r>
              <w:rPr>
                <w:rFonts w:hint="eastAsia" w:ascii="宋体" w:hAnsi="宋体" w:eastAsia="宋体" w:cs="宋体"/>
                <w:b/>
                <w:color w:val="000000"/>
                <w:kern w:val="0"/>
                <w:sz w:val="21"/>
                <w:szCs w:val="21"/>
              </w:rPr>
              <w:t>137.83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137.83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137.83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Pr>
        <w:rPr>
          <w:rFonts w:hint="eastAsia"/>
        </w:rPr>
      </w:pPr>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公开05表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7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84.84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69.28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62.16</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7.12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一般公共服务</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20123</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民族事务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2012399</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其他民族事务支出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78.48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62.92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60.85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20802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民政管理事务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57.52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55.45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15.55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2080202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2080299</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其他民政管理事务支出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72.52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57.52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55.45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2080505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20820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临时救助</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2082002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流浪乞讨人员救助支出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21011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2101102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57"/>
        <w:gridCol w:w="2260"/>
        <w:gridCol w:w="1445"/>
        <w:gridCol w:w="1437"/>
        <w:gridCol w:w="1363"/>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41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4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4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41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44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69.28</w:t>
            </w:r>
          </w:p>
        </w:tc>
        <w:tc>
          <w:tcPr>
            <w:tcW w:w="1437"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62.17</w:t>
            </w:r>
          </w:p>
        </w:tc>
        <w:tc>
          <w:tcPr>
            <w:tcW w:w="1363"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7.12</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62.17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62.17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30101</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17.85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17.85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30102</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10.77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10.77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30107</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绩效工资</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18.97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18.97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30108</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机关事业单位基本养老保险缴费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5.40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30109</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职业年金缴费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30110</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职工基本医疗保险缴费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1.32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30113</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住房公积金</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6.51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6.51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商品和服务支出</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7.12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7.12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30201</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办公费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0.24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0.24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30205</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水费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0.40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0.40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30206</w:t>
            </w:r>
          </w:p>
        </w:tc>
        <w:tc>
          <w:tcPr>
            <w:tcW w:w="226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电费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1.12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1.12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30211</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差旅费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0.61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0.61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 xml:space="preserve">  30231</w:t>
            </w: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公务用车运行维护费</w:t>
            </w: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4.75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4.75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26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26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26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26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公开07表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8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eastAsia="zh-CN"/>
              </w:rPr>
            </w:pPr>
            <w:r>
              <w:rPr>
                <w:rFonts w:hint="eastAsia" w:ascii="宋体" w:hAnsi="宋体" w:eastAsia="宋体" w:cs="宋体"/>
                <w:b/>
                <w:color w:val="000000"/>
                <w:sz w:val="21"/>
                <w:szCs w:val="21"/>
                <w:lang w:val="en-US" w:eastAsia="zh-CN"/>
              </w:rPr>
              <w:t>5.05</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0.3</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4.75</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4.75</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0.09</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19.75</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19.75</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15.00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4.75</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编制部门：西安市阎良区救助管理站                              金额单位：万元</w:t>
      </w:r>
    </w:p>
    <w:tbl>
      <w:tblPr>
        <w:tblStyle w:val="7"/>
        <w:tblW w:w="8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spacing w:line="560" w:lineRule="exact"/>
        <w:rPr>
          <w:rFonts w:ascii="黑体" w:hAnsi="宋体" w:eastAsia="黑体"/>
          <w:color w:val="000000"/>
          <w:kern w:val="0"/>
          <w:sz w:val="44"/>
          <w:szCs w:val="44"/>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pStyle w:val="6"/>
        <w:spacing w:before="0" w:beforeAutospacing="0" w:after="0" w:afterAutospacing="0" w:line="560" w:lineRule="exact"/>
        <w:ind w:firstLine="640" w:firstLineChars="200"/>
        <w:rPr>
          <w:rFonts w:ascii="仿宋" w:hAnsi="仿宋" w:eastAsia="仿宋" w:cs="华文仿宋"/>
          <w:sz w:val="32"/>
          <w:szCs w:val="32"/>
        </w:rPr>
      </w:pPr>
      <w:r>
        <w:rPr>
          <w:rFonts w:hint="eastAsia" w:ascii="仿宋" w:hAnsi="仿宋" w:eastAsia="仿宋"/>
          <w:sz w:val="32"/>
          <w:szCs w:val="32"/>
        </w:rPr>
        <w:t>2019年度收入合计137.83万元，较上年101.10万元增加36.73万元，主要原因是增加1名人员经费及更新救助车1辆。</w:t>
      </w:r>
    </w:p>
    <w:p>
      <w:pPr>
        <w:ind w:firstLine="640" w:firstLineChars="200"/>
        <w:jc w:val="left"/>
      </w:pPr>
      <w:r>
        <w:rPr>
          <w:rFonts w:hint="eastAsia" w:ascii="仿宋" w:hAnsi="仿宋" w:eastAsia="仿宋"/>
          <w:szCs w:val="32"/>
        </w:rPr>
        <w:t>2019年度支出合计84.84万元，较上年116.10万元减少了31.26万元，主要原因是社会救助服务体系更加完善，滞留的流浪乞讨人员逐渐减少。</w:t>
      </w:r>
      <w:r>
        <w:drawing>
          <wp:inline distT="0" distB="0" distL="0" distR="0">
            <wp:extent cx="4717415" cy="3590925"/>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spacing w:line="560" w:lineRule="exact"/>
        <w:ind w:firstLine="640" w:firstLineChars="200"/>
        <w:jc w:val="left"/>
        <w:rPr>
          <w:rFonts w:ascii="仿宋" w:hAnsi="仿宋" w:eastAsia="仿宋"/>
        </w:rPr>
      </w:pPr>
      <w:r>
        <w:rPr>
          <w:rFonts w:hint="eastAsia" w:ascii="仿宋" w:hAnsi="仿宋" w:eastAsia="仿宋" w:cs="仿宋_GB2312"/>
          <w:color w:val="000000"/>
          <w:kern w:val="0"/>
          <w:szCs w:val="32"/>
        </w:rPr>
        <w:t>2019</w:t>
      </w:r>
      <w:r>
        <w:rPr>
          <w:rFonts w:ascii="仿宋" w:hAnsi="仿宋" w:eastAsia="仿宋" w:cs="仿宋_GB2312"/>
          <w:color w:val="000000"/>
          <w:kern w:val="0"/>
          <w:szCs w:val="32"/>
        </w:rPr>
        <w:t>年</w:t>
      </w:r>
      <w:r>
        <w:rPr>
          <w:rFonts w:hint="eastAsia" w:ascii="仿宋" w:hAnsi="仿宋" w:eastAsia="仿宋"/>
          <w:szCs w:val="32"/>
        </w:rPr>
        <w:t>度</w:t>
      </w:r>
      <w:r>
        <w:rPr>
          <w:rFonts w:ascii="仿宋" w:hAnsi="仿宋" w:eastAsia="仿宋" w:cs="仿宋_GB2312"/>
          <w:color w:val="000000"/>
          <w:kern w:val="0"/>
          <w:szCs w:val="32"/>
        </w:rPr>
        <w:t>收入合计</w:t>
      </w:r>
      <w:r>
        <w:rPr>
          <w:rFonts w:hint="eastAsia" w:ascii="仿宋" w:hAnsi="仿宋" w:eastAsia="仿宋" w:cs="仿宋_GB2312"/>
          <w:color w:val="000000"/>
          <w:kern w:val="0"/>
          <w:szCs w:val="32"/>
        </w:rPr>
        <w:t>137.83</w:t>
      </w:r>
      <w:r>
        <w:rPr>
          <w:rFonts w:ascii="仿宋" w:hAnsi="仿宋" w:eastAsia="仿宋" w:cs="仿宋_GB2312"/>
          <w:color w:val="000000"/>
          <w:kern w:val="0"/>
          <w:szCs w:val="32"/>
        </w:rPr>
        <w:t>万元，其中：财政拨款收入</w:t>
      </w:r>
      <w:r>
        <w:rPr>
          <w:rFonts w:hint="eastAsia" w:ascii="仿宋" w:hAnsi="仿宋" w:eastAsia="仿宋" w:cs="仿宋_GB2312"/>
          <w:color w:val="000000"/>
          <w:kern w:val="0"/>
          <w:szCs w:val="32"/>
        </w:rPr>
        <w:t>137.83</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100</w:t>
      </w:r>
      <w:r>
        <w:rPr>
          <w:rFonts w:ascii="仿宋" w:hAnsi="仿宋" w:eastAsia="仿宋" w:cs="仿宋_GB2312"/>
          <w:color w:val="000000"/>
          <w:kern w:val="0"/>
          <w:szCs w:val="32"/>
        </w:rPr>
        <w:t>%；事业收入</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0</w:t>
      </w:r>
      <w:r>
        <w:rPr>
          <w:rFonts w:ascii="仿宋" w:hAnsi="仿宋" w:eastAsia="仿宋" w:cs="仿宋_GB2312"/>
          <w:color w:val="000000"/>
          <w:kern w:val="0"/>
          <w:szCs w:val="32"/>
        </w:rPr>
        <w:t>%；经营收入</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0</w:t>
      </w:r>
      <w:r>
        <w:rPr>
          <w:rFonts w:ascii="仿宋" w:hAnsi="仿宋" w:eastAsia="仿宋" w:cs="仿宋_GB2312"/>
          <w:color w:val="000000"/>
          <w:kern w:val="0"/>
          <w:szCs w:val="32"/>
        </w:rPr>
        <w:t>%；其他收入</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0</w:t>
      </w:r>
      <w:r>
        <w:rPr>
          <w:rFonts w:ascii="仿宋" w:hAnsi="仿宋" w:eastAsia="仿宋" w:cs="仿宋_GB2312"/>
          <w:color w:val="000000"/>
          <w:kern w:val="0"/>
          <w:szCs w:val="32"/>
        </w:rPr>
        <w:t>%</w:t>
      </w:r>
      <w:r>
        <w:rPr>
          <w:rFonts w:hint="eastAsia" w:ascii="仿宋" w:hAnsi="仿宋" w:eastAsia="仿宋" w:cs="仿宋_GB2312"/>
          <w:color w:val="000000"/>
          <w:kern w:val="0"/>
          <w:szCs w:val="32"/>
        </w:rPr>
        <w:t>。</w:t>
      </w:r>
    </w:p>
    <w:p>
      <w:r>
        <w:drawing>
          <wp:inline distT="0" distB="0" distL="0" distR="0">
            <wp:extent cx="5274310" cy="3392170"/>
            <wp:effectExtent l="0" t="0" r="2540" b="1778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spacing w:line="560" w:lineRule="exact"/>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ind w:firstLine="640" w:firstLineChars="200"/>
        <w:rPr>
          <w:rFonts w:ascii="仿宋" w:hAnsi="仿宋" w:eastAsia="仿宋" w:cs="仿宋_GB2312"/>
          <w:color w:val="000000"/>
          <w:kern w:val="0"/>
          <w:szCs w:val="32"/>
        </w:rPr>
      </w:pPr>
      <w:r>
        <w:rPr>
          <w:rFonts w:hint="eastAsia" w:ascii="仿宋" w:hAnsi="仿宋" w:eastAsia="仿宋" w:cs="仿宋_GB2312"/>
          <w:color w:val="000000"/>
          <w:kern w:val="0"/>
          <w:szCs w:val="32"/>
        </w:rPr>
        <w:t>2019</w:t>
      </w:r>
      <w:r>
        <w:rPr>
          <w:rFonts w:ascii="仿宋" w:hAnsi="仿宋" w:eastAsia="仿宋" w:cs="仿宋_GB2312"/>
          <w:color w:val="000000"/>
          <w:kern w:val="0"/>
          <w:szCs w:val="32"/>
        </w:rPr>
        <w:t>年</w:t>
      </w:r>
      <w:r>
        <w:rPr>
          <w:rFonts w:hint="eastAsia" w:ascii="仿宋" w:hAnsi="仿宋" w:eastAsia="仿宋"/>
          <w:szCs w:val="32"/>
        </w:rPr>
        <w:t>度</w:t>
      </w:r>
      <w:r>
        <w:rPr>
          <w:rFonts w:ascii="仿宋" w:hAnsi="仿宋" w:eastAsia="仿宋" w:cs="仿宋_GB2312"/>
          <w:color w:val="000000"/>
          <w:kern w:val="0"/>
          <w:szCs w:val="32"/>
        </w:rPr>
        <w:t>支出合计</w:t>
      </w:r>
      <w:r>
        <w:rPr>
          <w:rFonts w:hint="eastAsia" w:ascii="仿宋" w:hAnsi="仿宋" w:eastAsia="仿宋" w:cs="仿宋_GB2312"/>
          <w:color w:val="000000"/>
          <w:kern w:val="0"/>
          <w:szCs w:val="32"/>
        </w:rPr>
        <w:t>84.84</w:t>
      </w:r>
      <w:r>
        <w:rPr>
          <w:rFonts w:ascii="仿宋" w:hAnsi="仿宋" w:eastAsia="仿宋" w:cs="仿宋_GB2312"/>
          <w:color w:val="000000"/>
          <w:kern w:val="0"/>
          <w:szCs w:val="32"/>
        </w:rPr>
        <w:t>万元，其中：基本支出</w:t>
      </w:r>
      <w:r>
        <w:rPr>
          <w:rFonts w:hint="eastAsia" w:ascii="仿宋" w:hAnsi="仿宋" w:eastAsia="仿宋" w:cs="仿宋_GB2312"/>
          <w:color w:val="000000"/>
          <w:kern w:val="0"/>
          <w:szCs w:val="32"/>
        </w:rPr>
        <w:t>69.28</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81.66</w:t>
      </w:r>
      <w:r>
        <w:rPr>
          <w:rFonts w:ascii="仿宋" w:hAnsi="仿宋" w:eastAsia="仿宋" w:cs="仿宋_GB2312"/>
          <w:color w:val="000000"/>
          <w:kern w:val="0"/>
          <w:szCs w:val="32"/>
        </w:rPr>
        <w:t>%；项目支出</w:t>
      </w:r>
      <w:r>
        <w:rPr>
          <w:rFonts w:hint="eastAsia" w:ascii="仿宋" w:hAnsi="仿宋" w:eastAsia="仿宋" w:cs="仿宋_GB2312"/>
          <w:color w:val="000000"/>
          <w:kern w:val="0"/>
          <w:szCs w:val="32"/>
        </w:rPr>
        <w:t>15.56</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18.34</w:t>
      </w:r>
      <w:r>
        <w:rPr>
          <w:rFonts w:ascii="仿宋" w:hAnsi="仿宋" w:eastAsia="仿宋" w:cs="仿宋_GB2312"/>
          <w:color w:val="000000"/>
          <w:kern w:val="0"/>
          <w:szCs w:val="32"/>
        </w:rPr>
        <w:t>%；经营支出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0</w:t>
      </w:r>
      <w:r>
        <w:rPr>
          <w:rFonts w:ascii="仿宋" w:hAnsi="仿宋" w:eastAsia="仿宋" w:cs="仿宋_GB2312"/>
          <w:color w:val="000000"/>
          <w:kern w:val="0"/>
          <w:szCs w:val="32"/>
        </w:rPr>
        <w:t>%。</w:t>
      </w:r>
    </w:p>
    <w:p>
      <w:r>
        <w:drawing>
          <wp:inline distT="0" distB="0" distL="0" distR="0">
            <wp:extent cx="5274310" cy="3577590"/>
            <wp:effectExtent l="0" t="0" r="2540" b="381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spacing w:line="560" w:lineRule="exact"/>
        <w:ind w:firstLine="640" w:firstLineChars="200"/>
        <w:jc w:val="left"/>
        <w:rPr>
          <w:rFonts w:ascii="仿宋_GB2312" w:hAnsi="仿宋" w:eastAsia="仿宋_GB2312"/>
          <w:szCs w:val="32"/>
        </w:rPr>
      </w:pPr>
      <w:r>
        <w:rPr>
          <w:rFonts w:hint="eastAsia" w:ascii="仿宋" w:hAnsi="仿宋" w:eastAsia="仿宋"/>
          <w:szCs w:val="32"/>
        </w:rPr>
        <w:t>2019年度</w:t>
      </w:r>
      <w:r>
        <w:rPr>
          <w:rFonts w:ascii="仿宋" w:hAnsi="仿宋" w:eastAsia="仿宋" w:cs="仿宋_GB2312"/>
          <w:color w:val="000000"/>
          <w:kern w:val="0"/>
          <w:szCs w:val="32"/>
        </w:rPr>
        <w:t>财政拨款</w:t>
      </w:r>
      <w:r>
        <w:rPr>
          <w:rFonts w:hint="eastAsia" w:ascii="仿宋" w:hAnsi="仿宋" w:eastAsia="仿宋"/>
          <w:szCs w:val="32"/>
        </w:rPr>
        <w:t>收入合计137.83万元，较上年101.10万元增加36.73万元，主要原因是增加1名事业人员经费及更新救助车1辆。</w:t>
      </w:r>
    </w:p>
    <w:p>
      <w:pPr>
        <w:widowControl/>
        <w:spacing w:line="560" w:lineRule="exact"/>
        <w:ind w:firstLine="640" w:firstLineChars="200"/>
        <w:jc w:val="left"/>
        <w:rPr>
          <w:rFonts w:ascii="仿宋" w:hAnsi="仿宋" w:eastAsia="仿宋"/>
          <w:szCs w:val="32"/>
        </w:rPr>
      </w:pPr>
      <w:r>
        <w:rPr>
          <w:rFonts w:hint="eastAsia" w:ascii="仿宋" w:hAnsi="仿宋" w:eastAsia="仿宋"/>
          <w:szCs w:val="32"/>
        </w:rPr>
        <w:t>2019年度</w:t>
      </w:r>
      <w:r>
        <w:rPr>
          <w:rFonts w:ascii="仿宋" w:hAnsi="仿宋" w:eastAsia="仿宋" w:cs="仿宋_GB2312"/>
          <w:color w:val="000000"/>
          <w:kern w:val="0"/>
          <w:szCs w:val="32"/>
        </w:rPr>
        <w:t>财政拨款</w:t>
      </w:r>
      <w:r>
        <w:rPr>
          <w:rFonts w:hint="eastAsia" w:ascii="仿宋" w:hAnsi="仿宋" w:eastAsia="仿宋"/>
          <w:szCs w:val="32"/>
        </w:rPr>
        <w:t>支出合计84.84万元，较上年116.10万元减少了31.26万元，主要原因是社会救助服务体系更加完善，滞留的流浪乞讨人员逐渐减少。</w:t>
      </w:r>
    </w:p>
    <w:p>
      <w:r>
        <w:drawing>
          <wp:inline distT="0" distB="0" distL="0" distR="0">
            <wp:extent cx="4657725" cy="3514725"/>
            <wp:effectExtent l="0" t="0" r="0" b="0"/>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spacing w:line="560" w:lineRule="exact"/>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spacing w:line="560" w:lineRule="exact"/>
        <w:ind w:firstLine="640" w:firstLineChars="200"/>
        <w:jc w:val="left"/>
        <w:rPr>
          <w:rFonts w:ascii="仿宋" w:hAnsi="仿宋" w:eastAsia="仿宋"/>
        </w:rPr>
      </w:pPr>
      <w:r>
        <w:rPr>
          <w:rFonts w:ascii="仿宋" w:hAnsi="仿宋" w:eastAsia="仿宋" w:cs="仿宋_GB2312"/>
          <w:color w:val="000000"/>
          <w:kern w:val="0"/>
          <w:szCs w:val="32"/>
        </w:rPr>
        <w:t>2019年</w:t>
      </w:r>
      <w:r>
        <w:rPr>
          <w:rFonts w:hint="eastAsia" w:ascii="仿宋" w:hAnsi="仿宋" w:eastAsia="仿宋"/>
          <w:szCs w:val="32"/>
        </w:rPr>
        <w:t>度</w:t>
      </w:r>
      <w:r>
        <w:rPr>
          <w:rFonts w:ascii="仿宋" w:hAnsi="仿宋" w:eastAsia="仿宋" w:cs="仿宋_GB2312"/>
          <w:color w:val="000000"/>
          <w:kern w:val="0"/>
          <w:szCs w:val="32"/>
        </w:rPr>
        <w:t>财政拨款支出</w:t>
      </w:r>
      <w:r>
        <w:rPr>
          <w:rFonts w:hint="eastAsia" w:ascii="仿宋" w:hAnsi="仿宋" w:eastAsia="仿宋" w:cs="仿宋_GB2312"/>
          <w:color w:val="000000"/>
          <w:kern w:val="0"/>
          <w:szCs w:val="32"/>
        </w:rPr>
        <w:t>84.84</w:t>
      </w:r>
      <w:r>
        <w:rPr>
          <w:rFonts w:ascii="仿宋" w:hAnsi="仿宋" w:eastAsia="仿宋" w:cs="仿宋_GB2312"/>
          <w:color w:val="000000"/>
          <w:kern w:val="0"/>
          <w:szCs w:val="32"/>
        </w:rPr>
        <w:t>万元，占本年支出合计的</w:t>
      </w:r>
      <w:r>
        <w:rPr>
          <w:rFonts w:hint="eastAsia" w:ascii="仿宋" w:hAnsi="仿宋" w:eastAsia="仿宋" w:cs="仿宋_GB2312"/>
          <w:color w:val="000000"/>
          <w:kern w:val="0"/>
          <w:szCs w:val="32"/>
        </w:rPr>
        <w:t>100</w:t>
      </w:r>
      <w:r>
        <w:rPr>
          <w:rFonts w:ascii="仿宋" w:hAnsi="仿宋" w:eastAsia="仿宋" w:cs="仿宋_GB2312"/>
          <w:color w:val="000000"/>
          <w:kern w:val="0"/>
          <w:szCs w:val="32"/>
        </w:rPr>
        <w:t>%。与</w:t>
      </w:r>
      <w:r>
        <w:rPr>
          <w:rFonts w:hint="eastAsia" w:ascii="仿宋" w:hAnsi="仿宋" w:eastAsia="仿宋" w:cs="仿宋_GB2312"/>
          <w:color w:val="000000"/>
          <w:kern w:val="0"/>
          <w:szCs w:val="32"/>
        </w:rPr>
        <w:t>上年116.10万元</w:t>
      </w:r>
      <w:r>
        <w:rPr>
          <w:rFonts w:ascii="仿宋" w:hAnsi="仿宋" w:eastAsia="仿宋" w:cs="仿宋_GB2312"/>
          <w:color w:val="000000"/>
          <w:kern w:val="0"/>
          <w:szCs w:val="32"/>
        </w:rPr>
        <w:t>相比</w:t>
      </w:r>
      <w:r>
        <w:rPr>
          <w:rFonts w:hint="eastAsia" w:ascii="仿宋" w:hAnsi="仿宋" w:eastAsia="仿宋" w:cs="仿宋_GB2312"/>
          <w:color w:val="000000"/>
          <w:kern w:val="0"/>
          <w:szCs w:val="32"/>
        </w:rPr>
        <w:t>，</w:t>
      </w:r>
      <w:r>
        <w:rPr>
          <w:rFonts w:ascii="仿宋" w:hAnsi="仿宋" w:eastAsia="仿宋" w:cs="仿宋_GB2312"/>
          <w:color w:val="000000"/>
          <w:kern w:val="0"/>
          <w:szCs w:val="32"/>
        </w:rPr>
        <w:t>财政拨款支出</w:t>
      </w:r>
      <w:r>
        <w:rPr>
          <w:rFonts w:hint="eastAsia" w:ascii="仿宋" w:hAnsi="仿宋" w:eastAsia="仿宋" w:cs="仿宋_GB2312"/>
          <w:color w:val="000000"/>
          <w:kern w:val="0"/>
          <w:szCs w:val="32"/>
        </w:rPr>
        <w:t>减少31.26</w:t>
      </w:r>
      <w:r>
        <w:rPr>
          <w:rFonts w:ascii="仿宋" w:hAnsi="仿宋" w:eastAsia="仿宋" w:cs="仿宋_GB2312"/>
          <w:color w:val="000000"/>
          <w:kern w:val="0"/>
          <w:szCs w:val="32"/>
        </w:rPr>
        <w:t>万元，</w:t>
      </w:r>
      <w:r>
        <w:rPr>
          <w:rFonts w:hint="eastAsia" w:ascii="仿宋" w:hAnsi="仿宋" w:eastAsia="仿宋" w:cs="仿宋_GB2312"/>
          <w:color w:val="000000"/>
          <w:kern w:val="0"/>
          <w:szCs w:val="32"/>
        </w:rPr>
        <w:t>减少36.85</w:t>
      </w:r>
      <w:r>
        <w:rPr>
          <w:rFonts w:ascii="仿宋" w:hAnsi="仿宋" w:eastAsia="仿宋" w:cs="仿宋_GB2312"/>
          <w:color w:val="000000"/>
          <w:kern w:val="0"/>
          <w:szCs w:val="32"/>
        </w:rPr>
        <w:t>%，主要</w:t>
      </w:r>
      <w:r>
        <w:rPr>
          <w:rFonts w:hint="eastAsia" w:ascii="仿宋" w:hAnsi="仿宋" w:eastAsia="仿宋" w:cs="仿宋_GB2312"/>
          <w:color w:val="000000"/>
          <w:kern w:val="0"/>
          <w:szCs w:val="32"/>
        </w:rPr>
        <w:t>原因是</w:t>
      </w:r>
      <w:r>
        <w:rPr>
          <w:rFonts w:hint="eastAsia" w:ascii="仿宋" w:hAnsi="仿宋" w:eastAsia="仿宋"/>
          <w:szCs w:val="32"/>
        </w:rPr>
        <w:t>社会救助服务体系更加完善，滞留的流浪乞讨人员逐渐减少</w:t>
      </w:r>
      <w:r>
        <w:rPr>
          <w:rFonts w:hint="eastAsia" w:ascii="仿宋" w:hAnsi="仿宋" w:eastAsia="仿宋" w:cs="仿宋_GB2312"/>
          <w:color w:val="000000"/>
          <w:kern w:val="0"/>
          <w:szCs w:val="32"/>
        </w:rPr>
        <w:t>。</w:t>
      </w:r>
    </w:p>
    <w:p>
      <w:r>
        <w:drawing>
          <wp:inline distT="0" distB="0" distL="0" distR="0">
            <wp:extent cx="5274310" cy="3076575"/>
            <wp:effectExtent l="0" t="0" r="2540" b="952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spacing w:line="560" w:lineRule="exact"/>
        <w:ind w:firstLine="640" w:firstLineChars="200"/>
        <w:jc w:val="left"/>
        <w:rPr>
          <w:rFonts w:ascii="仿宋" w:hAnsi="仿宋" w:eastAsia="仿宋"/>
        </w:rPr>
      </w:pPr>
      <w:r>
        <w:rPr>
          <w:rFonts w:ascii="仿宋" w:hAnsi="仿宋" w:eastAsia="仿宋" w:cs="仿宋_GB2312"/>
          <w:color w:val="000000"/>
          <w:kern w:val="0"/>
          <w:szCs w:val="32"/>
        </w:rPr>
        <w:t>2019年</w:t>
      </w:r>
      <w:r>
        <w:rPr>
          <w:rFonts w:hint="eastAsia" w:ascii="仿宋" w:hAnsi="仿宋" w:eastAsia="仿宋"/>
          <w:szCs w:val="32"/>
        </w:rPr>
        <w:t>度</w:t>
      </w:r>
      <w:r>
        <w:rPr>
          <w:rFonts w:ascii="仿宋" w:hAnsi="仿宋" w:eastAsia="仿宋" w:cs="仿宋_GB2312"/>
          <w:color w:val="000000"/>
          <w:kern w:val="0"/>
          <w:szCs w:val="32"/>
        </w:rPr>
        <w:t>财政拨款支出年初预算为</w:t>
      </w:r>
      <w:r>
        <w:rPr>
          <w:rFonts w:hint="eastAsia" w:ascii="仿宋" w:hAnsi="仿宋" w:eastAsia="仿宋" w:cs="仿宋_GB2312"/>
          <w:color w:val="000000"/>
          <w:kern w:val="0"/>
          <w:szCs w:val="32"/>
        </w:rPr>
        <w:t>44.16</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84.84</w:t>
      </w:r>
      <w:r>
        <w:rPr>
          <w:rFonts w:ascii="仿宋" w:hAnsi="仿宋" w:eastAsia="仿宋" w:cs="仿宋_GB2312"/>
          <w:color w:val="000000"/>
          <w:kern w:val="0"/>
          <w:szCs w:val="32"/>
        </w:rPr>
        <w:t>万元，完成年初预算的</w:t>
      </w:r>
      <w:r>
        <w:rPr>
          <w:rFonts w:hint="eastAsia" w:ascii="仿宋" w:hAnsi="仿宋" w:eastAsia="仿宋" w:cs="仿宋_GB2312"/>
          <w:color w:val="000000"/>
          <w:kern w:val="0"/>
          <w:szCs w:val="32"/>
        </w:rPr>
        <w:t>192</w:t>
      </w:r>
      <w:r>
        <w:rPr>
          <w:rFonts w:ascii="仿宋" w:hAnsi="仿宋" w:eastAsia="仿宋" w:cs="仿宋_GB2312"/>
          <w:color w:val="000000"/>
          <w:kern w:val="0"/>
          <w:szCs w:val="32"/>
        </w:rPr>
        <w:t>%。</w:t>
      </w:r>
      <w:r>
        <w:rPr>
          <w:rFonts w:hint="eastAsia" w:ascii="仿宋" w:hAnsi="仿宋" w:eastAsia="仿宋" w:cs="仿宋_GB2312"/>
          <w:color w:val="000000"/>
          <w:kern w:val="0"/>
          <w:szCs w:val="32"/>
        </w:rPr>
        <w:t>按照政府功能分类科目，</w:t>
      </w:r>
      <w:r>
        <w:rPr>
          <w:rFonts w:ascii="仿宋" w:hAnsi="仿宋" w:eastAsia="仿宋" w:cs="仿宋_GB2312"/>
          <w:color w:val="000000"/>
          <w:kern w:val="0"/>
          <w:szCs w:val="32"/>
        </w:rPr>
        <w:t xml:space="preserve">其中： </w:t>
      </w:r>
    </w:p>
    <w:p>
      <w:pPr>
        <w:widowControl/>
        <w:spacing w:line="560" w:lineRule="exact"/>
        <w:ind w:firstLine="643" w:firstLineChars="200"/>
        <w:jc w:val="left"/>
        <w:rPr>
          <w:rFonts w:ascii="仿宋" w:hAnsi="仿宋" w:eastAsia="仿宋"/>
        </w:rPr>
      </w:pPr>
      <w:r>
        <w:rPr>
          <w:rFonts w:ascii="仿宋" w:hAnsi="仿宋" w:eastAsia="仿宋" w:cs="仿宋_GB2312"/>
          <w:b/>
          <w:color w:val="000000"/>
          <w:kern w:val="0"/>
          <w:szCs w:val="32"/>
        </w:rPr>
        <w:t>1.一般公共服务支出（类）</w:t>
      </w:r>
      <w:r>
        <w:rPr>
          <w:rFonts w:hint="eastAsia" w:ascii="仿宋" w:hAnsi="仿宋" w:eastAsia="仿宋" w:cs="仿宋_GB2312"/>
          <w:b/>
          <w:color w:val="000000"/>
          <w:kern w:val="0"/>
          <w:szCs w:val="32"/>
        </w:rPr>
        <w:t>民族事务</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其他民族事务支出</w:t>
      </w:r>
      <w:r>
        <w:rPr>
          <w:rFonts w:ascii="仿宋" w:hAnsi="仿宋" w:eastAsia="仿宋" w:cs="仿宋_GB2312"/>
          <w:b/>
          <w:color w:val="000000"/>
          <w:kern w:val="0"/>
          <w:szCs w:val="32"/>
        </w:rPr>
        <w:t xml:space="preserve">（项）。 </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41.54</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5.05</w:t>
      </w:r>
      <w:r>
        <w:rPr>
          <w:rFonts w:ascii="仿宋" w:hAnsi="仿宋" w:eastAsia="仿宋" w:cs="仿宋_GB2312"/>
          <w:color w:val="000000"/>
          <w:kern w:val="0"/>
          <w:szCs w:val="32"/>
        </w:rPr>
        <w:t>万元，完成年初预算的</w:t>
      </w:r>
      <w:r>
        <w:rPr>
          <w:rFonts w:hint="eastAsia" w:ascii="仿宋" w:hAnsi="仿宋" w:eastAsia="仿宋" w:cs="仿宋_GB2312"/>
          <w:color w:val="000000"/>
          <w:kern w:val="0"/>
          <w:szCs w:val="32"/>
        </w:rPr>
        <w:t>12.16</w:t>
      </w:r>
      <w:r>
        <w:rPr>
          <w:rFonts w:ascii="仿宋" w:hAnsi="仿宋" w:eastAsia="仿宋" w:cs="仿宋_GB2312"/>
          <w:color w:val="000000"/>
          <w:kern w:val="0"/>
          <w:szCs w:val="32"/>
        </w:rPr>
        <w:t>%。决算数</w:t>
      </w:r>
      <w:r>
        <w:rPr>
          <w:rFonts w:hint="eastAsia" w:ascii="仿宋" w:hAnsi="仿宋" w:eastAsia="仿宋" w:cs="仿宋_GB2312"/>
          <w:color w:val="000000"/>
          <w:kern w:val="0"/>
          <w:szCs w:val="32"/>
        </w:rPr>
        <w:t>小</w:t>
      </w:r>
      <w:r>
        <w:rPr>
          <w:rFonts w:ascii="仿宋" w:hAnsi="仿宋" w:eastAsia="仿宋" w:cs="仿宋_GB2312"/>
          <w:color w:val="000000"/>
          <w:kern w:val="0"/>
          <w:szCs w:val="32"/>
        </w:rPr>
        <w:t>于预算数的主要原因是</w:t>
      </w:r>
      <w:r>
        <w:rPr>
          <w:rFonts w:hint="eastAsia" w:ascii="仿宋" w:hAnsi="仿宋" w:eastAsia="仿宋" w:cs="仿宋_GB2312"/>
          <w:color w:val="000000"/>
          <w:kern w:val="0"/>
          <w:szCs w:val="32"/>
        </w:rPr>
        <w:t>决算时将一般公共服务支出调整到社会保障和就业支出中。</w:t>
      </w:r>
    </w:p>
    <w:p>
      <w:pPr>
        <w:ind w:firstLine="643" w:firstLineChars="200"/>
        <w:rPr>
          <w:rFonts w:ascii="仿宋_GB2312" w:hAnsi="宋体" w:eastAsia="仿宋_GB2312" w:cs="仿宋_GB2312"/>
          <w:color w:val="000000"/>
          <w:kern w:val="0"/>
          <w:szCs w:val="32"/>
        </w:rPr>
      </w:pPr>
      <w:r>
        <w:rPr>
          <w:rFonts w:hint="eastAsia" w:ascii="仿宋" w:hAnsi="仿宋" w:eastAsia="仿宋" w:cs="仿宋_GB2312"/>
          <w:b/>
          <w:color w:val="000000"/>
          <w:kern w:val="0"/>
          <w:szCs w:val="32"/>
        </w:rPr>
        <w:t>2</w:t>
      </w:r>
      <w:r>
        <w:rPr>
          <w:rFonts w:ascii="仿宋" w:hAnsi="仿宋" w:eastAsia="仿宋" w:cs="仿宋_GB2312"/>
          <w:b/>
          <w:color w:val="000000"/>
          <w:kern w:val="0"/>
          <w:szCs w:val="32"/>
        </w:rPr>
        <w:t>.</w:t>
      </w:r>
      <w:r>
        <w:rPr>
          <w:rFonts w:hint="eastAsia" w:ascii="仿宋" w:hAnsi="仿宋" w:eastAsia="仿宋" w:cs="仿宋_GB2312"/>
          <w:b/>
          <w:color w:val="000000"/>
          <w:kern w:val="0"/>
          <w:szCs w:val="32"/>
        </w:rPr>
        <w:t>社会保障和就业支出</w:t>
      </w:r>
      <w:r>
        <w:rPr>
          <w:rFonts w:ascii="仿宋" w:hAnsi="仿宋" w:eastAsia="仿宋" w:cs="仿宋_GB2312"/>
          <w:b/>
          <w:color w:val="000000"/>
          <w:kern w:val="0"/>
          <w:szCs w:val="32"/>
        </w:rPr>
        <w:t>（类）</w:t>
      </w:r>
      <w:r>
        <w:rPr>
          <w:rFonts w:hint="eastAsia" w:ascii="仿宋" w:hAnsi="仿宋" w:eastAsia="仿宋" w:cs="仿宋_GB2312"/>
          <w:b/>
          <w:color w:val="000000"/>
          <w:kern w:val="0"/>
          <w:szCs w:val="32"/>
        </w:rPr>
        <w:t>民族管理事务</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一般行政管理事务（项）</w:t>
      </w:r>
      <w:r>
        <w:rPr>
          <w:rFonts w:ascii="仿宋" w:hAnsi="仿宋" w:eastAsia="仿宋" w:cs="仿宋_GB2312"/>
          <w:b/>
          <w:color w:val="000000"/>
          <w:kern w:val="0"/>
          <w:szCs w:val="32"/>
        </w:rPr>
        <w:t>。</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0.55</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0.55</w:t>
      </w:r>
      <w:r>
        <w:rPr>
          <w:rFonts w:ascii="仿宋" w:hAnsi="仿宋" w:eastAsia="仿宋" w:cs="仿宋_GB2312"/>
          <w:color w:val="000000"/>
          <w:kern w:val="0"/>
          <w:szCs w:val="32"/>
        </w:rPr>
        <w:t>万元，完成年初预算的</w:t>
      </w:r>
      <w:r>
        <w:rPr>
          <w:rFonts w:hint="eastAsia" w:ascii="仿宋" w:hAnsi="仿宋" w:eastAsia="仿宋" w:cs="仿宋_GB2312"/>
          <w:color w:val="000000"/>
          <w:kern w:val="0"/>
          <w:szCs w:val="32"/>
        </w:rPr>
        <w:t>100</w:t>
      </w:r>
      <w:r>
        <w:rPr>
          <w:rFonts w:ascii="仿宋" w:hAnsi="仿宋" w:eastAsia="仿宋" w:cs="仿宋_GB2312"/>
          <w:color w:val="000000"/>
          <w:kern w:val="0"/>
          <w:szCs w:val="32"/>
        </w:rPr>
        <w:t>%。决算数</w:t>
      </w:r>
      <w:r>
        <w:rPr>
          <w:rFonts w:hint="eastAsia" w:ascii="仿宋" w:hAnsi="仿宋" w:eastAsia="仿宋" w:cs="仿宋_GB2312"/>
          <w:color w:val="000000"/>
          <w:kern w:val="0"/>
          <w:szCs w:val="32"/>
        </w:rPr>
        <w:t>与</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无差异。</w:t>
      </w:r>
    </w:p>
    <w:p>
      <w:pPr>
        <w:ind w:firstLine="643" w:firstLineChars="200"/>
        <w:rPr>
          <w:rFonts w:ascii="仿宋" w:hAnsi="仿宋" w:eastAsia="仿宋" w:cs="仿宋_GB2312"/>
          <w:color w:val="000000"/>
          <w:kern w:val="0"/>
          <w:szCs w:val="32"/>
        </w:rPr>
      </w:pPr>
      <w:r>
        <w:rPr>
          <w:rFonts w:hint="eastAsia" w:ascii="仿宋" w:hAnsi="仿宋" w:eastAsia="仿宋" w:cs="仿宋_GB2312"/>
          <w:b/>
          <w:color w:val="000000"/>
          <w:kern w:val="0"/>
          <w:szCs w:val="32"/>
        </w:rPr>
        <w:t>3</w:t>
      </w:r>
      <w:r>
        <w:rPr>
          <w:rFonts w:ascii="仿宋" w:hAnsi="仿宋" w:eastAsia="仿宋" w:cs="仿宋_GB2312"/>
          <w:b/>
          <w:color w:val="000000"/>
          <w:kern w:val="0"/>
          <w:szCs w:val="32"/>
        </w:rPr>
        <w:t>.</w:t>
      </w:r>
      <w:r>
        <w:rPr>
          <w:rFonts w:hint="eastAsia" w:ascii="仿宋" w:hAnsi="仿宋" w:eastAsia="仿宋" w:cs="仿宋_GB2312"/>
          <w:b/>
          <w:color w:val="000000"/>
          <w:kern w:val="0"/>
          <w:szCs w:val="32"/>
        </w:rPr>
        <w:t>社会保障和就业支出</w:t>
      </w:r>
      <w:r>
        <w:rPr>
          <w:rFonts w:ascii="仿宋" w:hAnsi="仿宋" w:eastAsia="仿宋" w:cs="仿宋_GB2312"/>
          <w:b/>
          <w:color w:val="000000"/>
          <w:kern w:val="0"/>
          <w:szCs w:val="32"/>
        </w:rPr>
        <w:t>（类）</w:t>
      </w:r>
      <w:r>
        <w:rPr>
          <w:rFonts w:hint="eastAsia" w:ascii="仿宋" w:hAnsi="仿宋" w:eastAsia="仿宋" w:cs="仿宋_GB2312"/>
          <w:b/>
          <w:color w:val="000000"/>
          <w:kern w:val="0"/>
          <w:szCs w:val="32"/>
        </w:rPr>
        <w:t>民族管理事务</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其他民族管理事务支出（项）</w:t>
      </w:r>
      <w:r>
        <w:rPr>
          <w:rFonts w:ascii="仿宋" w:hAnsi="仿宋" w:eastAsia="仿宋" w:cs="仿宋_GB2312"/>
          <w:b/>
          <w:color w:val="000000"/>
          <w:kern w:val="0"/>
          <w:szCs w:val="32"/>
        </w:rPr>
        <w:t>。</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2.07</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72.52</w:t>
      </w:r>
      <w:r>
        <w:rPr>
          <w:rFonts w:ascii="仿宋" w:hAnsi="仿宋" w:eastAsia="仿宋" w:cs="仿宋_GB2312"/>
          <w:color w:val="000000"/>
          <w:kern w:val="0"/>
          <w:szCs w:val="32"/>
        </w:rPr>
        <w:t>万元，完成年初预算的</w:t>
      </w:r>
      <w:r>
        <w:rPr>
          <w:rFonts w:hint="eastAsia" w:ascii="仿宋" w:hAnsi="仿宋" w:eastAsia="仿宋" w:cs="仿宋_GB2312"/>
          <w:color w:val="000000"/>
          <w:kern w:val="0"/>
          <w:szCs w:val="32"/>
        </w:rPr>
        <w:t>3503</w:t>
      </w:r>
      <w:r>
        <w:rPr>
          <w:rFonts w:ascii="仿宋" w:hAnsi="仿宋" w:eastAsia="仿宋" w:cs="仿宋_GB2312"/>
          <w:color w:val="000000"/>
          <w:kern w:val="0"/>
          <w:szCs w:val="32"/>
        </w:rPr>
        <w:t>%。</w:t>
      </w:r>
      <w:r>
        <w:rPr>
          <w:rFonts w:hint="eastAsia" w:ascii="仿宋" w:hAnsi="仿宋" w:eastAsia="仿宋" w:cs="仿宋_GB2312"/>
          <w:color w:val="000000"/>
          <w:kern w:val="0"/>
          <w:szCs w:val="32"/>
        </w:rPr>
        <w:t>决算数大于决算数的主要原因是决算时将一般公共服务支出调整到社会保障和就业支出中。</w:t>
      </w:r>
    </w:p>
    <w:p>
      <w:pPr>
        <w:ind w:firstLine="640" w:firstLineChars="200"/>
        <w:rPr>
          <w:rFonts w:ascii="仿宋" w:hAnsi="仿宋" w:eastAsia="仿宋" w:cs="仿宋_GB2312"/>
          <w:b/>
          <w:color w:val="000000"/>
          <w:kern w:val="0"/>
          <w:szCs w:val="32"/>
        </w:rPr>
      </w:pPr>
      <w:r>
        <w:rPr>
          <w:rFonts w:hint="eastAsia" w:ascii="仿宋" w:hAnsi="仿宋" w:eastAsia="仿宋" w:cs="仿宋_GB2312"/>
          <w:color w:val="000000"/>
          <w:kern w:val="0"/>
          <w:szCs w:val="32"/>
        </w:rPr>
        <w:t>4.</w:t>
      </w:r>
      <w:r>
        <w:rPr>
          <w:rFonts w:hint="eastAsia" w:ascii="仿宋" w:hAnsi="仿宋" w:eastAsia="仿宋" w:cs="仿宋_GB2312"/>
          <w:b/>
          <w:color w:val="000000"/>
          <w:kern w:val="0"/>
          <w:szCs w:val="32"/>
        </w:rPr>
        <w:t xml:space="preserve"> 社会保障和就业支出</w:t>
      </w:r>
      <w:r>
        <w:rPr>
          <w:rFonts w:ascii="仿宋" w:hAnsi="仿宋" w:eastAsia="仿宋" w:cs="仿宋_GB2312"/>
          <w:b/>
          <w:color w:val="000000"/>
          <w:kern w:val="0"/>
          <w:szCs w:val="32"/>
        </w:rPr>
        <w:t>（类）</w:t>
      </w:r>
      <w:r>
        <w:rPr>
          <w:rFonts w:hint="eastAsia" w:ascii="仿宋" w:hAnsi="仿宋" w:eastAsia="仿宋" w:cs="仿宋_GB2312"/>
          <w:b/>
          <w:color w:val="000000"/>
          <w:kern w:val="0"/>
          <w:szCs w:val="32"/>
        </w:rPr>
        <w:t>行政事业单位离退休</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机关事业单位基本养老保险缴费支出（项）</w:t>
      </w:r>
      <w:r>
        <w:rPr>
          <w:rFonts w:ascii="仿宋" w:hAnsi="仿宋" w:eastAsia="仿宋" w:cs="仿宋_GB2312"/>
          <w:b/>
          <w:color w:val="000000"/>
          <w:kern w:val="0"/>
          <w:szCs w:val="32"/>
        </w:rPr>
        <w:t>。</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5.40</w:t>
      </w:r>
      <w:r>
        <w:rPr>
          <w:rFonts w:ascii="仿宋" w:hAnsi="仿宋" w:eastAsia="仿宋" w:cs="仿宋_GB2312"/>
          <w:color w:val="000000"/>
          <w:kern w:val="0"/>
          <w:szCs w:val="32"/>
        </w:rPr>
        <w:t>万元。</w:t>
      </w:r>
      <w:r>
        <w:rPr>
          <w:rFonts w:hint="eastAsia" w:ascii="仿宋" w:hAnsi="仿宋" w:eastAsia="仿宋" w:cs="仿宋_GB2312"/>
          <w:color w:val="000000"/>
          <w:kern w:val="0"/>
          <w:szCs w:val="32"/>
        </w:rPr>
        <w:t>决算数大于决算数的主要原因是2019年单位代缴基本养老保险费。</w:t>
      </w:r>
    </w:p>
    <w:p>
      <w:pPr>
        <w:ind w:firstLine="643" w:firstLineChars="200"/>
        <w:rPr>
          <w:rFonts w:ascii="仿宋" w:hAnsi="仿宋" w:eastAsia="仿宋" w:cs="仿宋_GB2312"/>
          <w:color w:val="000000"/>
          <w:kern w:val="0"/>
          <w:szCs w:val="32"/>
        </w:rPr>
      </w:pPr>
      <w:r>
        <w:rPr>
          <w:rFonts w:hint="eastAsia" w:ascii="仿宋" w:hAnsi="仿宋" w:eastAsia="仿宋" w:cs="仿宋_GB2312"/>
          <w:b/>
          <w:color w:val="000000"/>
          <w:kern w:val="0"/>
          <w:szCs w:val="32"/>
        </w:rPr>
        <w:t>5.社会保障和就业支出</w:t>
      </w:r>
      <w:r>
        <w:rPr>
          <w:rFonts w:ascii="仿宋" w:hAnsi="仿宋" w:eastAsia="仿宋" w:cs="仿宋_GB2312"/>
          <w:b/>
          <w:color w:val="000000"/>
          <w:kern w:val="0"/>
          <w:szCs w:val="32"/>
        </w:rPr>
        <w:t>（类）</w:t>
      </w:r>
      <w:r>
        <w:rPr>
          <w:rFonts w:hint="eastAsia" w:ascii="仿宋" w:hAnsi="仿宋" w:eastAsia="仿宋" w:cs="仿宋_GB2312"/>
          <w:b/>
          <w:color w:val="000000"/>
          <w:kern w:val="0"/>
          <w:szCs w:val="32"/>
        </w:rPr>
        <w:t>临时救助</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流浪乞讨人员救助支出（项）</w:t>
      </w:r>
      <w:r>
        <w:rPr>
          <w:rFonts w:ascii="仿宋" w:hAnsi="仿宋" w:eastAsia="仿宋" w:cs="仿宋_GB2312"/>
          <w:b/>
          <w:color w:val="000000"/>
          <w:kern w:val="0"/>
          <w:szCs w:val="32"/>
        </w:rPr>
        <w:t>。</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0.01</w:t>
      </w:r>
      <w:r>
        <w:rPr>
          <w:rFonts w:ascii="仿宋" w:hAnsi="仿宋" w:eastAsia="仿宋" w:cs="仿宋_GB2312"/>
          <w:color w:val="000000"/>
          <w:kern w:val="0"/>
          <w:szCs w:val="32"/>
        </w:rPr>
        <w:t>万元。</w:t>
      </w:r>
      <w:r>
        <w:rPr>
          <w:rFonts w:hint="eastAsia" w:ascii="仿宋" w:hAnsi="仿宋" w:eastAsia="仿宋" w:cs="仿宋_GB2312"/>
          <w:color w:val="000000"/>
          <w:kern w:val="0"/>
          <w:szCs w:val="32"/>
        </w:rPr>
        <w:t>决算数大于决算数的主要原因是2019年临时救助3人。</w:t>
      </w:r>
    </w:p>
    <w:p>
      <w:pPr>
        <w:ind w:firstLine="643" w:firstLineChars="200"/>
        <w:rPr>
          <w:rFonts w:ascii="仿宋" w:hAnsi="仿宋" w:eastAsia="仿宋" w:cs="仿宋_GB2312"/>
          <w:color w:val="000000"/>
          <w:kern w:val="0"/>
          <w:szCs w:val="32"/>
        </w:rPr>
      </w:pPr>
      <w:r>
        <w:rPr>
          <w:rFonts w:hint="eastAsia" w:ascii="仿宋" w:hAnsi="仿宋" w:eastAsia="仿宋" w:cs="仿宋_GB2312"/>
          <w:b/>
          <w:color w:val="000000"/>
          <w:kern w:val="0"/>
          <w:szCs w:val="32"/>
        </w:rPr>
        <w:t>6.卫生健康支出</w:t>
      </w:r>
      <w:r>
        <w:rPr>
          <w:rFonts w:ascii="仿宋" w:hAnsi="仿宋" w:eastAsia="仿宋" w:cs="仿宋_GB2312"/>
          <w:b/>
          <w:color w:val="000000"/>
          <w:kern w:val="0"/>
          <w:szCs w:val="32"/>
        </w:rPr>
        <w:t>（类）</w:t>
      </w:r>
      <w:r>
        <w:rPr>
          <w:rFonts w:hint="eastAsia" w:ascii="仿宋" w:hAnsi="仿宋" w:eastAsia="仿宋" w:cs="仿宋_GB2312"/>
          <w:b/>
          <w:color w:val="000000"/>
          <w:kern w:val="0"/>
          <w:szCs w:val="32"/>
        </w:rPr>
        <w:t>行政事业单位医疗</w:t>
      </w:r>
      <w:r>
        <w:rPr>
          <w:rFonts w:ascii="仿宋" w:hAnsi="仿宋" w:eastAsia="仿宋" w:cs="仿宋_GB2312"/>
          <w:b/>
          <w:color w:val="000000"/>
          <w:kern w:val="0"/>
          <w:szCs w:val="32"/>
        </w:rPr>
        <w:t>（款）</w:t>
      </w:r>
      <w:r>
        <w:rPr>
          <w:rFonts w:hint="eastAsia" w:ascii="仿宋" w:hAnsi="仿宋" w:eastAsia="仿宋" w:cs="仿宋_GB2312"/>
          <w:b/>
          <w:color w:val="000000"/>
          <w:kern w:val="0"/>
          <w:szCs w:val="32"/>
        </w:rPr>
        <w:t>事业单位医疗（项）</w:t>
      </w:r>
      <w:r>
        <w:rPr>
          <w:rFonts w:ascii="仿宋" w:hAnsi="仿宋" w:eastAsia="仿宋" w:cs="仿宋_GB2312"/>
          <w:b/>
          <w:color w:val="000000"/>
          <w:kern w:val="0"/>
          <w:szCs w:val="32"/>
        </w:rPr>
        <w:t>。</w:t>
      </w:r>
      <w:r>
        <w:rPr>
          <w:rFonts w:ascii="仿宋" w:hAnsi="仿宋" w:eastAsia="仿宋" w:cs="仿宋_GB2312"/>
          <w:color w:val="000000"/>
          <w:kern w:val="0"/>
          <w:szCs w:val="32"/>
        </w:rPr>
        <w:t>年初预算为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1.32</w:t>
      </w:r>
      <w:r>
        <w:rPr>
          <w:rFonts w:ascii="仿宋" w:hAnsi="仿宋" w:eastAsia="仿宋" w:cs="仿宋_GB2312"/>
          <w:color w:val="000000"/>
          <w:kern w:val="0"/>
          <w:szCs w:val="32"/>
        </w:rPr>
        <w:t>万元。</w:t>
      </w:r>
      <w:r>
        <w:rPr>
          <w:rFonts w:hint="eastAsia" w:ascii="仿宋" w:hAnsi="仿宋" w:eastAsia="仿宋" w:cs="仿宋_GB2312"/>
          <w:color w:val="000000"/>
          <w:kern w:val="0"/>
          <w:szCs w:val="32"/>
        </w:rPr>
        <w:t>决算数大于决算数的主要原因是2019年单位代缴事业单位医疗费。</w:t>
      </w:r>
    </w:p>
    <w:p>
      <w:pPr>
        <w:spacing w:line="560" w:lineRule="exact"/>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spacing w:line="560" w:lineRule="exact"/>
        <w:ind w:firstLine="620" w:firstLineChars="2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201</w:t>
      </w:r>
      <w:r>
        <w:rPr>
          <w:rFonts w:hint="eastAsia" w:ascii="仿宋" w:hAnsi="仿宋" w:eastAsia="仿宋" w:cs="仿宋_GB2312"/>
          <w:color w:val="000000"/>
          <w:kern w:val="0"/>
          <w:sz w:val="31"/>
          <w:szCs w:val="31"/>
        </w:rPr>
        <w:t>9</w:t>
      </w:r>
      <w:r>
        <w:rPr>
          <w:rFonts w:ascii="仿宋" w:hAnsi="仿宋" w:eastAsia="仿宋" w:cs="仿宋_GB2312"/>
          <w:color w:val="000000"/>
          <w:kern w:val="0"/>
          <w:sz w:val="31"/>
          <w:szCs w:val="31"/>
        </w:rPr>
        <w:t>年</w:t>
      </w:r>
      <w:r>
        <w:rPr>
          <w:rFonts w:hint="eastAsia" w:ascii="仿宋" w:hAnsi="仿宋" w:eastAsia="仿宋"/>
          <w:szCs w:val="32"/>
        </w:rPr>
        <w:t>度</w:t>
      </w:r>
      <w:r>
        <w:rPr>
          <w:rFonts w:ascii="仿宋" w:hAnsi="仿宋" w:eastAsia="仿宋" w:cs="仿宋_GB2312"/>
          <w:color w:val="000000"/>
          <w:kern w:val="0"/>
          <w:sz w:val="31"/>
          <w:szCs w:val="31"/>
        </w:rPr>
        <w:t>一般公共预算财政拨款基本支出</w:t>
      </w:r>
      <w:r>
        <w:rPr>
          <w:rFonts w:hint="eastAsia" w:ascii="仿宋" w:hAnsi="仿宋" w:eastAsia="仿宋" w:cs="仿宋_GB2312"/>
          <w:color w:val="000000"/>
          <w:kern w:val="0"/>
          <w:sz w:val="31"/>
          <w:szCs w:val="31"/>
        </w:rPr>
        <w:t>69.28</w:t>
      </w:r>
      <w:r>
        <w:rPr>
          <w:rFonts w:ascii="仿宋" w:hAnsi="仿宋" w:eastAsia="仿宋" w:cs="仿宋_GB2312"/>
          <w:color w:val="000000"/>
          <w:kern w:val="0"/>
          <w:sz w:val="31"/>
          <w:szCs w:val="31"/>
        </w:rPr>
        <w:t>万元，包括：人员经费支出</w:t>
      </w:r>
      <w:r>
        <w:rPr>
          <w:rFonts w:hint="eastAsia" w:ascii="仿宋" w:hAnsi="仿宋" w:eastAsia="仿宋" w:cs="仿宋_GB2312"/>
          <w:color w:val="000000"/>
          <w:kern w:val="0"/>
          <w:sz w:val="31"/>
          <w:szCs w:val="31"/>
        </w:rPr>
        <w:t>62.17</w:t>
      </w:r>
      <w:r>
        <w:rPr>
          <w:rFonts w:ascii="仿宋" w:hAnsi="仿宋" w:eastAsia="仿宋" w:cs="仿宋_GB2312"/>
          <w:color w:val="000000"/>
          <w:kern w:val="0"/>
          <w:sz w:val="31"/>
          <w:szCs w:val="31"/>
        </w:rPr>
        <w:t>万元和公用经费支出</w:t>
      </w:r>
      <w:r>
        <w:rPr>
          <w:rFonts w:hint="eastAsia" w:ascii="仿宋" w:hAnsi="仿宋" w:eastAsia="仿宋" w:cs="仿宋_GB2312"/>
          <w:color w:val="000000"/>
          <w:kern w:val="0"/>
          <w:sz w:val="31"/>
          <w:szCs w:val="31"/>
        </w:rPr>
        <w:t>7.12</w:t>
      </w:r>
      <w:r>
        <w:rPr>
          <w:rFonts w:ascii="仿宋" w:hAnsi="仿宋" w:eastAsia="仿宋" w:cs="仿宋_GB2312"/>
          <w:color w:val="000000"/>
          <w:kern w:val="0"/>
          <w:sz w:val="31"/>
          <w:szCs w:val="31"/>
        </w:rPr>
        <w:t>万元。</w:t>
      </w:r>
    </w:p>
    <w:p>
      <w:pPr>
        <w:ind w:firstLine="643" w:firstLineChars="200"/>
        <w:rPr>
          <w:rFonts w:ascii="仿宋" w:hAnsi="仿宋" w:eastAsia="仿宋" w:cs="仿宋_GB2312"/>
          <w:color w:val="000000"/>
          <w:kern w:val="0"/>
          <w:szCs w:val="32"/>
        </w:rPr>
      </w:pPr>
      <w:r>
        <w:rPr>
          <w:rFonts w:ascii="仿宋" w:hAnsi="仿宋" w:eastAsia="仿宋" w:cs="仿宋_GB2312"/>
          <w:b/>
          <w:bCs/>
          <w:color w:val="000000"/>
          <w:kern w:val="0"/>
          <w:szCs w:val="32"/>
        </w:rPr>
        <w:t>人员经费</w:t>
      </w:r>
      <w:r>
        <w:rPr>
          <w:rFonts w:hint="eastAsia" w:ascii="仿宋" w:hAnsi="仿宋" w:eastAsia="仿宋" w:cs="仿宋_GB2312"/>
          <w:color w:val="000000"/>
          <w:kern w:val="0"/>
          <w:szCs w:val="32"/>
        </w:rPr>
        <w:t>62.17</w:t>
      </w:r>
      <w:r>
        <w:rPr>
          <w:rFonts w:ascii="仿宋" w:hAnsi="仿宋" w:eastAsia="仿宋" w:cs="仿宋_GB2312"/>
          <w:color w:val="000000"/>
          <w:kern w:val="0"/>
          <w:szCs w:val="32"/>
        </w:rPr>
        <w:t>万元，主要包括基本工资</w:t>
      </w:r>
      <w:r>
        <w:rPr>
          <w:rFonts w:hint="eastAsia" w:ascii="仿宋" w:hAnsi="仿宋" w:eastAsia="仿宋" w:cs="仿宋_GB2312"/>
          <w:color w:val="000000"/>
          <w:kern w:val="0"/>
          <w:szCs w:val="32"/>
        </w:rPr>
        <w:t>17.85万元，津贴补贴10.77万元，绩效工资18.97万元，机关事业单位基本养老保险缴费5.40万元，职业年金缴费1.35万元，职工基本医疗保险缴费1.32万元，住房公积金6.51万元。</w:t>
      </w:r>
    </w:p>
    <w:p>
      <w:pPr>
        <w:ind w:firstLine="643" w:firstLineChars="200"/>
        <w:rPr>
          <w:rFonts w:ascii="仿宋_GB2312" w:hAnsi="宋体" w:eastAsia="仿宋_GB2312" w:cs="仿宋_GB2312"/>
          <w:color w:val="000000"/>
          <w:kern w:val="0"/>
          <w:szCs w:val="32"/>
        </w:rPr>
      </w:pPr>
      <w:r>
        <w:rPr>
          <w:rFonts w:ascii="仿宋" w:hAnsi="仿宋" w:eastAsia="仿宋" w:cs="仿宋_GB2312"/>
          <w:b/>
          <w:bCs/>
          <w:color w:val="000000"/>
          <w:kern w:val="0"/>
          <w:szCs w:val="32"/>
        </w:rPr>
        <w:t>公用经费</w:t>
      </w:r>
      <w:r>
        <w:rPr>
          <w:rFonts w:hint="eastAsia" w:ascii="仿宋" w:hAnsi="仿宋" w:eastAsia="仿宋" w:cs="仿宋_GB2312"/>
          <w:color w:val="000000"/>
          <w:kern w:val="0"/>
          <w:szCs w:val="32"/>
        </w:rPr>
        <w:t>7.12</w:t>
      </w:r>
      <w:r>
        <w:rPr>
          <w:rFonts w:ascii="仿宋" w:hAnsi="仿宋" w:eastAsia="仿宋" w:cs="仿宋_GB2312"/>
          <w:color w:val="000000"/>
          <w:kern w:val="0"/>
          <w:szCs w:val="32"/>
        </w:rPr>
        <w:t>万元，主要包括办公费</w:t>
      </w:r>
      <w:r>
        <w:rPr>
          <w:rFonts w:hint="eastAsia" w:ascii="仿宋" w:hAnsi="仿宋" w:eastAsia="仿宋" w:cs="仿宋_GB2312"/>
          <w:color w:val="000000"/>
          <w:kern w:val="0"/>
          <w:szCs w:val="32"/>
        </w:rPr>
        <w:t>0.24万元，水费0.40万元，电费1.12万元，差旅费0.61万元，公务用车运行维护费4.75万元。</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spacing w:line="560" w:lineRule="exact"/>
        <w:ind w:firstLine="643" w:firstLineChars="200"/>
        <w:jc w:val="left"/>
        <w:rPr>
          <w:rFonts w:ascii="仿宋" w:hAnsi="仿宋" w:eastAsia="仿宋"/>
        </w:rPr>
      </w:pPr>
      <w:r>
        <w:rPr>
          <w:rFonts w:ascii="仿宋" w:hAnsi="仿宋" w:eastAsia="仿宋" w:cs="楷体_GB2312"/>
          <w:b/>
          <w:color w:val="000000"/>
          <w:kern w:val="0"/>
          <w:szCs w:val="32"/>
        </w:rPr>
        <w:t>（一）“三公”经费财政拨款支出决算总体情况</w:t>
      </w:r>
      <w:r>
        <w:rPr>
          <w:rFonts w:hint="eastAsia" w:ascii="仿宋" w:hAnsi="仿宋" w:eastAsia="仿宋" w:cs="楷体_GB2312"/>
          <w:b/>
          <w:color w:val="000000"/>
          <w:kern w:val="0"/>
          <w:szCs w:val="32"/>
        </w:rPr>
        <w:t>说明</w:t>
      </w:r>
      <w:r>
        <w:rPr>
          <w:rFonts w:ascii="仿宋" w:hAnsi="仿宋" w:eastAsia="仿宋" w:cs="楷体_GB2312"/>
          <w:b/>
          <w:color w:val="000000"/>
          <w:kern w:val="0"/>
          <w:szCs w:val="32"/>
        </w:rPr>
        <w:t xml:space="preserve">。 </w:t>
      </w:r>
    </w:p>
    <w:p>
      <w:pPr>
        <w:widowControl/>
        <w:spacing w:line="560" w:lineRule="exact"/>
        <w:ind w:firstLine="640" w:firstLineChars="200"/>
        <w:jc w:val="left"/>
        <w:rPr>
          <w:rFonts w:ascii="仿宋" w:hAnsi="仿宋" w:eastAsia="仿宋"/>
        </w:rPr>
      </w:pPr>
      <w:r>
        <w:rPr>
          <w:rFonts w:ascii="仿宋" w:hAnsi="仿宋" w:eastAsia="仿宋" w:cs="仿宋_GB2312"/>
          <w:color w:val="000000"/>
          <w:kern w:val="0"/>
          <w:szCs w:val="32"/>
        </w:rPr>
        <w:t>2019年</w:t>
      </w:r>
      <w:r>
        <w:rPr>
          <w:rFonts w:hint="eastAsia" w:ascii="仿宋" w:hAnsi="仿宋" w:eastAsia="仿宋"/>
          <w:szCs w:val="32"/>
        </w:rPr>
        <w:t>度</w:t>
      </w:r>
      <w:r>
        <w:rPr>
          <w:rFonts w:ascii="仿宋" w:hAnsi="仿宋" w:eastAsia="仿宋" w:cs="仿宋_GB2312"/>
          <w:color w:val="000000"/>
          <w:kern w:val="0"/>
          <w:szCs w:val="32"/>
        </w:rPr>
        <w:t>“三公”经费财政拨款支出预算为</w:t>
      </w:r>
      <w:r>
        <w:rPr>
          <w:rFonts w:hint="eastAsia" w:ascii="仿宋" w:hAnsi="仿宋" w:eastAsia="仿宋" w:cs="仿宋_GB2312"/>
          <w:color w:val="000000"/>
          <w:kern w:val="0"/>
          <w:szCs w:val="32"/>
          <w:lang w:val="en-US" w:eastAsia="zh-CN"/>
        </w:rPr>
        <w:t>5.05</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19.75</w:t>
      </w:r>
      <w:r>
        <w:rPr>
          <w:rFonts w:ascii="仿宋" w:hAnsi="仿宋" w:eastAsia="仿宋" w:cs="仿宋_GB2312"/>
          <w:color w:val="000000"/>
          <w:kern w:val="0"/>
          <w:szCs w:val="32"/>
        </w:rPr>
        <w:t>万元，完成预算的</w:t>
      </w:r>
      <w:r>
        <w:rPr>
          <w:rFonts w:hint="eastAsia" w:ascii="仿宋" w:hAnsi="仿宋" w:eastAsia="仿宋" w:cs="仿宋_GB2312"/>
          <w:color w:val="000000"/>
          <w:kern w:val="0"/>
          <w:szCs w:val="32"/>
          <w:lang w:val="en-US" w:eastAsia="zh-CN"/>
        </w:rPr>
        <w:t>391.09</w:t>
      </w:r>
      <w:r>
        <w:rPr>
          <w:rFonts w:ascii="仿宋" w:hAnsi="仿宋" w:eastAsia="仿宋" w:cs="仿宋_GB2312"/>
          <w:color w:val="000000"/>
          <w:kern w:val="0"/>
          <w:szCs w:val="32"/>
        </w:rPr>
        <w:t>%。决算数</w:t>
      </w:r>
      <w:r>
        <w:rPr>
          <w:rFonts w:hint="eastAsia" w:ascii="仿宋" w:hAnsi="仿宋" w:eastAsia="仿宋" w:cs="仿宋_GB2312"/>
          <w:color w:val="000000"/>
          <w:kern w:val="0"/>
          <w:szCs w:val="32"/>
        </w:rPr>
        <w:t>较</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增加15万元，</w:t>
      </w:r>
      <w:r>
        <w:rPr>
          <w:rFonts w:ascii="仿宋" w:hAnsi="仿宋" w:eastAsia="仿宋" w:cs="仿宋_GB2312"/>
          <w:color w:val="000000"/>
          <w:kern w:val="0"/>
          <w:szCs w:val="32"/>
        </w:rPr>
        <w:t>主要原因是</w:t>
      </w:r>
      <w:r>
        <w:rPr>
          <w:rFonts w:hint="eastAsia" w:ascii="仿宋" w:hAnsi="仿宋" w:eastAsia="仿宋" w:cs="仿宋_GB2312"/>
          <w:color w:val="000000"/>
          <w:kern w:val="0"/>
          <w:szCs w:val="32"/>
        </w:rPr>
        <w:t>2019年10月追加预算更新救助车1辆。</w:t>
      </w:r>
    </w:p>
    <w:p>
      <w:pPr>
        <w:spacing w:line="560" w:lineRule="exact"/>
        <w:ind w:firstLine="643" w:firstLineChars="200"/>
        <w:rPr>
          <w:rFonts w:ascii="仿宋" w:hAnsi="仿宋" w:eastAsia="仿宋" w:cs="楷体_GB2312"/>
          <w:b/>
          <w:color w:val="000000"/>
          <w:kern w:val="0"/>
          <w:szCs w:val="32"/>
        </w:rPr>
      </w:pPr>
      <w:r>
        <w:rPr>
          <w:rFonts w:hint="eastAsia" w:ascii="仿宋" w:hAnsi="仿宋" w:eastAsia="仿宋" w:cs="楷体_GB2312"/>
          <w:b/>
          <w:color w:val="000000"/>
          <w:kern w:val="0"/>
          <w:szCs w:val="32"/>
        </w:rPr>
        <w:t>（二）</w:t>
      </w:r>
      <w:r>
        <w:rPr>
          <w:rFonts w:ascii="仿宋" w:hAnsi="仿宋" w:eastAsia="仿宋" w:cs="楷体_GB2312"/>
          <w:b/>
          <w:color w:val="000000"/>
          <w:kern w:val="0"/>
          <w:szCs w:val="32"/>
        </w:rPr>
        <w:t>“三公”经费财政拨款支出决算具体情况</w:t>
      </w:r>
      <w:r>
        <w:rPr>
          <w:rFonts w:hint="eastAsia" w:ascii="仿宋" w:hAnsi="仿宋" w:eastAsia="仿宋" w:cs="楷体_GB2312"/>
          <w:b/>
          <w:color w:val="000000"/>
          <w:kern w:val="0"/>
          <w:szCs w:val="32"/>
        </w:rPr>
        <w:t>说明</w:t>
      </w:r>
      <w:r>
        <w:rPr>
          <w:rFonts w:ascii="仿宋" w:hAnsi="仿宋" w:eastAsia="仿宋" w:cs="楷体_GB2312"/>
          <w:b/>
          <w:color w:val="000000"/>
          <w:kern w:val="0"/>
          <w:szCs w:val="32"/>
        </w:rPr>
        <w:t>。</w:t>
      </w:r>
    </w:p>
    <w:p>
      <w:pPr>
        <w:widowControl/>
        <w:spacing w:line="560" w:lineRule="exact"/>
        <w:ind w:firstLine="640" w:firstLineChars="200"/>
        <w:jc w:val="left"/>
        <w:rPr>
          <w:rFonts w:ascii="仿宋" w:hAnsi="仿宋" w:eastAsia="仿宋"/>
        </w:rPr>
      </w:pPr>
      <w:r>
        <w:rPr>
          <w:rFonts w:ascii="仿宋" w:hAnsi="仿宋" w:eastAsia="仿宋" w:cs="仿宋_GB2312"/>
          <w:color w:val="000000"/>
          <w:kern w:val="0"/>
          <w:szCs w:val="32"/>
        </w:rPr>
        <w:t>2019年</w:t>
      </w:r>
      <w:r>
        <w:rPr>
          <w:rFonts w:hint="eastAsia" w:ascii="仿宋" w:hAnsi="仿宋" w:eastAsia="仿宋"/>
          <w:szCs w:val="32"/>
        </w:rPr>
        <w:t>度</w:t>
      </w:r>
      <w:r>
        <w:rPr>
          <w:rFonts w:ascii="仿宋" w:hAnsi="仿宋" w:eastAsia="仿宋" w:cs="仿宋_GB2312"/>
          <w:color w:val="000000"/>
          <w:kern w:val="0"/>
          <w:szCs w:val="32"/>
        </w:rPr>
        <w:t>“三公”经费财政拨款支出决算中，公务用车购置</w:t>
      </w:r>
      <w:r>
        <w:rPr>
          <w:rFonts w:hint="eastAsia" w:ascii="仿宋" w:hAnsi="仿宋" w:eastAsia="仿宋" w:cs="仿宋_GB2312"/>
          <w:color w:val="000000"/>
          <w:kern w:val="0"/>
          <w:szCs w:val="32"/>
        </w:rPr>
        <w:t>费支出15万元，占75.95</w:t>
      </w:r>
      <w:r>
        <w:rPr>
          <w:rFonts w:ascii="仿宋" w:hAnsi="仿宋" w:eastAsia="仿宋" w:cs="仿宋_GB2312"/>
          <w:color w:val="000000"/>
          <w:kern w:val="0"/>
          <w:szCs w:val="32"/>
        </w:rPr>
        <w:t>%；公务用车运行</w:t>
      </w:r>
      <w:r>
        <w:rPr>
          <w:rFonts w:hint="eastAsia" w:ascii="仿宋" w:hAnsi="仿宋" w:eastAsia="仿宋"/>
          <w:szCs w:val="32"/>
        </w:rPr>
        <w:t>维护</w:t>
      </w:r>
      <w:r>
        <w:rPr>
          <w:rFonts w:ascii="仿宋" w:hAnsi="仿宋" w:eastAsia="仿宋" w:cs="仿宋_GB2312"/>
          <w:color w:val="000000"/>
          <w:kern w:val="0"/>
          <w:szCs w:val="32"/>
        </w:rPr>
        <w:t>费支出决算</w:t>
      </w:r>
      <w:r>
        <w:rPr>
          <w:rFonts w:hint="eastAsia" w:ascii="仿宋" w:hAnsi="仿宋" w:eastAsia="仿宋" w:cs="仿宋_GB2312"/>
          <w:color w:val="000000"/>
          <w:kern w:val="0"/>
          <w:szCs w:val="32"/>
        </w:rPr>
        <w:t>4.75</w:t>
      </w:r>
      <w:r>
        <w:rPr>
          <w:rFonts w:ascii="仿宋" w:hAnsi="仿宋" w:eastAsia="仿宋" w:cs="仿宋_GB2312"/>
          <w:color w:val="000000"/>
          <w:kern w:val="0"/>
          <w:szCs w:val="32"/>
        </w:rPr>
        <w:t>万元，占</w:t>
      </w:r>
      <w:r>
        <w:rPr>
          <w:rFonts w:hint="eastAsia" w:ascii="仿宋" w:hAnsi="仿宋" w:eastAsia="仿宋" w:cs="仿宋_GB2312"/>
          <w:color w:val="000000"/>
          <w:kern w:val="0"/>
          <w:szCs w:val="32"/>
        </w:rPr>
        <w:t>24.05</w:t>
      </w:r>
      <w:r>
        <w:rPr>
          <w:rFonts w:ascii="仿宋" w:hAnsi="仿宋" w:eastAsia="仿宋" w:cs="仿宋_GB2312"/>
          <w:color w:val="000000"/>
          <w:kern w:val="0"/>
          <w:szCs w:val="32"/>
        </w:rPr>
        <w:t>%。具体情况如下：</w:t>
      </w:r>
    </w:p>
    <w:p>
      <w:pPr>
        <w:spacing w:line="560" w:lineRule="exact"/>
        <w:ind w:firstLine="643" w:firstLineChars="200"/>
        <w:rPr>
          <w:rFonts w:ascii="仿宋" w:hAnsi="仿宋" w:eastAsia="仿宋"/>
          <w:b/>
          <w:bCs/>
          <w:szCs w:val="32"/>
        </w:rPr>
      </w:pPr>
      <w:r>
        <w:rPr>
          <w:rFonts w:hint="eastAsia" w:ascii="仿宋" w:hAnsi="仿宋" w:eastAsia="仿宋"/>
          <w:b/>
          <w:bCs/>
          <w:szCs w:val="32"/>
        </w:rPr>
        <w:t>1.公务用车购置费用支出情况</w:t>
      </w:r>
      <w:r>
        <w:rPr>
          <w:rFonts w:hint="eastAsia" w:ascii="仿宋" w:hAnsi="仿宋" w:eastAsia="仿宋" w:cs="楷体_GB2312"/>
          <w:b/>
          <w:color w:val="000000"/>
          <w:kern w:val="0"/>
          <w:szCs w:val="32"/>
        </w:rPr>
        <w:t>说明</w:t>
      </w:r>
      <w:r>
        <w:rPr>
          <w:rFonts w:hint="eastAsia" w:ascii="仿宋" w:hAnsi="仿宋" w:eastAsia="仿宋"/>
          <w:b/>
          <w:bCs/>
          <w:szCs w:val="32"/>
        </w:rPr>
        <w:t>。</w:t>
      </w:r>
    </w:p>
    <w:p>
      <w:pPr>
        <w:widowControl/>
        <w:spacing w:line="560" w:lineRule="exact"/>
        <w:ind w:firstLine="640" w:firstLineChars="200"/>
        <w:jc w:val="left"/>
        <w:rPr>
          <w:rFonts w:ascii="仿宋" w:hAnsi="仿宋" w:eastAsia="仿宋"/>
        </w:rPr>
      </w:pPr>
      <w:r>
        <w:rPr>
          <w:rFonts w:hint="eastAsia" w:ascii="仿宋" w:hAnsi="仿宋" w:eastAsia="仿宋"/>
          <w:szCs w:val="32"/>
        </w:rPr>
        <w:t>2019年度购置车辆</w:t>
      </w:r>
      <w:r>
        <w:rPr>
          <w:rFonts w:hint="eastAsia" w:ascii="仿宋" w:hAnsi="仿宋" w:eastAsia="仿宋" w:cs="仿宋_GB2312"/>
          <w:szCs w:val="32"/>
        </w:rPr>
        <w:t>1台，</w:t>
      </w:r>
      <w:r>
        <w:rPr>
          <w:rFonts w:ascii="仿宋" w:hAnsi="仿宋" w:eastAsia="仿宋" w:cs="仿宋_GB2312"/>
          <w:color w:val="000000"/>
          <w:kern w:val="0"/>
          <w:szCs w:val="32"/>
        </w:rPr>
        <w:t>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15</w:t>
      </w:r>
      <w:r>
        <w:rPr>
          <w:rFonts w:ascii="仿宋" w:hAnsi="仿宋" w:eastAsia="仿宋" w:cs="仿宋_GB2312"/>
          <w:color w:val="000000"/>
          <w:kern w:val="0"/>
          <w:szCs w:val="32"/>
        </w:rPr>
        <w:t>万元，</w:t>
      </w:r>
      <w:r>
        <w:rPr>
          <w:rFonts w:hint="eastAsia" w:ascii="仿宋" w:hAnsi="仿宋" w:eastAsia="仿宋" w:cs="仿宋_GB2312"/>
          <w:color w:val="000000"/>
          <w:kern w:val="0"/>
          <w:szCs w:val="32"/>
        </w:rPr>
        <w:t>决</w:t>
      </w:r>
      <w:r>
        <w:rPr>
          <w:rFonts w:ascii="仿宋" w:hAnsi="仿宋" w:eastAsia="仿宋" w:cs="仿宋_GB2312"/>
          <w:color w:val="000000"/>
          <w:kern w:val="0"/>
          <w:szCs w:val="32"/>
        </w:rPr>
        <w:t>算数</w:t>
      </w:r>
      <w:r>
        <w:rPr>
          <w:rFonts w:hint="eastAsia" w:ascii="仿宋" w:hAnsi="仿宋" w:eastAsia="仿宋" w:cs="仿宋_GB2312"/>
          <w:color w:val="000000"/>
          <w:kern w:val="0"/>
          <w:szCs w:val="32"/>
        </w:rPr>
        <w:t>较</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增加15万元，</w:t>
      </w:r>
      <w:r>
        <w:rPr>
          <w:rFonts w:ascii="仿宋" w:hAnsi="仿宋" w:eastAsia="仿宋" w:cs="仿宋_GB2312"/>
          <w:color w:val="000000"/>
          <w:kern w:val="0"/>
          <w:szCs w:val="32"/>
        </w:rPr>
        <w:t>主要原因是</w:t>
      </w:r>
      <w:r>
        <w:rPr>
          <w:rFonts w:hint="eastAsia" w:ascii="仿宋" w:hAnsi="仿宋" w:eastAsia="仿宋" w:cs="仿宋_GB2312"/>
          <w:color w:val="000000"/>
          <w:kern w:val="0"/>
          <w:szCs w:val="32"/>
        </w:rPr>
        <w:t>救助车辆已经达到报废标准，不能更好</w:t>
      </w:r>
      <w:r>
        <w:rPr>
          <w:rFonts w:hint="eastAsia" w:ascii="仿宋" w:hAnsi="仿宋" w:eastAsia="仿宋" w:cs="仿宋_GB2312"/>
          <w:color w:val="000000"/>
          <w:kern w:val="0"/>
          <w:szCs w:val="32"/>
          <w:lang w:val="en-US" w:eastAsia="zh-CN"/>
        </w:rPr>
        <w:t>地</w:t>
      </w:r>
      <w:bookmarkStart w:id="0" w:name="_GoBack"/>
      <w:bookmarkEnd w:id="0"/>
      <w:r>
        <w:rPr>
          <w:rFonts w:hint="eastAsia" w:ascii="仿宋" w:hAnsi="仿宋" w:eastAsia="仿宋" w:cs="仿宋_GB2312"/>
          <w:color w:val="000000"/>
          <w:kern w:val="0"/>
          <w:szCs w:val="32"/>
        </w:rPr>
        <w:t>为救助服务，于2019年10月份追加预算，对救助车1辆进行了更新购置。</w:t>
      </w:r>
    </w:p>
    <w:p>
      <w:pPr>
        <w:spacing w:line="560" w:lineRule="exact"/>
        <w:ind w:firstLine="643" w:firstLineChars="200"/>
        <w:rPr>
          <w:rFonts w:ascii="仿宋" w:hAnsi="仿宋" w:eastAsia="仿宋"/>
          <w:b/>
          <w:bCs/>
          <w:szCs w:val="32"/>
        </w:rPr>
      </w:pPr>
      <w:r>
        <w:rPr>
          <w:rFonts w:hint="eastAsia" w:ascii="仿宋" w:hAnsi="仿宋" w:eastAsia="仿宋"/>
          <w:b/>
          <w:bCs/>
          <w:szCs w:val="32"/>
        </w:rPr>
        <w:t>2.公务用车运行维护费用支出情况</w:t>
      </w:r>
      <w:r>
        <w:rPr>
          <w:rFonts w:hint="eastAsia" w:ascii="仿宋" w:hAnsi="仿宋" w:eastAsia="仿宋" w:cs="楷体_GB2312"/>
          <w:b/>
          <w:color w:val="000000"/>
          <w:kern w:val="0"/>
          <w:szCs w:val="32"/>
        </w:rPr>
        <w:t>说明</w:t>
      </w:r>
      <w:r>
        <w:rPr>
          <w:rFonts w:hint="eastAsia" w:ascii="仿宋" w:hAnsi="仿宋" w:eastAsia="仿宋"/>
          <w:b/>
          <w:bCs/>
          <w:szCs w:val="32"/>
        </w:rPr>
        <w:t>。</w:t>
      </w:r>
    </w:p>
    <w:p>
      <w:pPr>
        <w:widowControl/>
        <w:spacing w:line="560" w:lineRule="exact"/>
        <w:ind w:firstLine="640" w:firstLineChars="200"/>
        <w:jc w:val="left"/>
        <w:rPr>
          <w:rFonts w:ascii="仿宋" w:hAnsi="仿宋" w:eastAsia="仿宋" w:cs="仿宋_GB2312"/>
          <w:color w:val="000000"/>
          <w:kern w:val="0"/>
          <w:szCs w:val="32"/>
        </w:rPr>
      </w:pPr>
      <w:r>
        <w:rPr>
          <w:rFonts w:hint="eastAsia" w:ascii="仿宋" w:hAnsi="仿宋" w:eastAsia="仿宋"/>
          <w:szCs w:val="32"/>
        </w:rPr>
        <w:t>2019年度</w:t>
      </w:r>
      <w:r>
        <w:rPr>
          <w:rFonts w:hint="eastAsia" w:ascii="仿宋" w:hAnsi="仿宋" w:eastAsia="仿宋" w:cs="仿宋_GB2312"/>
          <w:szCs w:val="32"/>
        </w:rPr>
        <w:t>公务用车运行维护费</w:t>
      </w:r>
      <w:r>
        <w:rPr>
          <w:rFonts w:ascii="仿宋" w:hAnsi="仿宋" w:eastAsia="仿宋" w:cs="仿宋_GB2312"/>
          <w:color w:val="000000"/>
          <w:kern w:val="0"/>
          <w:szCs w:val="32"/>
        </w:rPr>
        <w:t>预算为</w:t>
      </w:r>
      <w:r>
        <w:rPr>
          <w:rFonts w:hint="eastAsia" w:ascii="仿宋" w:hAnsi="仿宋" w:eastAsia="仿宋" w:cs="仿宋_GB2312"/>
          <w:color w:val="000000"/>
          <w:kern w:val="0"/>
          <w:szCs w:val="32"/>
        </w:rPr>
        <w:t>4.75</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4.75</w:t>
      </w:r>
      <w:r>
        <w:rPr>
          <w:rFonts w:ascii="仿宋" w:hAnsi="仿宋" w:eastAsia="仿宋" w:cs="仿宋_GB2312"/>
          <w:color w:val="000000"/>
          <w:kern w:val="0"/>
          <w:szCs w:val="32"/>
        </w:rPr>
        <w:t>万元，完成预算的</w:t>
      </w:r>
      <w:r>
        <w:rPr>
          <w:rFonts w:hint="eastAsia" w:ascii="仿宋" w:hAnsi="仿宋" w:eastAsia="仿宋" w:cs="仿宋_GB2312"/>
          <w:color w:val="000000"/>
          <w:kern w:val="0"/>
          <w:szCs w:val="32"/>
        </w:rPr>
        <w:t>100%，决</w:t>
      </w:r>
      <w:r>
        <w:rPr>
          <w:rFonts w:ascii="仿宋" w:hAnsi="仿宋" w:eastAsia="仿宋" w:cs="仿宋_GB2312"/>
          <w:color w:val="000000"/>
          <w:kern w:val="0"/>
          <w:szCs w:val="32"/>
        </w:rPr>
        <w:t>算数</w:t>
      </w:r>
      <w:r>
        <w:rPr>
          <w:rFonts w:hint="eastAsia" w:ascii="仿宋" w:hAnsi="仿宋" w:eastAsia="仿宋" w:cs="仿宋_GB2312"/>
          <w:color w:val="000000"/>
          <w:kern w:val="0"/>
          <w:szCs w:val="32"/>
        </w:rPr>
        <w:t>较</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无增减变化。</w:t>
      </w:r>
    </w:p>
    <w:p>
      <w:pPr>
        <w:spacing w:line="560" w:lineRule="exact"/>
        <w:ind w:firstLine="643" w:firstLineChars="200"/>
        <w:rPr>
          <w:rFonts w:ascii="仿宋" w:hAnsi="仿宋" w:eastAsia="仿宋" w:cs="楷体_GB2312"/>
          <w:b/>
          <w:color w:val="000000"/>
          <w:kern w:val="0"/>
          <w:szCs w:val="32"/>
        </w:rPr>
      </w:pPr>
      <w:r>
        <w:rPr>
          <w:rFonts w:hint="eastAsia" w:ascii="仿宋" w:hAnsi="仿宋" w:eastAsia="仿宋" w:cs="楷体_GB2312"/>
          <w:b/>
          <w:color w:val="000000"/>
          <w:kern w:val="0"/>
          <w:szCs w:val="32"/>
        </w:rPr>
        <w:t>（三）培训费支出情况说明。</w:t>
      </w:r>
    </w:p>
    <w:p>
      <w:pPr>
        <w:widowControl/>
        <w:spacing w:line="560" w:lineRule="exact"/>
        <w:ind w:firstLine="640" w:firstLineChars="200"/>
        <w:jc w:val="left"/>
        <w:rPr>
          <w:rFonts w:ascii="仿宋" w:hAnsi="仿宋" w:eastAsia="仿宋" w:cs="仿宋_GB2312"/>
          <w:color w:val="000000"/>
          <w:kern w:val="0"/>
          <w:szCs w:val="32"/>
        </w:rPr>
      </w:pPr>
      <w:r>
        <w:rPr>
          <w:rFonts w:hint="eastAsia" w:ascii="仿宋" w:hAnsi="仿宋" w:eastAsia="仿宋"/>
          <w:szCs w:val="32"/>
        </w:rPr>
        <w:t>2019年度</w:t>
      </w:r>
      <w:r>
        <w:rPr>
          <w:rFonts w:hint="eastAsia" w:ascii="仿宋" w:hAnsi="仿宋" w:eastAsia="仿宋" w:cs="仿宋_GB2312"/>
          <w:szCs w:val="32"/>
        </w:rPr>
        <w:t>培训费</w:t>
      </w:r>
      <w:r>
        <w:rPr>
          <w:rFonts w:ascii="仿宋" w:hAnsi="仿宋" w:eastAsia="仿宋" w:cs="仿宋_GB2312"/>
          <w:color w:val="000000"/>
          <w:kern w:val="0"/>
          <w:szCs w:val="32"/>
        </w:rPr>
        <w:t>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w:t>
      </w:r>
      <w:r>
        <w:rPr>
          <w:rFonts w:hint="eastAsia" w:ascii="仿宋" w:hAnsi="仿宋" w:eastAsia="仿宋" w:cs="仿宋_GB2312"/>
          <w:szCs w:val="32"/>
        </w:rPr>
        <w:t>0</w:t>
      </w:r>
      <w:r>
        <w:rPr>
          <w:rFonts w:ascii="仿宋" w:hAnsi="仿宋" w:eastAsia="仿宋" w:cs="仿宋_GB2312"/>
          <w:color w:val="000000"/>
          <w:kern w:val="0"/>
          <w:szCs w:val="32"/>
        </w:rPr>
        <w:t>，完成预算的</w:t>
      </w:r>
      <w:r>
        <w:rPr>
          <w:rFonts w:hint="eastAsia" w:ascii="仿宋" w:hAnsi="仿宋" w:eastAsia="仿宋" w:cs="仿宋_GB2312"/>
          <w:color w:val="000000"/>
          <w:kern w:val="0"/>
          <w:szCs w:val="32"/>
        </w:rPr>
        <w:t>0</w:t>
      </w:r>
      <w:r>
        <w:rPr>
          <w:rFonts w:ascii="仿宋" w:hAnsi="仿宋" w:eastAsia="仿宋" w:cs="仿宋_GB2312"/>
          <w:color w:val="000000"/>
          <w:kern w:val="0"/>
          <w:szCs w:val="32"/>
        </w:rPr>
        <w:t>%</w:t>
      </w:r>
      <w:r>
        <w:rPr>
          <w:rFonts w:hint="eastAsia" w:ascii="仿宋" w:hAnsi="仿宋" w:eastAsia="仿宋" w:cs="仿宋_GB2312"/>
          <w:color w:val="000000"/>
          <w:kern w:val="0"/>
          <w:szCs w:val="32"/>
        </w:rPr>
        <w:t>，</w:t>
      </w:r>
      <w:r>
        <w:rPr>
          <w:rFonts w:ascii="仿宋" w:hAnsi="仿宋" w:eastAsia="仿宋" w:cs="仿宋_GB2312"/>
          <w:color w:val="000000"/>
          <w:kern w:val="0"/>
          <w:szCs w:val="32"/>
        </w:rPr>
        <w:t>决算数</w:t>
      </w:r>
      <w:r>
        <w:rPr>
          <w:rFonts w:hint="eastAsia" w:ascii="仿宋" w:hAnsi="仿宋" w:eastAsia="仿宋" w:cs="仿宋_GB2312"/>
          <w:color w:val="000000"/>
          <w:kern w:val="0"/>
          <w:szCs w:val="32"/>
        </w:rPr>
        <w:t>较</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无增减变化。</w:t>
      </w:r>
    </w:p>
    <w:p>
      <w:pPr>
        <w:spacing w:line="560" w:lineRule="exact"/>
        <w:ind w:firstLine="643" w:firstLineChars="200"/>
        <w:rPr>
          <w:rFonts w:ascii="仿宋" w:hAnsi="仿宋" w:eastAsia="仿宋" w:cs="楷体_GB2312"/>
          <w:b/>
          <w:color w:val="000000"/>
          <w:kern w:val="0"/>
          <w:szCs w:val="32"/>
        </w:rPr>
      </w:pPr>
      <w:r>
        <w:rPr>
          <w:rFonts w:hint="eastAsia" w:ascii="仿宋" w:hAnsi="仿宋" w:eastAsia="仿宋" w:cs="楷体_GB2312"/>
          <w:b/>
          <w:color w:val="000000"/>
          <w:kern w:val="0"/>
          <w:szCs w:val="32"/>
        </w:rPr>
        <w:t>（四）会议费支出情况说明。</w:t>
      </w:r>
    </w:p>
    <w:p>
      <w:pPr>
        <w:ind w:firstLine="640" w:firstLineChars="200"/>
        <w:rPr>
          <w:rFonts w:ascii="仿宋" w:hAnsi="仿宋" w:eastAsia="仿宋" w:cs="仿宋_GB2312"/>
          <w:color w:val="000000"/>
          <w:kern w:val="0"/>
          <w:szCs w:val="32"/>
        </w:rPr>
      </w:pPr>
      <w:r>
        <w:rPr>
          <w:rFonts w:hint="eastAsia" w:ascii="仿宋" w:hAnsi="仿宋" w:eastAsia="仿宋"/>
          <w:szCs w:val="32"/>
        </w:rPr>
        <w:t>2019年度</w:t>
      </w:r>
      <w:r>
        <w:rPr>
          <w:rFonts w:hint="eastAsia" w:ascii="仿宋" w:hAnsi="仿宋" w:eastAsia="仿宋" w:cs="仿宋_GB2312"/>
          <w:szCs w:val="32"/>
        </w:rPr>
        <w:t>会议费</w:t>
      </w:r>
      <w:r>
        <w:rPr>
          <w:rFonts w:ascii="仿宋" w:hAnsi="仿宋" w:eastAsia="仿宋" w:cs="仿宋_GB2312"/>
          <w:color w:val="000000"/>
          <w:kern w:val="0"/>
          <w:szCs w:val="32"/>
        </w:rPr>
        <w:t>预算为</w:t>
      </w:r>
      <w:r>
        <w:rPr>
          <w:rFonts w:hint="eastAsia" w:ascii="仿宋" w:hAnsi="仿宋" w:eastAsia="仿宋" w:cs="仿宋_GB2312"/>
          <w:color w:val="000000"/>
          <w:kern w:val="0"/>
          <w:szCs w:val="32"/>
          <w:lang w:val="en-US" w:eastAsia="zh-CN"/>
        </w:rPr>
        <w:t>0.09</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万元，完成预算的</w:t>
      </w:r>
      <w:r>
        <w:rPr>
          <w:rFonts w:hint="eastAsia" w:ascii="仿宋" w:hAnsi="仿宋" w:eastAsia="仿宋" w:cs="仿宋_GB2312"/>
          <w:color w:val="000000"/>
          <w:kern w:val="0"/>
          <w:szCs w:val="32"/>
        </w:rPr>
        <w:t>0</w:t>
      </w:r>
      <w:r>
        <w:rPr>
          <w:rFonts w:ascii="仿宋" w:hAnsi="仿宋" w:eastAsia="仿宋" w:cs="仿宋_GB2312"/>
          <w:color w:val="000000"/>
          <w:kern w:val="0"/>
          <w:szCs w:val="32"/>
        </w:rPr>
        <w:t>%</w:t>
      </w:r>
      <w:r>
        <w:rPr>
          <w:rFonts w:hint="eastAsia" w:ascii="仿宋" w:hAnsi="仿宋" w:eastAsia="仿宋" w:cs="仿宋_GB2312"/>
          <w:color w:val="000000"/>
          <w:kern w:val="0"/>
          <w:szCs w:val="32"/>
        </w:rPr>
        <w:t>。</w:t>
      </w:r>
    </w:p>
    <w:p>
      <w:pPr>
        <w:spacing w:line="560" w:lineRule="exact"/>
        <w:ind w:firstLine="643" w:firstLineChars="200"/>
        <w:rPr>
          <w:rFonts w:ascii="黑体" w:hAnsi="黑体" w:eastAsia="黑体"/>
          <w:b/>
          <w:color w:val="000000"/>
          <w:kern w:val="0"/>
          <w:szCs w:val="32"/>
        </w:rPr>
      </w:pPr>
      <w:r>
        <w:rPr>
          <w:rFonts w:hint="eastAsia" w:ascii="黑体" w:hAnsi="黑体" w:eastAsia="黑体"/>
          <w:b/>
          <w:color w:val="000000"/>
          <w:kern w:val="0"/>
          <w:szCs w:val="32"/>
        </w:rPr>
        <w:t>八、政府性基金预算财政拨款收入支出情况说明</w:t>
      </w:r>
    </w:p>
    <w:p>
      <w:pPr>
        <w:spacing w:line="560" w:lineRule="exact"/>
        <w:ind w:firstLine="640"/>
        <w:rPr>
          <w:rFonts w:ascii="仿宋" w:hAnsi="仿宋" w:eastAsia="仿宋" w:cs="仿宋_GB2312"/>
          <w:szCs w:val="32"/>
        </w:rPr>
      </w:pPr>
      <w:r>
        <w:rPr>
          <w:rFonts w:hint="eastAsia" w:ascii="仿宋" w:hAnsi="仿宋" w:eastAsia="仿宋" w:cs="仿宋_GB2312"/>
          <w:szCs w:val="32"/>
        </w:rPr>
        <w:t>本单位无政府性基金决算收支，并已公开空表。</w:t>
      </w:r>
    </w:p>
    <w:p>
      <w:pPr>
        <w:widowControl/>
        <w:spacing w:line="560" w:lineRule="exact"/>
        <w:ind w:firstLine="643" w:firstLineChars="200"/>
        <w:jc w:val="left"/>
        <w:rPr>
          <w:rFonts w:ascii="黑体" w:hAnsi="黑体" w:eastAsia="黑体"/>
          <w:b/>
          <w:color w:val="000000"/>
          <w:kern w:val="0"/>
          <w:szCs w:val="32"/>
        </w:rPr>
      </w:pPr>
      <w:r>
        <w:rPr>
          <w:rFonts w:hint="eastAsia" w:ascii="黑体" w:hAnsi="黑体" w:eastAsia="黑体"/>
          <w:b/>
          <w:color w:val="000000"/>
          <w:kern w:val="0"/>
          <w:szCs w:val="32"/>
        </w:rPr>
        <w:t>九、国有资本经营财政拨款收入支出情况说明</w:t>
      </w:r>
    </w:p>
    <w:p>
      <w:pPr>
        <w:spacing w:line="560" w:lineRule="exact"/>
        <w:ind w:firstLine="640"/>
        <w:rPr>
          <w:rFonts w:ascii="仿宋" w:hAnsi="仿宋" w:eastAsia="仿宋" w:cs="仿宋_GB2312"/>
          <w:szCs w:val="32"/>
        </w:rPr>
      </w:pPr>
      <w:r>
        <w:rPr>
          <w:rFonts w:hint="eastAsia" w:ascii="仿宋" w:hAnsi="仿宋" w:eastAsia="仿宋" w:cs="仿宋_GB2312"/>
          <w:szCs w:val="32"/>
        </w:rPr>
        <w:t>本单位无国有资本经营决算拨款收支。</w:t>
      </w:r>
    </w:p>
    <w:p>
      <w:pPr>
        <w:widowControl/>
        <w:spacing w:line="560" w:lineRule="exact"/>
        <w:ind w:firstLine="643" w:firstLineChars="200"/>
        <w:jc w:val="left"/>
        <w:rPr>
          <w:rFonts w:ascii="黑体" w:hAnsi="黑体" w:eastAsia="黑体"/>
          <w:b/>
          <w:color w:val="000000"/>
          <w:kern w:val="0"/>
          <w:szCs w:val="32"/>
        </w:rPr>
      </w:pPr>
      <w:r>
        <w:rPr>
          <w:rFonts w:hint="eastAsia" w:ascii="黑体" w:hAnsi="黑体" w:eastAsia="黑体"/>
          <w:b/>
          <w:color w:val="000000"/>
          <w:kern w:val="0"/>
          <w:szCs w:val="32"/>
        </w:rPr>
        <w:t>十、预算绩效情况说明</w:t>
      </w:r>
    </w:p>
    <w:p>
      <w:pPr>
        <w:widowControl/>
        <w:spacing w:line="560" w:lineRule="exact"/>
        <w:ind w:firstLine="643" w:firstLineChars="200"/>
        <w:jc w:val="left"/>
        <w:rPr>
          <w:rFonts w:ascii="仿宋" w:hAnsi="仿宋" w:eastAsia="仿宋"/>
          <w:color w:val="000000"/>
          <w:kern w:val="0"/>
          <w:szCs w:val="32"/>
        </w:rPr>
      </w:pPr>
      <w:r>
        <w:rPr>
          <w:rFonts w:hint="eastAsia" w:ascii="仿宋" w:hAnsi="仿宋" w:eastAsia="仿宋" w:cs="楷体_GB2312"/>
          <w:b/>
          <w:color w:val="000000"/>
          <w:kern w:val="0"/>
          <w:szCs w:val="32"/>
        </w:rPr>
        <w:t>（一）</w:t>
      </w:r>
      <w:r>
        <w:rPr>
          <w:rFonts w:ascii="仿宋" w:hAnsi="仿宋" w:eastAsia="仿宋" w:cs="楷体_GB2312"/>
          <w:b/>
          <w:color w:val="000000"/>
          <w:kern w:val="0"/>
          <w:szCs w:val="32"/>
        </w:rPr>
        <w:t>预算绩效管理工作开展情况</w:t>
      </w:r>
      <w:r>
        <w:rPr>
          <w:rFonts w:hint="eastAsia" w:ascii="仿宋" w:hAnsi="仿宋" w:eastAsia="仿宋" w:cs="楷体_GB2312"/>
          <w:b/>
          <w:color w:val="000000"/>
          <w:kern w:val="0"/>
          <w:szCs w:val="32"/>
        </w:rPr>
        <w:t>说明</w:t>
      </w:r>
      <w:r>
        <w:rPr>
          <w:rFonts w:ascii="仿宋" w:hAnsi="仿宋" w:eastAsia="仿宋" w:cs="楷体_GB2312"/>
          <w:b/>
          <w:color w:val="000000"/>
          <w:kern w:val="0"/>
          <w:szCs w:val="32"/>
        </w:rPr>
        <w:t>。</w:t>
      </w:r>
    </w:p>
    <w:p>
      <w:pPr>
        <w:ind w:firstLine="640" w:firstLineChars="200"/>
        <w:rPr>
          <w:rFonts w:ascii="仿宋" w:hAnsi="仿宋" w:eastAsia="仿宋" w:cs="仿宋_GB2312"/>
          <w:color w:val="000000"/>
          <w:kern w:val="0"/>
          <w:sz w:val="31"/>
          <w:szCs w:val="31"/>
        </w:rPr>
      </w:pPr>
      <w:r>
        <w:rPr>
          <w:rFonts w:hint="eastAsia" w:ascii="仿宋" w:hAnsi="仿宋" w:eastAsia="仿宋" w:cs="仿宋_GB2312"/>
          <w:szCs w:val="32"/>
        </w:rPr>
        <w:t>根据预算绩效管理要求，本单位组织对2</w:t>
      </w:r>
      <w:r>
        <w:rPr>
          <w:rFonts w:ascii="仿宋" w:hAnsi="仿宋" w:eastAsia="仿宋" w:cs="仿宋_GB2312"/>
          <w:szCs w:val="32"/>
        </w:rPr>
        <w:t>019</w:t>
      </w:r>
      <w:r>
        <w:rPr>
          <w:rFonts w:hint="eastAsia" w:ascii="仿宋" w:hAnsi="仿宋" w:eastAsia="仿宋" w:cs="仿宋_GB2312"/>
          <w:szCs w:val="32"/>
        </w:rPr>
        <w:t>年一般公共预算</w:t>
      </w:r>
      <w:r>
        <w:rPr>
          <w:rFonts w:hint="eastAsia" w:ascii="仿宋" w:hAnsi="仿宋" w:eastAsia="仿宋" w:cs="仿宋_GB2312"/>
          <w:szCs w:val="32"/>
          <w:lang w:val="en-US" w:eastAsia="zh-CN"/>
        </w:rPr>
        <w:t>2</w:t>
      </w:r>
      <w:r>
        <w:rPr>
          <w:rFonts w:hint="eastAsia" w:ascii="仿宋" w:hAnsi="仿宋" w:eastAsia="仿宋" w:cs="仿宋_GB2312"/>
          <w:szCs w:val="32"/>
        </w:rPr>
        <w:t>个项目支出开展了绩效自评</w:t>
      </w:r>
      <w:r>
        <w:rPr>
          <w:rFonts w:ascii="仿宋" w:hAnsi="仿宋" w:eastAsia="仿宋" w:cs="仿宋_GB2312"/>
          <w:szCs w:val="32"/>
        </w:rPr>
        <w:t>，其中，一级项目</w:t>
      </w:r>
      <w:r>
        <w:rPr>
          <w:rFonts w:hint="eastAsia" w:ascii="仿宋" w:hAnsi="仿宋" w:eastAsia="仿宋" w:cs="仿宋_GB2312"/>
          <w:szCs w:val="32"/>
        </w:rPr>
        <w:t>1</w:t>
      </w:r>
      <w:r>
        <w:rPr>
          <w:rFonts w:ascii="仿宋" w:hAnsi="仿宋" w:eastAsia="仿宋" w:cs="仿宋_GB2312"/>
          <w:szCs w:val="32"/>
        </w:rPr>
        <w:t>个，二级项目</w:t>
      </w:r>
      <w:r>
        <w:rPr>
          <w:rFonts w:hint="eastAsia" w:ascii="仿宋" w:hAnsi="仿宋" w:eastAsia="仿宋" w:cs="仿宋_GB2312"/>
          <w:szCs w:val="32"/>
          <w:lang w:val="en-US" w:eastAsia="zh-CN"/>
        </w:rPr>
        <w:t>2</w:t>
      </w:r>
      <w:r>
        <w:rPr>
          <w:rFonts w:ascii="仿宋" w:hAnsi="仿宋" w:eastAsia="仿宋" w:cs="仿宋_GB2312"/>
          <w:szCs w:val="32"/>
        </w:rPr>
        <w:t>个，共涉及资金</w:t>
      </w:r>
      <w:r>
        <w:rPr>
          <w:rFonts w:hint="eastAsia" w:ascii="仿宋" w:hAnsi="仿宋" w:eastAsia="仿宋" w:cs="仿宋_GB2312"/>
          <w:szCs w:val="32"/>
        </w:rPr>
        <w:t>15.5</w:t>
      </w:r>
      <w:r>
        <w:rPr>
          <w:rFonts w:hint="eastAsia" w:ascii="仿宋" w:hAnsi="仿宋" w:eastAsia="仿宋" w:cs="仿宋_GB2312"/>
          <w:szCs w:val="32"/>
          <w:lang w:val="en-US" w:eastAsia="zh-CN"/>
        </w:rPr>
        <w:t>5</w:t>
      </w:r>
      <w:r>
        <w:rPr>
          <w:rFonts w:ascii="仿宋" w:hAnsi="仿宋" w:eastAsia="仿宋" w:cs="仿宋_GB2312"/>
          <w:szCs w:val="32"/>
        </w:rPr>
        <w:t>万元，占一般公共预算项目支出总额的</w:t>
      </w:r>
      <w:r>
        <w:rPr>
          <w:rFonts w:hint="eastAsia" w:ascii="仿宋" w:hAnsi="仿宋" w:eastAsia="仿宋" w:cs="仿宋_GB2312"/>
          <w:szCs w:val="32"/>
        </w:rPr>
        <w:t>18.3</w:t>
      </w:r>
      <w:r>
        <w:rPr>
          <w:rFonts w:hint="eastAsia" w:ascii="仿宋" w:hAnsi="仿宋" w:eastAsia="仿宋" w:cs="仿宋_GB2312"/>
          <w:szCs w:val="32"/>
          <w:lang w:val="en-US" w:eastAsia="zh-CN"/>
        </w:rPr>
        <w:t>3</w:t>
      </w:r>
      <w:r>
        <w:rPr>
          <w:rFonts w:ascii="仿宋" w:hAnsi="仿宋" w:eastAsia="仿宋" w:cs="仿宋_GB2312"/>
          <w:szCs w:val="32"/>
        </w:rPr>
        <w:t>%</w:t>
      </w:r>
      <w:r>
        <w:rPr>
          <w:rFonts w:hint="eastAsia" w:ascii="仿宋" w:hAnsi="仿宋" w:eastAsia="仿宋" w:cs="仿宋_GB2312"/>
          <w:szCs w:val="32"/>
        </w:rPr>
        <w:t>；</w:t>
      </w:r>
      <w:r>
        <w:rPr>
          <w:rFonts w:ascii="仿宋" w:hAnsi="仿宋" w:eastAsia="仿宋" w:cs="仿宋_GB2312"/>
          <w:color w:val="000000"/>
          <w:kern w:val="0"/>
          <w:sz w:val="31"/>
          <w:szCs w:val="31"/>
        </w:rPr>
        <w:t>2019年</w:t>
      </w:r>
      <w:r>
        <w:rPr>
          <w:rFonts w:hint="eastAsia" w:ascii="仿宋" w:hAnsi="仿宋" w:eastAsia="仿宋"/>
          <w:szCs w:val="32"/>
        </w:rPr>
        <w:t>度无政府性</w:t>
      </w:r>
      <w:r>
        <w:rPr>
          <w:rFonts w:hint="eastAsia" w:ascii="仿宋" w:hAnsi="仿宋" w:eastAsia="仿宋" w:cs="仿宋_GB2312"/>
          <w:szCs w:val="32"/>
        </w:rPr>
        <w:t>基金预算。</w:t>
      </w:r>
    </w:p>
    <w:p>
      <w:pPr>
        <w:widowControl/>
        <w:spacing w:line="560" w:lineRule="exact"/>
        <w:ind w:firstLine="643" w:firstLineChars="200"/>
        <w:jc w:val="left"/>
        <w:rPr>
          <w:rFonts w:ascii="仿宋" w:hAnsi="仿宋" w:eastAsia="仿宋" w:cs="楷体_GB2312"/>
          <w:b/>
          <w:color w:val="000000"/>
          <w:kern w:val="0"/>
          <w:szCs w:val="32"/>
        </w:rPr>
      </w:pPr>
      <w:r>
        <w:rPr>
          <w:rFonts w:hint="eastAsia" w:ascii="仿宋" w:hAnsi="仿宋" w:eastAsia="仿宋" w:cs="楷体_GB2312"/>
          <w:b/>
          <w:color w:val="000000"/>
          <w:kern w:val="0"/>
          <w:szCs w:val="32"/>
        </w:rPr>
        <w:t>（二）</w:t>
      </w:r>
      <w:r>
        <w:rPr>
          <w:rFonts w:ascii="仿宋" w:hAnsi="仿宋" w:eastAsia="仿宋" w:cs="楷体_GB2312"/>
          <w:b/>
          <w:color w:val="000000"/>
          <w:kern w:val="0"/>
          <w:szCs w:val="32"/>
        </w:rPr>
        <w:t>部门决算中项目绩效自评结果。</w:t>
      </w:r>
    </w:p>
    <w:p>
      <w:pPr>
        <w:widowControl/>
        <w:spacing w:line="560" w:lineRule="exact"/>
        <w:ind w:firstLine="620" w:firstLineChars="200"/>
        <w:jc w:val="left"/>
        <w:rPr>
          <w:rFonts w:ascii="仿宋" w:hAnsi="仿宋" w:eastAsia="仿宋" w:cs="仿宋_GB2312"/>
          <w:color w:val="000000"/>
          <w:kern w:val="0"/>
          <w:sz w:val="31"/>
          <w:szCs w:val="31"/>
        </w:rPr>
      </w:pPr>
      <w:r>
        <w:rPr>
          <w:rFonts w:hint="eastAsia" w:ascii="仿宋" w:hAnsi="仿宋" w:eastAsia="仿宋" w:cs="仿宋_GB2312"/>
          <w:color w:val="000000"/>
          <w:kern w:val="0"/>
          <w:sz w:val="31"/>
          <w:szCs w:val="31"/>
        </w:rPr>
        <w:t>1.一般行政管理事务</w:t>
      </w:r>
      <w:r>
        <w:rPr>
          <w:rFonts w:ascii="仿宋" w:hAnsi="仿宋" w:eastAsia="仿宋" w:cs="仿宋_GB2312"/>
          <w:color w:val="000000"/>
          <w:kern w:val="0"/>
          <w:sz w:val="31"/>
          <w:szCs w:val="31"/>
        </w:rPr>
        <w:t>项目绩效自评综述：根据年初设定的绩效目标，项目自评得分</w:t>
      </w:r>
      <w:r>
        <w:rPr>
          <w:rFonts w:hint="eastAsia" w:ascii="仿宋" w:hAnsi="仿宋" w:eastAsia="仿宋" w:cs="仿宋_GB2312"/>
          <w:color w:val="000000"/>
          <w:kern w:val="0"/>
          <w:sz w:val="31"/>
          <w:szCs w:val="31"/>
        </w:rPr>
        <w:t>100</w:t>
      </w:r>
      <w:r>
        <w:rPr>
          <w:rFonts w:ascii="仿宋" w:hAnsi="仿宋" w:eastAsia="仿宋" w:cs="仿宋_GB2312"/>
          <w:color w:val="000000"/>
          <w:kern w:val="0"/>
          <w:sz w:val="31"/>
          <w:szCs w:val="31"/>
        </w:rPr>
        <w:t>分。项目全年预算数</w:t>
      </w:r>
      <w:r>
        <w:rPr>
          <w:rFonts w:hint="eastAsia" w:ascii="仿宋" w:hAnsi="仿宋" w:eastAsia="仿宋" w:cs="仿宋_GB2312"/>
          <w:color w:val="000000"/>
          <w:kern w:val="0"/>
          <w:sz w:val="31"/>
          <w:szCs w:val="31"/>
        </w:rPr>
        <w:t>0.55</w:t>
      </w:r>
      <w:r>
        <w:rPr>
          <w:rFonts w:ascii="仿宋" w:hAnsi="仿宋" w:eastAsia="仿宋" w:cs="仿宋_GB2312"/>
          <w:color w:val="000000"/>
          <w:kern w:val="0"/>
          <w:sz w:val="31"/>
          <w:szCs w:val="31"/>
        </w:rPr>
        <w:t xml:space="preserve">万元，执行数 </w:t>
      </w:r>
      <w:r>
        <w:rPr>
          <w:rFonts w:hint="eastAsia" w:ascii="仿宋" w:hAnsi="仿宋" w:eastAsia="仿宋" w:cs="仿宋_GB2312"/>
          <w:color w:val="000000"/>
          <w:kern w:val="0"/>
          <w:sz w:val="31"/>
          <w:szCs w:val="31"/>
        </w:rPr>
        <w:t>0.55</w:t>
      </w:r>
      <w:r>
        <w:rPr>
          <w:rFonts w:ascii="仿宋" w:hAnsi="仿宋" w:eastAsia="仿宋" w:cs="仿宋_GB2312"/>
          <w:color w:val="000000"/>
          <w:kern w:val="0"/>
          <w:sz w:val="31"/>
          <w:szCs w:val="31"/>
        </w:rPr>
        <w:t>万元，完成预算的</w:t>
      </w:r>
      <w:r>
        <w:rPr>
          <w:rFonts w:hint="eastAsia" w:ascii="仿宋" w:hAnsi="仿宋" w:eastAsia="仿宋" w:cs="仿宋_GB2312"/>
          <w:color w:val="000000"/>
          <w:kern w:val="0"/>
          <w:sz w:val="31"/>
          <w:szCs w:val="31"/>
        </w:rPr>
        <w:t>100</w:t>
      </w:r>
      <w:r>
        <w:rPr>
          <w:rFonts w:ascii="仿宋" w:hAnsi="仿宋" w:eastAsia="仿宋" w:cs="仿宋_GB2312"/>
          <w:color w:val="000000"/>
          <w:kern w:val="0"/>
          <w:sz w:val="31"/>
          <w:szCs w:val="31"/>
        </w:rPr>
        <w:t>%。</w:t>
      </w:r>
    </w:p>
    <w:p>
      <w:pPr>
        <w:widowControl/>
        <w:spacing w:line="560" w:lineRule="exact"/>
        <w:ind w:firstLine="620" w:firstLineChars="2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主要产出和效果：</w:t>
      </w:r>
      <w:r>
        <w:rPr>
          <w:rFonts w:hint="eastAsia" w:ascii="仿宋" w:hAnsi="仿宋" w:eastAsia="仿宋" w:cs="仿宋_GB2312"/>
          <w:color w:val="000000"/>
          <w:kern w:val="0"/>
          <w:sz w:val="31"/>
          <w:szCs w:val="31"/>
        </w:rPr>
        <w:t>2019年全年用政府采购资金购买台式电脑计算机1台，激光打印机1台，支付工程结算费用0.55万。</w:t>
      </w:r>
    </w:p>
    <w:p>
      <w:pPr>
        <w:widowControl/>
        <w:spacing w:line="560" w:lineRule="exact"/>
        <w:ind w:firstLine="620" w:firstLineChars="2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通过项目实施</w:t>
      </w:r>
      <w:r>
        <w:rPr>
          <w:rFonts w:hint="eastAsia" w:ascii="仿宋" w:hAnsi="仿宋" w:eastAsia="仿宋" w:cs="仿宋_GB2312"/>
          <w:color w:val="000000"/>
          <w:kern w:val="0"/>
          <w:sz w:val="31"/>
          <w:szCs w:val="31"/>
        </w:rPr>
        <w:t>提高了干部的工作效率，节省了日常的有效工作时间，方便了流浪乞讨人员的救助工作。</w:t>
      </w:r>
    </w:p>
    <w:p>
      <w:pPr>
        <w:widowControl/>
        <w:spacing w:line="560" w:lineRule="exact"/>
        <w:ind w:firstLine="620" w:firstLineChars="2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发现的问题及原因：</w:t>
      </w:r>
      <w:r>
        <w:rPr>
          <w:rFonts w:hint="eastAsia" w:ascii="仿宋" w:hAnsi="仿宋" w:eastAsia="仿宋" w:cs="仿宋_GB2312"/>
          <w:color w:val="000000"/>
          <w:kern w:val="0"/>
          <w:sz w:val="31"/>
          <w:szCs w:val="31"/>
          <w:lang w:eastAsia="zh-CN"/>
        </w:rPr>
        <w:t>增加办公设备的更新，设备老旧</w:t>
      </w:r>
      <w:r>
        <w:rPr>
          <w:rFonts w:ascii="仿宋" w:hAnsi="仿宋" w:eastAsia="仿宋" w:cs="仿宋_GB2312"/>
          <w:color w:val="000000"/>
          <w:kern w:val="0"/>
          <w:sz w:val="31"/>
          <w:szCs w:val="31"/>
        </w:rPr>
        <w:t>。</w:t>
      </w:r>
    </w:p>
    <w:p>
      <w:pPr>
        <w:widowControl/>
        <w:spacing w:line="560" w:lineRule="exact"/>
        <w:ind w:firstLine="620" w:firstLineChars="200"/>
        <w:jc w:val="left"/>
        <w:rPr>
          <w:rFonts w:ascii="仿宋" w:hAnsi="仿宋" w:eastAsia="仿宋" w:cs="仿宋_GB2312"/>
          <w:color w:val="000000"/>
          <w:kern w:val="0"/>
          <w:sz w:val="31"/>
          <w:szCs w:val="31"/>
        </w:rPr>
      </w:pPr>
      <w:r>
        <w:rPr>
          <w:rFonts w:ascii="仿宋" w:hAnsi="仿宋" w:eastAsia="仿宋" w:cs="仿宋_GB2312"/>
          <w:color w:val="000000"/>
          <w:kern w:val="0"/>
          <w:sz w:val="31"/>
          <w:szCs w:val="31"/>
        </w:rPr>
        <w:t>下一步改进措施：</w:t>
      </w:r>
      <w:r>
        <w:rPr>
          <w:rFonts w:hint="eastAsia" w:ascii="仿宋" w:hAnsi="仿宋" w:eastAsia="仿宋" w:cs="仿宋_GB2312"/>
          <w:color w:val="000000"/>
          <w:kern w:val="0"/>
          <w:sz w:val="31"/>
          <w:szCs w:val="31"/>
        </w:rPr>
        <w:t>加</w:t>
      </w:r>
      <w:r>
        <w:rPr>
          <w:rFonts w:hint="eastAsia" w:ascii="仿宋" w:hAnsi="仿宋" w:eastAsia="仿宋" w:cs="仿宋_GB2312"/>
          <w:color w:val="000000"/>
          <w:kern w:val="0"/>
          <w:sz w:val="31"/>
          <w:szCs w:val="31"/>
          <w:lang w:eastAsia="zh-CN"/>
        </w:rPr>
        <w:t>大固定资产资金</w:t>
      </w:r>
      <w:r>
        <w:rPr>
          <w:rFonts w:hint="eastAsia" w:ascii="仿宋" w:hAnsi="仿宋" w:eastAsia="仿宋" w:cs="仿宋_GB2312"/>
          <w:color w:val="000000"/>
          <w:kern w:val="0"/>
          <w:sz w:val="31"/>
          <w:szCs w:val="31"/>
        </w:rPr>
        <w:t>。</w:t>
      </w:r>
    </w:p>
    <w:p>
      <w:pPr>
        <w:widowControl/>
        <w:spacing w:line="560" w:lineRule="exact"/>
        <w:ind w:firstLine="640" w:firstLineChars="200"/>
        <w:jc w:val="left"/>
        <w:rPr>
          <w:rFonts w:ascii="仿宋" w:hAnsi="仿宋" w:eastAsia="仿宋" w:cs="仿宋_GB2312"/>
          <w:color w:val="000000"/>
          <w:kern w:val="0"/>
          <w:szCs w:val="32"/>
        </w:rPr>
      </w:pPr>
      <w:r>
        <w:rPr>
          <w:rFonts w:hint="eastAsia" w:ascii="仿宋" w:hAnsi="仿宋" w:eastAsia="仿宋" w:cs="仿宋_GB2312"/>
          <w:color w:val="000000"/>
          <w:kern w:val="0"/>
          <w:szCs w:val="32"/>
        </w:rPr>
        <w:t>2.公务车购置采购</w:t>
      </w:r>
      <w:r>
        <w:rPr>
          <w:rFonts w:ascii="仿宋" w:hAnsi="仿宋" w:eastAsia="仿宋" w:cs="仿宋_GB2312"/>
          <w:color w:val="000000"/>
          <w:kern w:val="0"/>
          <w:szCs w:val="32"/>
        </w:rPr>
        <w:t>项目绩效自评综述：根据年初设定的绩效目标，项目自评得分</w:t>
      </w:r>
      <w:r>
        <w:rPr>
          <w:rFonts w:hint="eastAsia" w:ascii="仿宋" w:hAnsi="仿宋" w:eastAsia="仿宋" w:cs="仿宋_GB2312"/>
          <w:color w:val="000000"/>
          <w:kern w:val="0"/>
          <w:szCs w:val="32"/>
          <w:lang w:val="en-US" w:eastAsia="zh-CN"/>
        </w:rPr>
        <w:t>100</w:t>
      </w:r>
      <w:r>
        <w:rPr>
          <w:rFonts w:ascii="仿宋" w:hAnsi="仿宋" w:eastAsia="仿宋" w:cs="仿宋_GB2312"/>
          <w:color w:val="000000"/>
          <w:kern w:val="0"/>
          <w:szCs w:val="32"/>
        </w:rPr>
        <w:t>分。项目全年预算数</w:t>
      </w:r>
      <w:r>
        <w:rPr>
          <w:rFonts w:hint="eastAsia" w:ascii="仿宋" w:hAnsi="仿宋" w:eastAsia="仿宋" w:cs="仿宋_GB2312"/>
          <w:color w:val="000000"/>
          <w:kern w:val="0"/>
          <w:szCs w:val="32"/>
        </w:rPr>
        <w:t>0</w:t>
      </w:r>
      <w:r>
        <w:rPr>
          <w:rFonts w:ascii="仿宋" w:hAnsi="仿宋" w:eastAsia="仿宋" w:cs="仿宋_GB2312"/>
          <w:color w:val="000000"/>
          <w:kern w:val="0"/>
          <w:szCs w:val="32"/>
        </w:rPr>
        <w:t xml:space="preserve">万元，执行数 </w:t>
      </w:r>
      <w:r>
        <w:rPr>
          <w:rFonts w:hint="eastAsia" w:ascii="仿宋" w:hAnsi="仿宋" w:eastAsia="仿宋" w:cs="仿宋_GB2312"/>
          <w:color w:val="000000"/>
          <w:kern w:val="0"/>
          <w:szCs w:val="32"/>
        </w:rPr>
        <w:t>15</w:t>
      </w:r>
      <w:r>
        <w:rPr>
          <w:rFonts w:ascii="仿宋" w:hAnsi="仿宋" w:eastAsia="仿宋" w:cs="仿宋_GB2312"/>
          <w:color w:val="000000"/>
          <w:kern w:val="0"/>
          <w:szCs w:val="32"/>
        </w:rPr>
        <w:t>万元。</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主要产出和效果：</w:t>
      </w:r>
      <w:r>
        <w:rPr>
          <w:rFonts w:hint="eastAsia" w:ascii="仿宋" w:hAnsi="仿宋" w:eastAsia="仿宋" w:cs="仿宋_GB2312"/>
          <w:color w:val="000000"/>
          <w:kern w:val="0"/>
          <w:szCs w:val="32"/>
        </w:rPr>
        <w:t>2019年10月份用政府采购资金购买 江铃小型6座车辆1辆，支付费用15万。</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通过项目实施</w:t>
      </w:r>
      <w:r>
        <w:rPr>
          <w:rFonts w:hint="eastAsia" w:ascii="仿宋" w:hAnsi="仿宋" w:eastAsia="仿宋" w:cs="仿宋_GB2312"/>
          <w:color w:val="000000"/>
          <w:kern w:val="0"/>
          <w:szCs w:val="32"/>
        </w:rPr>
        <w:t>保障流浪乞讨人员救助的安全性、及时性、安全送达流浪乞讨人员。。</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发现的问题及原因：</w:t>
      </w:r>
      <w:r>
        <w:rPr>
          <w:rFonts w:hint="eastAsia" w:ascii="仿宋" w:hAnsi="仿宋" w:eastAsia="仿宋" w:cs="仿宋_GB2312"/>
          <w:color w:val="000000"/>
          <w:kern w:val="0"/>
          <w:szCs w:val="32"/>
        </w:rPr>
        <w:t>由于追加项目导致预算追加过大</w:t>
      </w:r>
      <w:r>
        <w:rPr>
          <w:rFonts w:ascii="仿宋" w:hAnsi="仿宋" w:eastAsia="仿宋" w:cs="仿宋_GB2312"/>
          <w:color w:val="000000"/>
          <w:kern w:val="0"/>
          <w:szCs w:val="32"/>
        </w:rPr>
        <w:t>。</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下一步改进措施：</w:t>
      </w:r>
      <w:r>
        <w:rPr>
          <w:rFonts w:hint="eastAsia" w:ascii="仿宋" w:hAnsi="仿宋" w:eastAsia="仿宋" w:cs="仿宋_GB2312"/>
          <w:color w:val="000000"/>
          <w:kern w:val="0"/>
          <w:szCs w:val="32"/>
        </w:rPr>
        <w:t>进一步加强预算刚性管理，严格预算执行。</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根据年初设定的绩效目标，</w:t>
      </w:r>
      <w:r>
        <w:rPr>
          <w:rFonts w:hint="eastAsia" w:ascii="仿宋" w:hAnsi="仿宋" w:eastAsia="仿宋" w:cs="仿宋_GB2312"/>
          <w:color w:val="000000"/>
          <w:kern w:val="0"/>
          <w:szCs w:val="32"/>
        </w:rPr>
        <w:t>本单位整体2019年度整体</w:t>
      </w:r>
      <w:r>
        <w:rPr>
          <w:rFonts w:ascii="仿宋" w:hAnsi="仿宋" w:eastAsia="仿宋" w:cs="仿宋_GB2312"/>
          <w:color w:val="000000"/>
          <w:kern w:val="0"/>
          <w:szCs w:val="32"/>
        </w:rPr>
        <w:t>自评得分</w:t>
      </w:r>
      <w:r>
        <w:rPr>
          <w:rFonts w:hint="eastAsia" w:ascii="仿宋" w:hAnsi="仿宋" w:eastAsia="仿宋" w:cs="仿宋_GB2312"/>
          <w:color w:val="000000"/>
          <w:kern w:val="0"/>
          <w:szCs w:val="32"/>
          <w:lang w:val="en-US" w:eastAsia="zh-CN"/>
        </w:rPr>
        <w:t>95</w:t>
      </w:r>
      <w:r>
        <w:rPr>
          <w:rFonts w:ascii="仿宋" w:hAnsi="仿宋" w:eastAsia="仿宋" w:cs="仿宋_GB2312"/>
          <w:color w:val="000000"/>
          <w:kern w:val="0"/>
          <w:szCs w:val="32"/>
        </w:rPr>
        <w:t>分。全年预算数</w:t>
      </w:r>
      <w:r>
        <w:rPr>
          <w:rFonts w:hint="eastAsia" w:ascii="仿宋" w:hAnsi="仿宋" w:eastAsia="仿宋" w:cs="仿宋_GB2312"/>
          <w:color w:val="000000"/>
          <w:kern w:val="0"/>
          <w:szCs w:val="32"/>
        </w:rPr>
        <w:t>44.16</w:t>
      </w:r>
      <w:r>
        <w:rPr>
          <w:rFonts w:ascii="仿宋" w:hAnsi="仿宋" w:eastAsia="仿宋" w:cs="仿宋_GB2312"/>
          <w:color w:val="000000"/>
          <w:kern w:val="0"/>
          <w:szCs w:val="32"/>
        </w:rPr>
        <w:t>万元，执行数</w:t>
      </w:r>
      <w:r>
        <w:rPr>
          <w:rFonts w:hint="eastAsia" w:ascii="仿宋" w:hAnsi="仿宋" w:eastAsia="仿宋" w:cs="仿宋_GB2312"/>
          <w:color w:val="000000"/>
          <w:kern w:val="0"/>
          <w:szCs w:val="32"/>
        </w:rPr>
        <w:t>84.84</w:t>
      </w:r>
      <w:r>
        <w:rPr>
          <w:rFonts w:ascii="仿宋" w:hAnsi="仿宋" w:eastAsia="仿宋" w:cs="仿宋_GB2312"/>
          <w:color w:val="000000"/>
          <w:kern w:val="0"/>
          <w:szCs w:val="32"/>
        </w:rPr>
        <w:t>万元，完成预算的</w:t>
      </w:r>
      <w:r>
        <w:rPr>
          <w:rFonts w:hint="eastAsia" w:ascii="仿宋" w:hAnsi="仿宋" w:eastAsia="仿宋" w:cs="仿宋_GB2312"/>
          <w:color w:val="000000"/>
          <w:kern w:val="0"/>
          <w:szCs w:val="32"/>
        </w:rPr>
        <w:t>192.12</w:t>
      </w:r>
      <w:r>
        <w:rPr>
          <w:rFonts w:ascii="仿宋" w:hAnsi="仿宋" w:eastAsia="仿宋" w:cs="仿宋_GB2312"/>
          <w:color w:val="000000"/>
          <w:kern w:val="0"/>
          <w:szCs w:val="32"/>
        </w:rPr>
        <w:t>%。</w:t>
      </w:r>
    </w:p>
    <w:p>
      <w:pPr>
        <w:widowControl/>
        <w:spacing w:line="560" w:lineRule="exact"/>
        <w:ind w:firstLine="640" w:firstLineChars="200"/>
        <w:jc w:val="left"/>
        <w:rPr>
          <w:rFonts w:hint="eastAsia" w:ascii="仿宋" w:hAnsi="仿宋" w:eastAsia="仿宋" w:cs="仿宋_GB2312"/>
          <w:color w:val="000000"/>
          <w:kern w:val="0"/>
          <w:szCs w:val="32"/>
        </w:rPr>
      </w:pPr>
      <w:r>
        <w:rPr>
          <w:rFonts w:ascii="仿宋" w:hAnsi="仿宋" w:eastAsia="仿宋" w:cs="仿宋_GB2312"/>
          <w:color w:val="000000"/>
          <w:kern w:val="0"/>
          <w:szCs w:val="32"/>
        </w:rPr>
        <w:t>主要产出和效果：</w:t>
      </w:r>
      <w:r>
        <w:rPr>
          <w:rFonts w:hint="eastAsia" w:ascii="仿宋" w:hAnsi="仿宋" w:eastAsia="仿宋" w:cs="仿宋_GB2312"/>
          <w:color w:val="000000"/>
          <w:kern w:val="0"/>
          <w:szCs w:val="32"/>
        </w:rPr>
        <w:t>1、</w:t>
      </w:r>
      <w:r>
        <w:rPr>
          <w:rFonts w:hint="eastAsia" w:ascii="仿宋" w:hAnsi="仿宋" w:eastAsia="仿宋" w:cs="仿宋_GB2312"/>
          <w:szCs w:val="32"/>
        </w:rPr>
        <w:t xml:space="preserve">2019年共救助流浪乞讨人员501人次，其中危重或精神病人22人次，自行来站469人次，本站主动救助7人次，派出所护送23人次，其他站转入2人次；自主离站479人次，护送返乡17人次，家属接领5人次；共发放衣物80余件，组织定期与不定期街面巡查60余次。截止年底，有2名滞留人员在阎良区铁路医院精神科寄养，身份正在核实。    </w:t>
      </w:r>
    </w:p>
    <w:p>
      <w:pPr>
        <w:widowControl/>
        <w:spacing w:line="560" w:lineRule="exact"/>
        <w:ind w:firstLine="640" w:firstLineChars="200"/>
        <w:jc w:val="left"/>
        <w:rPr>
          <w:rFonts w:ascii="仿宋" w:hAnsi="仿宋" w:eastAsia="仿宋" w:cs="仿宋_GB2312"/>
          <w:color w:val="000000"/>
          <w:kern w:val="0"/>
          <w:szCs w:val="32"/>
        </w:rPr>
      </w:pPr>
      <w:r>
        <w:rPr>
          <w:rFonts w:hint="eastAsia" w:ascii="仿宋" w:hAnsi="仿宋" w:eastAsia="仿宋" w:cs="仿宋_GB2312"/>
          <w:szCs w:val="32"/>
        </w:rPr>
        <w:t>2、阎良区目前共有留守儿童391人，困境儿童527人，所有儿童均已办理户口，所有留守儿童监护责任确认书均已签订，且无监护缺失和辍学现象，现已将所有留守儿童及困境儿童录入全国信息管理系统，由儿童督导员和儿童主任直接管理系统，随时更新儿童数据，做到数据动态化管理。2019年，我们通过开展留守儿童及困境儿童关爱活动，为他们创造了欢乐、和睦的生活氛围，找到家的感觉，让他们体验到了成长的快乐与幸福，增强信心，树立乐观向上的生活态度，培养正确的人生观、价值观。</w:t>
      </w:r>
    </w:p>
    <w:p>
      <w:pPr>
        <w:ind w:firstLine="640" w:firstLineChars="200"/>
        <w:rPr>
          <w:rFonts w:hint="eastAsia" w:ascii="仿宋" w:hAnsi="仿宋" w:eastAsia="仿宋"/>
          <w:kern w:val="0"/>
        </w:rPr>
      </w:pPr>
      <w:r>
        <w:rPr>
          <w:rFonts w:ascii="仿宋" w:hAnsi="仿宋" w:eastAsia="仿宋"/>
          <w:kern w:val="0"/>
        </w:rPr>
        <w:t>发现的问题及原因：</w:t>
      </w:r>
      <w:r>
        <w:rPr>
          <w:rFonts w:hint="eastAsia" w:ascii="仿宋" w:hAnsi="仿宋" w:eastAsia="仿宋"/>
          <w:szCs w:val="32"/>
        </w:rPr>
        <w:t>1、农村留守儿童工作没有专项资金支持，自主帮扶工作难以开展，目前开展的一些留守儿童关爱活动都只是一小部分孩子，容易造成孩子之间的差别对待现象，对于经济条件稍好的留守儿童家庭长期没有实质的关爱帮扶措施，只是收集数据，容易引起家长的反感情绪，对后续数据更新造成不便。</w:t>
      </w:r>
    </w:p>
    <w:p>
      <w:pPr>
        <w:spacing w:line="578" w:lineRule="exact"/>
        <w:ind w:firstLine="640" w:firstLineChars="200"/>
        <w:rPr>
          <w:rFonts w:ascii="仿宋" w:hAnsi="仿宋" w:eastAsia="仿宋"/>
          <w:szCs w:val="32"/>
        </w:rPr>
      </w:pPr>
      <w:r>
        <w:rPr>
          <w:rFonts w:hint="eastAsia" w:ascii="仿宋" w:hAnsi="仿宋" w:eastAsia="仿宋"/>
          <w:szCs w:val="32"/>
        </w:rPr>
        <w:t>2、留守儿童工作没有专业的技术团队，在留守儿童精神文化和心理等方面的帮扶缺少专业的方法；各镇街及村组目前由儿童督导员和儿童主任负责该工作，都是由民政工作站干部和村干部兼职，没有专项资金支持，流动性很大，专业性不足，工作经验缺乏，对于一些需要心理辅导或性格纠正的孩子很难做到准确帮扶。</w:t>
      </w:r>
    </w:p>
    <w:p>
      <w:pPr>
        <w:spacing w:line="578" w:lineRule="exact"/>
        <w:ind w:firstLine="640" w:firstLineChars="200"/>
        <w:rPr>
          <w:rFonts w:hint="eastAsia" w:ascii="仿宋" w:hAnsi="仿宋" w:eastAsia="仿宋"/>
          <w:szCs w:val="32"/>
        </w:rPr>
      </w:pPr>
      <w:r>
        <w:rPr>
          <w:rFonts w:ascii="仿宋" w:hAnsi="仿宋" w:eastAsia="仿宋" w:cs="仿宋_GB2312"/>
          <w:color w:val="000000"/>
          <w:kern w:val="0"/>
          <w:szCs w:val="32"/>
        </w:rPr>
        <w:t>下一步改进措施：</w:t>
      </w:r>
      <w:r>
        <w:rPr>
          <w:rFonts w:hint="eastAsia" w:ascii="仿宋" w:hAnsi="仿宋" w:eastAsia="仿宋" w:cs="仿宋_GB2312"/>
          <w:color w:val="000000"/>
          <w:kern w:val="0"/>
          <w:szCs w:val="32"/>
        </w:rPr>
        <w:t>1、</w:t>
      </w:r>
      <w:r>
        <w:rPr>
          <w:rFonts w:hint="eastAsia" w:ascii="仿宋" w:hAnsi="仿宋" w:eastAsia="仿宋"/>
          <w:szCs w:val="32"/>
        </w:rPr>
        <w:t>在今后的工作中，我们要争取购买第三方服务，引进专业的关爱团队，广泛开展留守儿童和困境儿童关爱活动，开展更加有针对性的帮扶活动，从精神、生活、学习多个层面给予帮助，解决他们生活、学习中遇到的各种问题，以及性格方面存在的不足，让他们都能生活在一个健康、欢乐的环境中。</w:t>
      </w:r>
    </w:p>
    <w:p>
      <w:pPr>
        <w:ind w:firstLine="640" w:firstLineChars="200"/>
        <w:rPr>
          <w:rFonts w:hint="eastAsia" w:ascii="仿宋" w:hAnsi="仿宋" w:eastAsia="仿宋"/>
          <w:szCs w:val="32"/>
        </w:rPr>
      </w:pPr>
      <w:r>
        <w:rPr>
          <w:rFonts w:hint="eastAsia" w:ascii="仿宋" w:hAnsi="仿宋" w:eastAsia="仿宋" w:cs="仿宋_GB2312"/>
          <w:color w:val="000000"/>
          <w:kern w:val="0"/>
          <w:szCs w:val="32"/>
        </w:rPr>
        <w:t>2、</w:t>
      </w:r>
      <w:r>
        <w:rPr>
          <w:rFonts w:hint="eastAsia" w:ascii="仿宋" w:hAnsi="仿宋" w:eastAsia="仿宋"/>
          <w:szCs w:val="32"/>
        </w:rPr>
        <w:t>我们要进一步加大儿童服务队伍建设力度，建立行之有效的儿童主任培训制度，每年邀请专家定期对儿童主任专业技能进行培训，不断提升一线工作人员职业技能，确保留守儿童和困境儿童关爱保护工作的有效开展。</w:t>
      </w: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p>
      <w:pPr>
        <w:ind w:firstLine="640" w:firstLineChars="200"/>
        <w:rPr>
          <w:rFonts w:hint="eastAsia" w:ascii="仿宋" w:hAnsi="仿宋" w:eastAsia="仿宋"/>
          <w:szCs w:val="32"/>
        </w:rPr>
      </w:pPr>
    </w:p>
    <w:tbl>
      <w:tblPr>
        <w:tblStyle w:val="7"/>
        <w:tblW w:w="9852" w:type="dxa"/>
        <w:tblInd w:w="-4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1"/>
        <w:gridCol w:w="852"/>
        <w:gridCol w:w="119"/>
        <w:gridCol w:w="560"/>
        <w:gridCol w:w="313"/>
        <w:gridCol w:w="727"/>
        <w:gridCol w:w="265"/>
        <w:gridCol w:w="142"/>
        <w:gridCol w:w="1573"/>
        <w:gridCol w:w="128"/>
        <w:gridCol w:w="1052"/>
        <w:gridCol w:w="1320"/>
        <w:gridCol w:w="1140"/>
        <w:gridCol w:w="315"/>
        <w:gridCol w:w="1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52" w:type="dxa"/>
            <w:gridSpan w:val="15"/>
            <w:tcBorders>
              <w:top w:val="nil"/>
              <w:left w:val="nil"/>
              <w:bottom w:val="nil"/>
              <w:right w:val="nil"/>
            </w:tcBorders>
            <w:vAlign w:val="center"/>
          </w:tcPr>
          <w:p>
            <w:pPr>
              <w:widowControl/>
              <w:jc w:val="center"/>
              <w:rPr>
                <w:rFonts w:ascii="宋体" w:hAnsi="宋体" w:eastAsia="宋体" w:cs="宋体"/>
                <w:b/>
                <w:bCs/>
                <w:color w:val="000000"/>
                <w:kern w:val="0"/>
                <w:szCs w:val="32"/>
              </w:rPr>
            </w:pPr>
            <w:r>
              <w:rPr>
                <w:rFonts w:hint="eastAsia" w:ascii="宋体" w:hAnsi="宋体" w:eastAsia="宋体" w:cs="宋体"/>
                <w:b/>
                <w:bCs/>
                <w:color w:val="000000"/>
                <w:kern w:val="0"/>
                <w:szCs w:val="32"/>
              </w:rPr>
              <w:t>区级预算（项目）绩效目标自评表</w:t>
            </w:r>
            <w:r>
              <w:rPr>
                <w:rFonts w:hint="eastAsia" w:ascii="宋体" w:hAnsi="宋体" w:eastAsia="宋体" w:cs="宋体"/>
                <w:color w:val="000000"/>
                <w:kern w:val="0"/>
                <w:szCs w:val="32"/>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852" w:type="dxa"/>
            <w:gridSpan w:val="15"/>
            <w:tcBorders>
              <w:top w:val="nil"/>
              <w:left w:val="nil"/>
              <w:bottom w:val="single" w:color="auto" w:sz="4" w:space="0"/>
              <w:right w:val="nil"/>
            </w:tcBorders>
            <w:vAlign w:val="top"/>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（2019年度）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专项（项目）名称</w:t>
            </w:r>
          </w:p>
        </w:tc>
        <w:tc>
          <w:tcPr>
            <w:tcW w:w="7140"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一般行政管理事务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区级主管部门</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阎良区民政局</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实施单位</w:t>
            </w:r>
          </w:p>
        </w:tc>
        <w:tc>
          <w:tcPr>
            <w:tcW w:w="266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阎良区救助管理站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712" w:type="dxa"/>
            <w:gridSpan w:val="6"/>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项目资金（万元）</w:t>
            </w:r>
          </w:p>
        </w:tc>
        <w:tc>
          <w:tcPr>
            <w:tcW w:w="2108" w:type="dxa"/>
            <w:gridSpan w:val="4"/>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052"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全年预算数（A）</w:t>
            </w:r>
          </w:p>
        </w:tc>
        <w:tc>
          <w:tcPr>
            <w:tcW w:w="246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全年执行数（B）</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2108" w:type="dxa"/>
            <w:gridSpan w:val="4"/>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年度资金总额：</w:t>
            </w:r>
          </w:p>
        </w:tc>
        <w:tc>
          <w:tcPr>
            <w:tcW w:w="1052"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w:t>
            </w:r>
          </w:p>
        </w:tc>
        <w:tc>
          <w:tcPr>
            <w:tcW w:w="246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2108" w:type="dxa"/>
            <w:gridSpan w:val="4"/>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其中：市级财政资金</w:t>
            </w:r>
          </w:p>
        </w:tc>
        <w:tc>
          <w:tcPr>
            <w:tcW w:w="1052"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46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2108" w:type="dxa"/>
            <w:gridSpan w:val="4"/>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区县财政资金</w:t>
            </w:r>
          </w:p>
        </w:tc>
        <w:tc>
          <w:tcPr>
            <w:tcW w:w="1052"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w:t>
            </w:r>
          </w:p>
        </w:tc>
        <w:tc>
          <w:tcPr>
            <w:tcW w:w="246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2712"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2108" w:type="dxa"/>
            <w:gridSpan w:val="4"/>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w:t>
            </w:r>
            <w:r>
              <w:rPr>
                <w:rFonts w:hint="eastAsia" w:ascii="宋体" w:hAnsi="宋体" w:eastAsia="宋体" w:cs="宋体"/>
                <w:color w:val="000000"/>
                <w:kern w:val="0"/>
                <w:sz w:val="20"/>
              </w:rPr>
              <w:t xml:space="preserve">  其他资金</w:t>
            </w:r>
          </w:p>
        </w:tc>
        <w:tc>
          <w:tcPr>
            <w:tcW w:w="1052"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46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993"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年度总体目标</w:t>
            </w:r>
          </w:p>
        </w:tc>
        <w:tc>
          <w:tcPr>
            <w:tcW w:w="4879"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年初设定目标</w:t>
            </w:r>
          </w:p>
        </w:tc>
        <w:tc>
          <w:tcPr>
            <w:tcW w:w="3980"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trPr>
        <w:tc>
          <w:tcPr>
            <w:tcW w:w="993"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4879" w:type="dxa"/>
            <w:gridSpan w:val="9"/>
            <w:tcBorders>
              <w:top w:val="single" w:color="auto" w:sz="4" w:space="0"/>
              <w:left w:val="nil"/>
              <w:bottom w:val="single" w:color="auto" w:sz="4" w:space="0"/>
              <w:right w:val="single" w:color="auto" w:sz="4" w:space="0"/>
            </w:tcBorders>
            <w:vAlign w:val="center"/>
          </w:tcPr>
          <w:p>
            <w:pPr>
              <w:widowControl/>
              <w:ind w:firstLine="400" w:firstLineChars="200"/>
              <w:jc w:val="left"/>
              <w:rPr>
                <w:rFonts w:ascii="宋体" w:hAnsi="宋体" w:eastAsia="宋体" w:cs="宋体"/>
                <w:color w:val="000000"/>
                <w:kern w:val="0"/>
                <w:sz w:val="20"/>
              </w:rPr>
            </w:pPr>
            <w:r>
              <w:rPr>
                <w:rFonts w:hint="eastAsia" w:ascii="宋体" w:hAnsi="宋体" w:eastAsia="宋体" w:cs="宋体"/>
                <w:color w:val="000000"/>
                <w:kern w:val="0"/>
                <w:sz w:val="20"/>
              </w:rPr>
              <w:t>为了加强日常办公的办事效率，进一步满足办公需要，2019年度需购买台式计算机0.4万元，打印机0.15万元。</w:t>
            </w:r>
          </w:p>
        </w:tc>
        <w:tc>
          <w:tcPr>
            <w:tcW w:w="3980" w:type="dxa"/>
            <w:gridSpan w:val="4"/>
            <w:tcBorders>
              <w:top w:val="single" w:color="auto" w:sz="4" w:space="0"/>
              <w:left w:val="nil"/>
              <w:bottom w:val="single" w:color="auto" w:sz="4" w:space="0"/>
              <w:right w:val="single" w:color="auto" w:sz="4" w:space="0"/>
            </w:tcBorders>
            <w:vAlign w:val="center"/>
          </w:tcPr>
          <w:p>
            <w:pPr>
              <w:widowControl/>
              <w:ind w:firstLine="400" w:firstLineChars="200"/>
              <w:jc w:val="left"/>
              <w:rPr>
                <w:rFonts w:ascii="宋体" w:hAnsi="宋体" w:eastAsia="宋体" w:cs="宋体"/>
                <w:color w:val="000000"/>
                <w:kern w:val="0"/>
                <w:sz w:val="20"/>
              </w:rPr>
            </w:pPr>
            <w:r>
              <w:rPr>
                <w:rFonts w:hint="eastAsia" w:ascii="宋体" w:hAnsi="宋体" w:eastAsia="宋体" w:cs="宋体"/>
                <w:color w:val="000000"/>
                <w:kern w:val="0"/>
                <w:sz w:val="20"/>
              </w:rPr>
              <w:t>2019年全年用政府采购资金购买台式计算机1台，打印机1台，支付工程结算费用0.55万元。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993" w:type="dxa"/>
            <w:gridSpan w:val="2"/>
            <w:vMerge w:val="restart"/>
            <w:tcBorders>
              <w:top w:val="nil"/>
              <w:left w:val="single" w:color="auto" w:sz="4" w:space="0"/>
              <w:bottom w:val="single" w:color="auto" w:sz="4" w:space="0"/>
              <w:right w:val="single" w:color="auto" w:sz="4" w:space="0"/>
            </w:tcBorders>
            <w:textDirection w:val="tbRlV"/>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绩效指标</w:t>
            </w:r>
          </w:p>
        </w:tc>
        <w:tc>
          <w:tcPr>
            <w:tcW w:w="679"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一级</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指标</w:t>
            </w:r>
          </w:p>
        </w:tc>
        <w:tc>
          <w:tcPr>
            <w:tcW w:w="104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二级指标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三级指标</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年度指标值</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全年完成值</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产</w:t>
            </w:r>
            <w:r>
              <w:rPr>
                <w:rFonts w:hint="eastAsia" w:ascii="宋体" w:hAnsi="宋体" w:eastAsia="宋体" w:cs="宋体"/>
                <w:kern w:val="0"/>
                <w:sz w:val="20"/>
              </w:rPr>
              <w:br w:type="textWrapping"/>
            </w:r>
            <w:r>
              <w:rPr>
                <w:rFonts w:hint="eastAsia" w:ascii="宋体" w:hAnsi="宋体" w:eastAsia="宋体" w:cs="宋体"/>
                <w:kern w:val="0"/>
                <w:sz w:val="20"/>
              </w:rPr>
              <w:t>出</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数量指标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指标1：打印机台数</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1台</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指标2：台式计算机台数</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2台</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质量指标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指标：满足计算机日常办公</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时效指标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指标：正常保用时间</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2019年度</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2019年度</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成本指标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指标1：打印机1台，台式电脑1台。</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0.55万元</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0.55万元</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指标2：结算费</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0.55 万元</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xml:space="preserve">0.55万元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效</w:t>
            </w:r>
            <w:r>
              <w:rPr>
                <w:rFonts w:hint="eastAsia" w:ascii="宋体" w:hAnsi="宋体" w:eastAsia="宋体" w:cs="宋体"/>
                <w:kern w:val="0"/>
                <w:sz w:val="20"/>
              </w:rPr>
              <w:br w:type="textWrapping"/>
            </w:r>
            <w:r>
              <w:rPr>
                <w:rFonts w:hint="eastAsia" w:ascii="宋体" w:hAnsi="宋体" w:eastAsia="宋体" w:cs="宋体"/>
                <w:kern w:val="0"/>
                <w:sz w:val="20"/>
              </w:rPr>
              <w:t>益</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经济效益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社会效益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3160" w:type="dxa"/>
            <w:gridSpan w:val="5"/>
            <w:vMerge w:val="restart"/>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指标：运用自动化设备提高日常的办公效率，确保正常工作的顺利开展。</w:t>
            </w:r>
          </w:p>
        </w:tc>
        <w:tc>
          <w:tcPr>
            <w:tcW w:w="13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14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1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生态效益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可持续影响指标</w:t>
            </w: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指标：执行年度</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1年</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1年</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满意度指标</w:t>
            </w:r>
          </w:p>
        </w:tc>
        <w:tc>
          <w:tcPr>
            <w:tcW w:w="104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服务对象</w:t>
            </w:r>
            <w:r>
              <w:rPr>
                <w:rFonts w:hint="eastAsia" w:ascii="宋体" w:hAnsi="宋体" w:eastAsia="宋体" w:cs="宋体"/>
                <w:kern w:val="0"/>
                <w:sz w:val="20"/>
              </w:rPr>
              <w:br w:type="textWrapping"/>
            </w:r>
            <w:r>
              <w:rPr>
                <w:rFonts w:hint="eastAsia" w:ascii="宋体" w:hAnsi="宋体" w:eastAsia="宋体" w:cs="宋体"/>
                <w:kern w:val="0"/>
                <w:sz w:val="20"/>
              </w:rPr>
              <w:t>满意度指标</w:t>
            </w:r>
          </w:p>
        </w:tc>
        <w:tc>
          <w:tcPr>
            <w:tcW w:w="3160" w:type="dxa"/>
            <w:gridSpan w:val="5"/>
            <w:vMerge w:val="restart"/>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指标：工作人员满意度</w:t>
            </w:r>
          </w:p>
        </w:tc>
        <w:tc>
          <w:tcPr>
            <w:tcW w:w="13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14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9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67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04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3160"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1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52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993"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说明</w:t>
            </w:r>
          </w:p>
        </w:tc>
        <w:tc>
          <w:tcPr>
            <w:tcW w:w="8859" w:type="dxa"/>
            <w:gridSpan w:val="13"/>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852" w:type="dxa"/>
            <w:gridSpan w:val="15"/>
            <w:tcBorders>
              <w:top w:val="nil"/>
              <w:left w:val="nil"/>
              <w:bottom w:val="nil"/>
              <w:right w:val="nil"/>
            </w:tcBorders>
            <w:vAlign w:val="bottom"/>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注：1.其他资金包括和财政资金共同投入到同一项目的自有资金、社会资金，以及以前年度的结转结余资金等。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852" w:type="dxa"/>
            <w:gridSpan w:val="15"/>
            <w:tcBorders>
              <w:top w:val="nil"/>
              <w:left w:val="nil"/>
              <w:bottom w:val="nil"/>
              <w:right w:val="nil"/>
            </w:tcBorders>
            <w:vAlign w:val="bottom"/>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2.定量指标，资金使用单位填写本地区实际完成数。财政和主管部门汇总时，对绝对值直接累加计算，相对值按照资金额度加权平均计算。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852" w:type="dxa"/>
            <w:gridSpan w:val="15"/>
            <w:tcBorders>
              <w:top w:val="nil"/>
              <w:left w:val="nil"/>
              <w:bottom w:val="nil"/>
              <w:right w:val="nil"/>
            </w:tcBorders>
            <w:vAlign w:val="bottom"/>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852" w:type="dxa"/>
            <w:gridSpan w:val="15"/>
            <w:tcBorders>
              <w:top w:val="nil"/>
              <w:left w:val="nil"/>
              <w:bottom w:val="nil"/>
              <w:right w:val="nil"/>
            </w:tcBorders>
            <w:vAlign w:val="center"/>
          </w:tcPr>
          <w:p>
            <w:pPr>
              <w:widowControl/>
              <w:jc w:val="center"/>
              <w:rPr>
                <w:rFonts w:ascii="宋体" w:hAnsi="宋体" w:eastAsia="宋体" w:cs="宋体"/>
                <w:b/>
                <w:bCs/>
                <w:color w:val="000000"/>
                <w:kern w:val="0"/>
                <w:szCs w:val="32"/>
              </w:rPr>
            </w:pPr>
            <w:r>
              <w:rPr>
                <w:rFonts w:hint="eastAsia" w:ascii="宋体" w:hAnsi="宋体" w:eastAsia="宋体" w:cs="宋体"/>
                <w:b/>
                <w:bCs/>
                <w:color w:val="000000"/>
                <w:kern w:val="0"/>
                <w:szCs w:val="32"/>
              </w:rPr>
              <w:t>区级预算（项目）绩效目标自评表</w:t>
            </w:r>
            <w:r>
              <w:rPr>
                <w:rFonts w:hint="eastAsia" w:ascii="宋体" w:hAnsi="宋体" w:eastAsia="宋体" w:cs="宋体"/>
                <w:color w:val="000000"/>
                <w:kern w:val="0"/>
                <w:szCs w:val="32"/>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852" w:type="dxa"/>
            <w:gridSpan w:val="15"/>
            <w:tcBorders>
              <w:top w:val="nil"/>
              <w:left w:val="nil"/>
              <w:bottom w:val="nil"/>
              <w:right w:val="nil"/>
            </w:tcBorders>
            <w:vAlign w:val="top"/>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（2019年度）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专项（项目）名称</w:t>
            </w:r>
          </w:p>
        </w:tc>
        <w:tc>
          <w:tcPr>
            <w:tcW w:w="6875"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公务车购置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区级主管部门</w:t>
            </w:r>
          </w:p>
        </w:tc>
        <w:tc>
          <w:tcPr>
            <w:tcW w:w="2895" w:type="dxa"/>
            <w:gridSpan w:val="4"/>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阎良区民政局</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实施单位</w:t>
            </w:r>
          </w:p>
        </w:tc>
        <w:tc>
          <w:tcPr>
            <w:tcW w:w="266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阎良区救助管理站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660" w:hRule="atLeast"/>
        </w:trPr>
        <w:tc>
          <w:tcPr>
            <w:tcW w:w="2836" w:type="dxa"/>
            <w:gridSpan w:val="6"/>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项目资金（万元）</w:t>
            </w:r>
          </w:p>
        </w:tc>
        <w:tc>
          <w:tcPr>
            <w:tcW w:w="1715"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18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全年预算数（A）</w:t>
            </w:r>
          </w:p>
        </w:tc>
        <w:tc>
          <w:tcPr>
            <w:tcW w:w="277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全年执行数（B）</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1715"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年度资金总额：</w:t>
            </w:r>
          </w:p>
        </w:tc>
        <w:tc>
          <w:tcPr>
            <w:tcW w:w="118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w:t>
            </w:r>
          </w:p>
        </w:tc>
        <w:tc>
          <w:tcPr>
            <w:tcW w:w="277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1715"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其中：市级财政资金</w:t>
            </w:r>
          </w:p>
        </w:tc>
        <w:tc>
          <w:tcPr>
            <w:tcW w:w="118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77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1715"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xml:space="preserve">  区县财政资金</w:t>
            </w:r>
          </w:p>
        </w:tc>
        <w:tc>
          <w:tcPr>
            <w:tcW w:w="118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w:t>
            </w:r>
          </w:p>
        </w:tc>
        <w:tc>
          <w:tcPr>
            <w:tcW w:w="277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2836"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1715"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w:t>
            </w:r>
            <w:r>
              <w:rPr>
                <w:rFonts w:hint="eastAsia" w:ascii="宋体" w:hAnsi="宋体" w:eastAsia="宋体" w:cs="宋体"/>
                <w:color w:val="000000"/>
                <w:kern w:val="0"/>
                <w:sz w:val="20"/>
              </w:rPr>
              <w:t>其他资金</w:t>
            </w:r>
          </w:p>
        </w:tc>
        <w:tc>
          <w:tcPr>
            <w:tcW w:w="1180"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2775"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97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年度总体目标</w:t>
            </w:r>
          </w:p>
        </w:tc>
        <w:tc>
          <w:tcPr>
            <w:tcW w:w="4760"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年初设定目标</w:t>
            </w:r>
          </w:p>
        </w:tc>
        <w:tc>
          <w:tcPr>
            <w:tcW w:w="3980"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540" w:hRule="atLeast"/>
        </w:trPr>
        <w:tc>
          <w:tcPr>
            <w:tcW w:w="97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4760" w:type="dxa"/>
            <w:gridSpan w:val="8"/>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为了提升日常的救助工作，2019年度需采购更新救助车15万元。</w:t>
            </w:r>
          </w:p>
        </w:tc>
        <w:tc>
          <w:tcPr>
            <w:tcW w:w="3980" w:type="dxa"/>
            <w:gridSpan w:val="4"/>
            <w:tcBorders>
              <w:top w:val="single" w:color="auto" w:sz="4" w:space="0"/>
              <w:left w:val="nil"/>
              <w:bottom w:val="single" w:color="auto" w:sz="4" w:space="0"/>
              <w:right w:val="single" w:color="auto" w:sz="4" w:space="0"/>
            </w:tcBorders>
            <w:vAlign w:val="center"/>
          </w:tcPr>
          <w:p>
            <w:pPr>
              <w:widowControl/>
              <w:ind w:firstLine="400" w:firstLineChars="200"/>
              <w:jc w:val="left"/>
              <w:rPr>
                <w:rFonts w:ascii="宋体" w:hAnsi="宋体" w:eastAsia="宋体" w:cs="宋体"/>
                <w:color w:val="000000"/>
                <w:kern w:val="0"/>
                <w:sz w:val="20"/>
              </w:rPr>
            </w:pPr>
            <w:r>
              <w:rPr>
                <w:rFonts w:hint="eastAsia" w:ascii="宋体" w:hAnsi="宋体" w:eastAsia="宋体" w:cs="宋体"/>
                <w:color w:val="000000"/>
                <w:kern w:val="0"/>
                <w:sz w:val="20"/>
              </w:rPr>
              <w:t>2019年10月用政府采购资金购买小弄江铃汽车1辆，支付工程结算费用15万元。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522" w:hRule="atLeast"/>
        </w:trPr>
        <w:tc>
          <w:tcPr>
            <w:tcW w:w="971" w:type="dxa"/>
            <w:gridSpan w:val="2"/>
            <w:vMerge w:val="restart"/>
            <w:tcBorders>
              <w:top w:val="nil"/>
              <w:left w:val="single" w:color="auto" w:sz="4" w:space="0"/>
              <w:bottom w:val="single" w:color="auto" w:sz="4" w:space="0"/>
              <w:right w:val="single" w:color="auto" w:sz="4" w:space="0"/>
            </w:tcBorders>
            <w:textDirection w:val="tbRlV"/>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绩效指标</w:t>
            </w:r>
          </w:p>
        </w:tc>
        <w:tc>
          <w:tcPr>
            <w:tcW w:w="873"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一级</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指标</w:t>
            </w:r>
          </w:p>
        </w:tc>
        <w:tc>
          <w:tcPr>
            <w:tcW w:w="1134" w:type="dxa"/>
            <w:gridSpan w:val="3"/>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二级指标</w:t>
            </w:r>
          </w:p>
        </w:tc>
        <w:tc>
          <w:tcPr>
            <w:tcW w:w="2753"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三级指标</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年度指标值</w:t>
            </w:r>
          </w:p>
        </w:tc>
        <w:tc>
          <w:tcPr>
            <w:tcW w:w="1455" w:type="dxa"/>
            <w:gridSpan w:val="2"/>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全年完成值</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产</w:t>
            </w:r>
            <w:r>
              <w:rPr>
                <w:rFonts w:hint="eastAsia" w:ascii="宋体" w:hAnsi="宋体" w:eastAsia="宋体" w:cs="宋体"/>
                <w:kern w:val="0"/>
                <w:sz w:val="20"/>
              </w:rPr>
              <w:br w:type="textWrapping"/>
            </w:r>
            <w:r>
              <w:rPr>
                <w:rFonts w:hint="eastAsia" w:ascii="宋体" w:hAnsi="宋体" w:eastAsia="宋体" w:cs="宋体"/>
                <w:kern w:val="0"/>
                <w:sz w:val="20"/>
              </w:rPr>
              <w:t>出</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p>
        </w:tc>
        <w:tc>
          <w:tcPr>
            <w:tcW w:w="1134"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数量指标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指标：小型车辆</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1辆</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100%</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指标：工程结算费用</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质量指标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指标：安全行驶</w:t>
            </w:r>
          </w:p>
        </w:tc>
        <w:tc>
          <w:tcPr>
            <w:tcW w:w="1320" w:type="dxa"/>
            <w:tcBorders>
              <w:top w:val="nil"/>
              <w:left w:val="nil"/>
              <w:bottom w:val="nil"/>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455" w:type="dxa"/>
            <w:gridSpan w:val="2"/>
            <w:tcBorders>
              <w:top w:val="nil"/>
              <w:left w:val="nil"/>
              <w:bottom w:val="nil"/>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时效指标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指标：车辆正常使用时效</w:t>
            </w:r>
          </w:p>
        </w:tc>
        <w:tc>
          <w:tcPr>
            <w:tcW w:w="132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2019年度</w:t>
            </w:r>
          </w:p>
        </w:tc>
        <w:tc>
          <w:tcPr>
            <w:tcW w:w="1455" w:type="dxa"/>
            <w:gridSpan w:val="2"/>
            <w:tcBorders>
              <w:top w:val="single" w:color="auto" w:sz="4" w:space="0"/>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2019年度</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成本指标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指标1：小型车辆1台</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指标2：工程结算费</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15万元</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效</w:t>
            </w:r>
            <w:r>
              <w:rPr>
                <w:rFonts w:hint="eastAsia" w:ascii="宋体" w:hAnsi="宋体" w:eastAsia="宋体" w:cs="宋体"/>
                <w:kern w:val="0"/>
                <w:sz w:val="20"/>
              </w:rPr>
              <w:br w:type="textWrapping"/>
            </w:r>
            <w:r>
              <w:rPr>
                <w:rFonts w:hint="eastAsia" w:ascii="宋体" w:hAnsi="宋体" w:eastAsia="宋体" w:cs="宋体"/>
                <w:kern w:val="0"/>
                <w:sz w:val="20"/>
              </w:rPr>
              <w:t>益</w:t>
            </w:r>
            <w:r>
              <w:rPr>
                <w:rFonts w:hint="eastAsia" w:ascii="宋体" w:hAnsi="宋体" w:eastAsia="宋体" w:cs="宋体"/>
                <w:kern w:val="0"/>
                <w:sz w:val="20"/>
              </w:rPr>
              <w:br w:type="textWrapping"/>
            </w:r>
            <w:r>
              <w:rPr>
                <w:rFonts w:hint="eastAsia" w:ascii="宋体" w:hAnsi="宋体" w:eastAsia="宋体" w:cs="宋体"/>
                <w:kern w:val="0"/>
                <w:sz w:val="20"/>
              </w:rPr>
              <w:t>指</w:t>
            </w:r>
            <w:r>
              <w:rPr>
                <w:rFonts w:hint="eastAsia" w:ascii="宋体" w:hAnsi="宋体" w:eastAsia="宋体" w:cs="宋体"/>
                <w:kern w:val="0"/>
                <w:sz w:val="20"/>
              </w:rPr>
              <w:br w:type="textWrapping"/>
            </w:r>
            <w:r>
              <w:rPr>
                <w:rFonts w:hint="eastAsia" w:ascii="宋体" w:hAnsi="宋体" w:eastAsia="宋体" w:cs="宋体"/>
                <w:kern w:val="0"/>
                <w:sz w:val="20"/>
              </w:rPr>
              <w:t>标</w:t>
            </w: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经济效益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社会效益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2753"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指标：全面满足日常的流浪乞讨人员的救助工作，使工作效率得到提升。</w:t>
            </w:r>
          </w:p>
        </w:tc>
        <w:tc>
          <w:tcPr>
            <w:tcW w:w="13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455" w:type="dxa"/>
            <w:gridSpan w:val="2"/>
            <w:vMerge w:val="restart"/>
            <w:tcBorders>
              <w:top w:val="nil"/>
              <w:left w:val="single" w:color="auto" w:sz="4" w:space="0"/>
              <w:bottom w:val="single" w:color="000000"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45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生态效益</w:t>
            </w:r>
            <w:r>
              <w:rPr>
                <w:rFonts w:hint="eastAsia" w:ascii="宋体" w:hAnsi="宋体" w:eastAsia="宋体" w:cs="宋体"/>
                <w:kern w:val="0"/>
                <w:sz w:val="20"/>
              </w:rPr>
              <w:br w:type="textWrapping"/>
            </w:r>
            <w:r>
              <w:rPr>
                <w:rFonts w:hint="eastAsia" w:ascii="宋体" w:hAnsi="宋体" w:eastAsia="宋体" w:cs="宋体"/>
                <w:kern w:val="0"/>
                <w:sz w:val="20"/>
              </w:rPr>
              <w:t>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可持续影响指标</w:t>
            </w: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指标：执行年度</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长期</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长期</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320"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c>
          <w:tcPr>
            <w:tcW w:w="1455" w:type="dxa"/>
            <w:gridSpan w:val="2"/>
            <w:tcBorders>
              <w:top w:val="nil"/>
              <w:left w:val="nil"/>
              <w:bottom w:val="single" w:color="auto"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　</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满意度指标</w:t>
            </w:r>
          </w:p>
        </w:tc>
        <w:tc>
          <w:tcPr>
            <w:tcW w:w="1134"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0"/>
              </w:rPr>
            </w:pPr>
            <w:r>
              <w:rPr>
                <w:rFonts w:hint="eastAsia" w:ascii="宋体" w:hAnsi="宋体" w:eastAsia="宋体" w:cs="宋体"/>
                <w:kern w:val="0"/>
                <w:sz w:val="20"/>
              </w:rPr>
              <w:t>服务对象</w:t>
            </w:r>
            <w:r>
              <w:rPr>
                <w:rFonts w:hint="eastAsia" w:ascii="宋体" w:hAnsi="宋体" w:eastAsia="宋体" w:cs="宋体"/>
                <w:kern w:val="0"/>
                <w:sz w:val="20"/>
              </w:rPr>
              <w:br w:type="textWrapping"/>
            </w:r>
            <w:r>
              <w:rPr>
                <w:rFonts w:hint="eastAsia" w:ascii="宋体" w:hAnsi="宋体" w:eastAsia="宋体" w:cs="宋体"/>
                <w:kern w:val="0"/>
                <w:sz w:val="20"/>
              </w:rPr>
              <w:t>满意度指标</w:t>
            </w:r>
          </w:p>
        </w:tc>
        <w:tc>
          <w:tcPr>
            <w:tcW w:w="2753"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r>
              <w:rPr>
                <w:rFonts w:hint="eastAsia" w:ascii="宋体" w:hAnsi="宋体" w:eastAsia="宋体" w:cs="宋体"/>
                <w:color w:val="000000"/>
                <w:kern w:val="0"/>
                <w:sz w:val="20"/>
              </w:rPr>
              <w:t>指标：流浪乞讨人员满意度</w:t>
            </w:r>
          </w:p>
        </w:tc>
        <w:tc>
          <w:tcPr>
            <w:tcW w:w="13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455" w:type="dxa"/>
            <w:gridSpan w:val="2"/>
            <w:vMerge w:val="restart"/>
            <w:tcBorders>
              <w:top w:val="nil"/>
              <w:left w:val="single" w:color="auto" w:sz="4" w:space="0"/>
              <w:bottom w:val="single" w:color="000000" w:sz="4" w:space="0"/>
              <w:right w:val="single" w:color="auto" w:sz="4" w:space="0"/>
            </w:tcBorders>
            <w:vAlign w:val="center"/>
          </w:tcPr>
          <w:p>
            <w:pPr>
              <w:widowControl/>
              <w:jc w:val="right"/>
              <w:rPr>
                <w:rFonts w:ascii="宋体" w:hAnsi="宋体" w:eastAsia="宋体" w:cs="宋体"/>
                <w:color w:val="000000"/>
                <w:kern w:val="0"/>
                <w:sz w:val="20"/>
              </w:rPr>
            </w:pPr>
            <w:r>
              <w:rPr>
                <w:rFonts w:hint="eastAsia" w:ascii="宋体" w:hAnsi="宋体" w:eastAsia="宋体" w:cs="宋体"/>
                <w:color w:val="000000"/>
                <w:kern w:val="0"/>
                <w:sz w:val="20"/>
              </w:rPr>
              <w:t>≥95%</w:t>
            </w: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259" w:hRule="atLeast"/>
        </w:trPr>
        <w:tc>
          <w:tcPr>
            <w:tcW w:w="97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0"/>
              </w:rPr>
            </w:pPr>
          </w:p>
        </w:tc>
        <w:tc>
          <w:tcPr>
            <w:tcW w:w="8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113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rPr>
            </w:pPr>
          </w:p>
        </w:tc>
        <w:tc>
          <w:tcPr>
            <w:tcW w:w="2753"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0"/>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45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0"/>
              </w:rPr>
            </w:pPr>
          </w:p>
        </w:tc>
        <w:tc>
          <w:tcPr>
            <w:tcW w:w="120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319" w:hRule="atLeast"/>
        </w:trPr>
        <w:tc>
          <w:tcPr>
            <w:tcW w:w="9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说明</w:t>
            </w:r>
          </w:p>
        </w:tc>
        <w:tc>
          <w:tcPr>
            <w:tcW w:w="8740" w:type="dxa"/>
            <w:gridSpan w:val="12"/>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570" w:hRule="atLeast"/>
        </w:trPr>
        <w:tc>
          <w:tcPr>
            <w:tcW w:w="9711" w:type="dxa"/>
            <w:gridSpan w:val="14"/>
            <w:tcBorders>
              <w:top w:val="nil"/>
              <w:left w:val="nil"/>
              <w:bottom w:val="nil"/>
              <w:right w:val="nil"/>
            </w:tcBorders>
            <w:vAlign w:val="bottom"/>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注：1.其他资金包括和财政资金共同投入到同一项目的自有资金、社会资金，以及以前年度的结转结余资金等。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540" w:hRule="atLeast"/>
        </w:trPr>
        <w:tc>
          <w:tcPr>
            <w:tcW w:w="9711" w:type="dxa"/>
            <w:gridSpan w:val="14"/>
            <w:tcBorders>
              <w:top w:val="nil"/>
              <w:left w:val="nil"/>
              <w:bottom w:val="nil"/>
              <w:right w:val="nil"/>
            </w:tcBorders>
            <w:vAlign w:val="bottom"/>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2.定量指标，资金使用单位填写本地区实际完成数。财政和主管部门汇总时，对绝对值直接累加计算，相对值按照资金额度加权平均计算。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41" w:type="dxa"/>
          <w:trHeight w:val="510" w:hRule="atLeast"/>
        </w:trPr>
        <w:tc>
          <w:tcPr>
            <w:tcW w:w="9711" w:type="dxa"/>
            <w:gridSpan w:val="14"/>
            <w:tcBorders>
              <w:top w:val="nil"/>
              <w:left w:val="nil"/>
              <w:bottom w:val="nil"/>
              <w:right w:val="nil"/>
            </w:tcBorders>
            <w:vAlign w:val="bottom"/>
          </w:tcPr>
          <w:p>
            <w:pPr>
              <w:widowControl/>
              <w:ind w:firstLine="360"/>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3.定性指标根据指标完成情况分为：全部或基本达成预期指标、部分达成预期指标并具有一定效果、未达成预期指标且效果较差三档，分别按照100%-80%（含）、80%-60%（含）、60-0%合理填写完成比例。</w:t>
            </w:r>
          </w:p>
        </w:tc>
      </w:tr>
    </w:tbl>
    <w:p>
      <w:pPr>
        <w:sectPr>
          <w:pgSz w:w="11906" w:h="16838"/>
          <w:pgMar w:top="1440" w:right="1800" w:bottom="1440" w:left="1800" w:header="851" w:footer="992" w:gutter="0"/>
          <w:cols w:space="720" w:num="1"/>
          <w:docGrid w:type="lines" w:linePitch="312" w:charSpace="0"/>
        </w:sectPr>
      </w:pPr>
    </w:p>
    <w:tbl>
      <w:tblPr>
        <w:tblStyle w:val="7"/>
        <w:tblpPr w:leftFromText="180" w:rightFromText="180" w:vertAnchor="text" w:horzAnchor="page" w:tblpX="1323" w:tblpYSpec="top"/>
        <w:tblOverlap w:val="never"/>
        <w:tblW w:w="151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543"/>
        <w:gridCol w:w="817"/>
        <w:gridCol w:w="731"/>
        <w:gridCol w:w="447"/>
        <w:gridCol w:w="2797"/>
        <w:gridCol w:w="2306"/>
        <w:gridCol w:w="993"/>
        <w:gridCol w:w="610"/>
        <w:gridCol w:w="1295"/>
        <w:gridCol w:w="935"/>
        <w:gridCol w:w="1593"/>
        <w:gridCol w:w="2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885" w:hRule="atLeast"/>
        </w:trPr>
        <w:tc>
          <w:tcPr>
            <w:tcW w:w="15144" w:type="dxa"/>
            <w:gridSpan w:val="12"/>
            <w:vAlign w:val="center"/>
          </w:tcPr>
          <w:p>
            <w:pPr>
              <w:autoSpaceDN w:val="0"/>
              <w:jc w:val="center"/>
              <w:textAlignment w:val="center"/>
              <w:rPr>
                <w:rFonts w:hint="default" w:ascii="黑体" w:hAnsi="黑体" w:eastAsia="黑体"/>
                <w:b w:val="0"/>
                <w:i w:val="0"/>
                <w:color w:val="000000"/>
                <w:sz w:val="28"/>
                <w:u w:val="none"/>
                <w:lang w:eastAsia="zh-CN"/>
              </w:rPr>
            </w:pPr>
            <w:r>
              <w:rPr>
                <w:rFonts w:hint="default" w:ascii="黑体" w:hAnsi="黑体" w:eastAsia="黑体"/>
                <w:b w:val="0"/>
                <w:i w:val="0"/>
                <w:color w:val="000000"/>
                <w:sz w:val="28"/>
                <w:u w:val="none"/>
                <w:lang w:eastAsia="zh-CN"/>
              </w:rPr>
              <w:t>部门整体支出绩效自评表</w:t>
            </w:r>
            <w:r>
              <w:rPr>
                <w:rFonts w:hint="default" w:ascii="黑体" w:hAnsi="黑体" w:eastAsia="黑体"/>
                <w:b w:val="0"/>
                <w:i w:val="0"/>
                <w:color w:val="000000"/>
                <w:sz w:val="28"/>
                <w:u w:val="none"/>
                <w:lang w:eastAsia="zh-CN"/>
              </w:rPr>
              <w:br w:type="textWrapping"/>
            </w:r>
            <w:r>
              <w:rPr>
                <w:rFonts w:hint="default" w:ascii="黑体" w:hAnsi="黑体" w:eastAsia="黑体"/>
                <w:b w:val="0"/>
                <w:i w:val="0"/>
                <w:color w:val="000000"/>
                <w:sz w:val="28"/>
                <w:u w:val="none"/>
                <w:lang w:eastAsia="zh-CN"/>
              </w:rPr>
              <w:t>（2019年度）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50" w:hRule="atLeast"/>
        </w:trPr>
        <w:tc>
          <w:tcPr>
            <w:tcW w:w="5335" w:type="dxa"/>
            <w:gridSpan w:val="5"/>
            <w:vAlign w:val="center"/>
          </w:tcPr>
          <w:p>
            <w:pPr>
              <w:autoSpaceDN w:val="0"/>
              <w:jc w:val="left"/>
              <w:textAlignment w:val="center"/>
              <w:rPr>
                <w:rFonts w:hint="default" w:ascii="仿宋_GB2312" w:hAnsi="仿宋_GB2312" w:eastAsia="仿宋_GB2312"/>
                <w:b w:val="0"/>
                <w:i w:val="0"/>
                <w:color w:val="000000"/>
                <w:sz w:val="20"/>
                <w:u w:val="none"/>
                <w:lang w:eastAsia="zh-CN"/>
              </w:rPr>
            </w:pPr>
            <w:r>
              <w:rPr>
                <w:rFonts w:hint="default" w:ascii="仿宋_GB2312" w:hAnsi="仿宋_GB2312" w:eastAsia="仿宋_GB2312"/>
                <w:b w:val="0"/>
                <w:i w:val="0"/>
                <w:color w:val="000000"/>
                <w:sz w:val="20"/>
                <w:u w:val="none"/>
                <w:lang w:eastAsia="zh-CN"/>
              </w:rPr>
              <w:t>填报单位:</w:t>
            </w:r>
          </w:p>
        </w:tc>
        <w:tc>
          <w:tcPr>
            <w:tcW w:w="2306" w:type="dxa"/>
            <w:vAlign w:val="center"/>
          </w:tcPr>
          <w:p>
            <w:pPr>
              <w:autoSpaceDN w:val="0"/>
              <w:jc w:val="center"/>
              <w:textAlignment w:val="center"/>
              <w:rPr>
                <w:rFonts w:hint="default" w:ascii="仿宋_GB2312" w:hAnsi="仿宋_GB2312" w:eastAsia="仿宋_GB2312"/>
                <w:b w:val="0"/>
                <w:i w:val="0"/>
                <w:color w:val="000000"/>
                <w:sz w:val="20"/>
                <w:u w:val="none"/>
                <w:lang w:eastAsia="zh-CN"/>
              </w:rPr>
            </w:pPr>
            <w:r>
              <w:rPr>
                <w:rFonts w:hint="default" w:ascii="仿宋_GB2312" w:hAnsi="仿宋_GB2312" w:eastAsia="仿宋_GB2312"/>
                <w:b w:val="0"/>
                <w:i w:val="0"/>
                <w:color w:val="000000"/>
                <w:sz w:val="20"/>
                <w:u w:val="none"/>
                <w:lang w:eastAsia="zh-CN"/>
              </w:rPr>
              <w:t>自评得分：9</w:t>
            </w:r>
            <w:r>
              <w:rPr>
                <w:rFonts w:hint="eastAsia" w:ascii="仿宋_GB2312" w:hAnsi="仿宋_GB2312" w:eastAsia="仿宋_GB2312"/>
                <w:b w:val="0"/>
                <w:i w:val="0"/>
                <w:color w:val="000000"/>
                <w:sz w:val="20"/>
                <w:u w:val="none"/>
                <w:lang w:val="en-US" w:eastAsia="zh-CN"/>
              </w:rPr>
              <w:t>5</w:t>
            </w:r>
          </w:p>
        </w:tc>
        <w:tc>
          <w:tcPr>
            <w:tcW w:w="993" w:type="dxa"/>
            <w:vAlign w:val="center"/>
          </w:tcPr>
          <w:p>
            <w:pPr>
              <w:autoSpaceDN w:val="0"/>
              <w:jc w:val="center"/>
              <w:textAlignment w:val="center"/>
              <w:rPr>
                <w:rFonts w:hint="default" w:ascii="仿宋_GB2312" w:hAnsi="仿宋_GB2312" w:eastAsia="仿宋_GB2312"/>
                <w:b w:val="0"/>
                <w:i w:val="0"/>
                <w:color w:val="000000"/>
                <w:sz w:val="20"/>
                <w:u w:val="none"/>
                <w:lang w:eastAsia="zh-CN"/>
              </w:rPr>
            </w:pPr>
          </w:p>
        </w:tc>
        <w:tc>
          <w:tcPr>
            <w:tcW w:w="610" w:type="dxa"/>
            <w:vAlign w:val="center"/>
          </w:tcPr>
          <w:p>
            <w:pPr>
              <w:autoSpaceDN w:val="0"/>
              <w:jc w:val="center"/>
              <w:textAlignment w:val="center"/>
              <w:rPr>
                <w:rFonts w:hint="default" w:ascii="仿宋_GB2312" w:hAnsi="仿宋_GB2312" w:eastAsia="仿宋_GB2312"/>
                <w:b w:val="0"/>
                <w:i w:val="0"/>
                <w:color w:val="000000"/>
                <w:sz w:val="20"/>
                <w:u w:val="none"/>
                <w:lang w:eastAsia="zh-CN"/>
              </w:rPr>
            </w:pPr>
          </w:p>
        </w:tc>
        <w:tc>
          <w:tcPr>
            <w:tcW w:w="1295" w:type="dxa"/>
            <w:vAlign w:val="center"/>
          </w:tcPr>
          <w:p>
            <w:pPr>
              <w:autoSpaceDN w:val="0"/>
              <w:jc w:val="center"/>
              <w:textAlignment w:val="center"/>
              <w:rPr>
                <w:rFonts w:hint="default" w:ascii="仿宋_GB2312" w:hAnsi="仿宋_GB2312" w:eastAsia="仿宋_GB2312"/>
                <w:b w:val="0"/>
                <w:i w:val="0"/>
                <w:color w:val="000000"/>
                <w:sz w:val="20"/>
                <w:u w:val="none"/>
                <w:lang w:eastAsia="zh-CN"/>
              </w:rPr>
            </w:pPr>
          </w:p>
        </w:tc>
        <w:tc>
          <w:tcPr>
            <w:tcW w:w="935" w:type="dxa"/>
            <w:vAlign w:val="center"/>
          </w:tcPr>
          <w:p>
            <w:pPr>
              <w:autoSpaceDN w:val="0"/>
              <w:jc w:val="center"/>
              <w:textAlignment w:val="center"/>
              <w:rPr>
                <w:rFonts w:hint="default" w:ascii="仿宋_GB2312" w:hAnsi="仿宋_GB2312" w:eastAsia="仿宋_GB2312"/>
                <w:b w:val="0"/>
                <w:i w:val="0"/>
                <w:color w:val="000000"/>
                <w:sz w:val="20"/>
                <w:u w:val="none"/>
                <w:lang w:eastAsia="zh-CN"/>
              </w:rPr>
            </w:pPr>
          </w:p>
        </w:tc>
        <w:tc>
          <w:tcPr>
            <w:tcW w:w="1593" w:type="dxa"/>
            <w:vAlign w:val="center"/>
          </w:tcPr>
          <w:p>
            <w:pPr>
              <w:autoSpaceDN w:val="0"/>
              <w:jc w:val="left"/>
              <w:textAlignment w:val="center"/>
              <w:rPr>
                <w:rFonts w:hint="default" w:ascii="宋体" w:hAnsi="宋体" w:eastAsia="宋体"/>
                <w:b w:val="0"/>
                <w:i w:val="0"/>
                <w:color w:val="000000"/>
                <w:sz w:val="22"/>
                <w:u w:val="none"/>
                <w:lang w:eastAsia="zh-CN"/>
              </w:rPr>
            </w:pPr>
          </w:p>
        </w:tc>
        <w:tc>
          <w:tcPr>
            <w:tcW w:w="2077" w:type="dxa"/>
            <w:vAlign w:val="center"/>
          </w:tcPr>
          <w:p>
            <w:pPr>
              <w:autoSpaceDN w:val="0"/>
              <w:jc w:val="left"/>
              <w:textAlignment w:val="center"/>
              <w:rPr>
                <w:rFonts w:hint="default" w:ascii="宋体" w:hAnsi="宋体" w:eastAsia="宋体"/>
                <w:b w:val="0"/>
                <w:i w:val="0"/>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00" w:hRule="atLeast"/>
        </w:trPr>
        <w:tc>
          <w:tcPr>
            <w:tcW w:w="5335" w:type="dxa"/>
            <w:gridSpan w:val="5"/>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仿宋_GB2312" w:hAnsi="仿宋_GB2312" w:eastAsia="仿宋_GB2312"/>
                <w:b w:val="0"/>
                <w:i w:val="0"/>
                <w:color w:val="000000"/>
                <w:sz w:val="16"/>
                <w:u w:val="none"/>
                <w:lang w:eastAsia="zh-CN"/>
              </w:rPr>
            </w:pPr>
            <w:r>
              <w:rPr>
                <w:rFonts w:hint="default" w:ascii="仿宋_GB2312" w:hAnsi="仿宋_GB2312" w:eastAsia="仿宋_GB2312"/>
                <w:b w:val="0"/>
                <w:i w:val="0"/>
                <w:color w:val="000000"/>
                <w:sz w:val="16"/>
                <w:u w:val="none"/>
                <w:lang w:eastAsia="zh-CN"/>
              </w:rPr>
              <w:t>（一）简要概述部门职能与职责。</w:t>
            </w:r>
          </w:p>
        </w:tc>
        <w:tc>
          <w:tcPr>
            <w:tcW w:w="9809"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仿宋_GB2312" w:hAnsi="仿宋_GB2312" w:eastAsia="仿宋_GB2312"/>
                <w:b w:val="0"/>
                <w:i w:val="0"/>
                <w:color w:val="000000"/>
                <w:sz w:val="16"/>
                <w:szCs w:val="16"/>
                <w:u w:val="none"/>
                <w:lang w:eastAsia="zh-CN"/>
              </w:rPr>
            </w:pPr>
            <w:r>
              <w:rPr>
                <w:rFonts w:hint="eastAsia" w:ascii="仿宋_GB2312" w:hAnsi="宋体" w:eastAsia="仿宋_GB2312" w:cs="宋体"/>
                <w:kern w:val="0"/>
                <w:sz w:val="16"/>
                <w:szCs w:val="16"/>
              </w:rPr>
              <w:t>提供救助服务，弘扬救助精神。保障和维护城市生活无着流浪乞讨人员基本生活权益，提供救助措施。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50" w:hRule="atLeast"/>
        </w:trPr>
        <w:tc>
          <w:tcPr>
            <w:tcW w:w="5335" w:type="dxa"/>
            <w:gridSpan w:val="5"/>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仿宋_GB2312" w:hAnsi="仿宋_GB2312" w:eastAsia="仿宋_GB2312"/>
                <w:b w:val="0"/>
                <w:i w:val="0"/>
                <w:color w:val="000000"/>
                <w:sz w:val="16"/>
                <w:u w:val="none"/>
                <w:lang w:eastAsia="zh-CN"/>
              </w:rPr>
            </w:pPr>
            <w:r>
              <w:rPr>
                <w:rFonts w:hint="default" w:ascii="仿宋_GB2312" w:hAnsi="仿宋_GB2312" w:eastAsia="仿宋_GB2312"/>
                <w:b w:val="0"/>
                <w:i w:val="0"/>
                <w:color w:val="000000"/>
                <w:sz w:val="16"/>
                <w:u w:val="none"/>
                <w:lang w:eastAsia="zh-CN"/>
              </w:rPr>
              <w:t>（二）简要概述部门支出情况，按活动内容分类。</w:t>
            </w:r>
          </w:p>
        </w:tc>
        <w:tc>
          <w:tcPr>
            <w:tcW w:w="9809"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仿宋_GB2312" w:hAnsi="仿宋_GB2312" w:eastAsia="仿宋_GB2312"/>
                <w:b w:val="0"/>
                <w:i w:val="0"/>
                <w:color w:val="000000"/>
                <w:sz w:val="16"/>
                <w:szCs w:val="16"/>
                <w:u w:val="none"/>
                <w:lang w:eastAsia="zh-CN"/>
              </w:rPr>
            </w:pPr>
            <w:r>
              <w:rPr>
                <w:rFonts w:hint="eastAsia" w:ascii="仿宋_GB2312" w:hAnsi="宋体" w:eastAsia="仿宋_GB2312" w:cs="宋体"/>
                <w:kern w:val="0"/>
                <w:sz w:val="16"/>
                <w:szCs w:val="16"/>
              </w:rPr>
              <w:t>2019年支出合计84.84万元。其中基本支出69.28万元（包括人员经费：62.16万元，公用经费7.12元），占总支出73.27%，项目支出15.56万元（一般行政管理事务0.55万元，公务车购置15万元，流浪乞讨人员生活补助0.01万元），占总支出的18.34%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50" w:hRule="atLeast"/>
        </w:trPr>
        <w:tc>
          <w:tcPr>
            <w:tcW w:w="5335" w:type="dxa"/>
            <w:gridSpan w:val="5"/>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仿宋_GB2312" w:hAnsi="仿宋_GB2312" w:eastAsia="仿宋_GB2312"/>
                <w:b w:val="0"/>
                <w:i w:val="0"/>
                <w:color w:val="000000"/>
                <w:sz w:val="16"/>
                <w:u w:val="none"/>
                <w:lang w:eastAsia="zh-CN"/>
              </w:rPr>
            </w:pPr>
            <w:r>
              <w:rPr>
                <w:rFonts w:hint="default" w:ascii="仿宋_GB2312" w:hAnsi="仿宋_GB2312" w:eastAsia="仿宋_GB2312"/>
                <w:b w:val="0"/>
                <w:i w:val="0"/>
                <w:color w:val="000000"/>
                <w:sz w:val="16"/>
                <w:u w:val="none"/>
                <w:lang w:eastAsia="zh-CN"/>
              </w:rPr>
              <w:t>（三）简要概述当年区委区政府下达的重点工作。</w:t>
            </w:r>
          </w:p>
        </w:tc>
        <w:tc>
          <w:tcPr>
            <w:tcW w:w="9809" w:type="dxa"/>
            <w:gridSpan w:val="7"/>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795" w:hRule="atLeast"/>
        </w:trPr>
        <w:tc>
          <w:tcPr>
            <w:tcW w:w="54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一级</w:t>
            </w:r>
            <w:r>
              <w:rPr>
                <w:rFonts w:hint="default" w:ascii="楷体_GB2312" w:hAnsi="楷体_GB2312" w:eastAsia="楷体_GB2312"/>
                <w:b/>
                <w:i w:val="0"/>
                <w:color w:val="000000"/>
                <w:sz w:val="16"/>
                <w:u w:val="none"/>
                <w:lang w:eastAsia="zh-CN"/>
              </w:rPr>
              <w:br w:type="textWrapping"/>
            </w:r>
            <w:r>
              <w:rPr>
                <w:rFonts w:hint="default" w:ascii="楷体_GB2312" w:hAnsi="楷体_GB2312" w:eastAsia="楷体_GB2312"/>
                <w:b/>
                <w:i w:val="0"/>
                <w:color w:val="000000"/>
                <w:sz w:val="16"/>
                <w:u w:val="none"/>
                <w:lang w:eastAsia="zh-CN"/>
              </w:rPr>
              <w:t>指标</w:t>
            </w:r>
          </w:p>
        </w:tc>
        <w:tc>
          <w:tcPr>
            <w:tcW w:w="81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二级</w:t>
            </w:r>
            <w:r>
              <w:rPr>
                <w:rFonts w:hint="default" w:ascii="楷体_GB2312" w:hAnsi="楷体_GB2312" w:eastAsia="楷体_GB2312"/>
                <w:b/>
                <w:i w:val="0"/>
                <w:color w:val="000000"/>
                <w:sz w:val="16"/>
                <w:u w:val="none"/>
                <w:lang w:eastAsia="zh-CN"/>
              </w:rPr>
              <w:br w:type="textWrapping"/>
            </w:r>
            <w:r>
              <w:rPr>
                <w:rFonts w:hint="default" w:ascii="楷体_GB2312" w:hAnsi="楷体_GB2312" w:eastAsia="楷体_GB2312"/>
                <w:b/>
                <w:i w:val="0"/>
                <w:color w:val="000000"/>
                <w:sz w:val="16"/>
                <w:u w:val="none"/>
                <w:lang w:eastAsia="zh-CN"/>
              </w:rPr>
              <w:t>指标</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三级指标</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分值</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指标说明</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评分标准</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指标值计算公式和数据获取方式</w:t>
            </w: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年初目标值</w:t>
            </w: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实际完成值</w:t>
            </w: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i w:val="0"/>
                <w:color w:val="000000"/>
                <w:sz w:val="16"/>
                <w:u w:val="none"/>
                <w:lang w:eastAsia="zh-CN"/>
              </w:rPr>
            </w:pPr>
            <w:r>
              <w:rPr>
                <w:rFonts w:hint="default" w:ascii="楷体_GB2312" w:hAnsi="楷体_GB2312" w:eastAsia="楷体_GB2312"/>
                <w:b/>
                <w:i w:val="0"/>
                <w:color w:val="000000"/>
                <w:sz w:val="16"/>
                <w:u w:val="none"/>
                <w:lang w:eastAsia="zh-CN"/>
              </w:rPr>
              <w:t>得分</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i w:val="0"/>
                <w:color w:val="000000"/>
                <w:sz w:val="16"/>
                <w:u w:val="none"/>
                <w:lang w:eastAsia="zh-CN"/>
              </w:rPr>
            </w:pPr>
            <w:r>
              <w:rPr>
                <w:rFonts w:hint="default" w:ascii="仿宋_GB2312" w:hAnsi="仿宋_GB2312" w:eastAsia="仿宋_GB2312"/>
                <w:b/>
                <w:i w:val="0"/>
                <w:color w:val="000000"/>
                <w:sz w:val="16"/>
                <w:u w:val="none"/>
                <w:lang w:eastAsia="zh-CN"/>
              </w:rPr>
              <w:t>未完成原因分析与改进措施</w:t>
            </w: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i w:val="0"/>
                <w:color w:val="000000"/>
                <w:sz w:val="16"/>
                <w:u w:val="none"/>
                <w:lang w:eastAsia="zh-CN"/>
              </w:rPr>
            </w:pPr>
            <w:r>
              <w:rPr>
                <w:rFonts w:hint="default" w:ascii="仿宋_GB2312" w:hAnsi="仿宋_GB2312" w:eastAsia="仿宋_GB2312"/>
                <w:b/>
                <w:i w:val="0"/>
                <w:color w:val="000000"/>
                <w:sz w:val="16"/>
                <w:u w:val="none"/>
                <w:lang w:eastAsia="zh-CN"/>
              </w:rPr>
              <w:t>绩效指标分析与建议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760" w:hRule="atLeast"/>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投入</w:t>
            </w:r>
          </w:p>
        </w:tc>
        <w:tc>
          <w:tcPr>
            <w:tcW w:w="817"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预算执行（25分）</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完成率</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（10分）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10</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预算完成率=（预算完成数/预算数）×100%，用以反映和考核部门（单位）预算完成程度。</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预算完成数：部门（单位）本年度实际完成的预算数。</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预算数：财政部门批复的本年度部门（单位）预算数。</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预算完成率＝100%的，得10分。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预算完成率≥95%的，得9分。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预算完成率在90%（含）和95%之间，得8分。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预算完成率在85%（含）和90%之间，得7分。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预算完成率在80%（含）和85%之间，得6分。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预算完成率在70%（含）和80%之间，得4分。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预算完成率＜70%的，得0分。</w:t>
            </w:r>
          </w:p>
        </w:tc>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财政部门执行的本年度部门预算数完成率</w:t>
            </w:r>
          </w:p>
        </w:tc>
        <w:tc>
          <w:tcPr>
            <w:tcW w:w="61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righ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44.16</w:t>
            </w:r>
          </w:p>
        </w:tc>
        <w:tc>
          <w:tcPr>
            <w:tcW w:w="12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righ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84.84</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w:t>
            </w:r>
            <w:r>
              <w:rPr>
                <w:rFonts w:hint="eastAsia" w:ascii="楷体_GB2312" w:hAnsi="宋体" w:eastAsia="楷体_GB2312" w:cs="宋体"/>
                <w:kern w:val="0"/>
                <w:sz w:val="20"/>
                <w:lang w:val="en-US" w:eastAsia="zh-CN"/>
              </w:rPr>
              <w:t xml:space="preserve"> </w:t>
            </w:r>
            <w:r>
              <w:rPr>
                <w:rFonts w:hint="eastAsia" w:ascii="楷体_GB2312" w:hAnsi="宋体" w:eastAsia="楷体_GB2312" w:cs="宋体"/>
                <w:kern w:val="0"/>
                <w:sz w:val="20"/>
              </w:rPr>
              <w:t>10</w:t>
            </w:r>
          </w:p>
        </w:tc>
        <w:tc>
          <w:tcPr>
            <w:tcW w:w="159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hint="default" w:ascii="仿宋_GB2312" w:hAnsi="仿宋_GB2312" w:eastAsia="仿宋_GB2312"/>
                <w:b w:val="0"/>
                <w:i w:val="0"/>
                <w:color w:val="000000"/>
                <w:sz w:val="16"/>
                <w:u w:val="none"/>
                <w:lang w:eastAsia="zh-CN"/>
              </w:rPr>
            </w:pPr>
            <w:r>
              <w:rPr>
                <w:rFonts w:hint="eastAsia" w:ascii="楷体_GB2312" w:hAnsi="宋体" w:eastAsia="楷体_GB2312" w:cs="宋体"/>
                <w:kern w:val="0"/>
                <w:sz w:val="20"/>
              </w:rPr>
              <w:t>完成192%</w:t>
            </w: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475" w:hRule="atLeast"/>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17"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textAlignment w:val="auto"/>
              <w:rPr>
                <w:rFonts w:hint="default" w:ascii="宋体" w:hAnsi="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预算调整率</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预算调整率=（预算调整数/预算数）×100%，用以反映和考核部门（单位）预算的调整程度。</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预算调整数：部门（单位）在本年度内涉及预算的追加、追减或结构调整的资金总和（因落实国家政策、发生不可抗力、上级部门或本级党委政府临时交办而产生的调整除外）。</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预算包括一般公共预算与政府性基金预算。</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预算调整率绝对值≤5%，得5分。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预算调整率绝对值＞5%的，每增加0.1个百分点扣0.1分，扣完为止。</w:t>
            </w:r>
          </w:p>
        </w:tc>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除人员经费和追加的车辆购置外无追加预算。</w:t>
            </w:r>
          </w:p>
        </w:tc>
        <w:tc>
          <w:tcPr>
            <w:tcW w:w="61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0</w:t>
            </w:r>
          </w:p>
        </w:tc>
        <w:tc>
          <w:tcPr>
            <w:tcW w:w="12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w:t>
            </w:r>
            <w:r>
              <w:rPr>
                <w:rFonts w:hint="eastAsia" w:ascii="楷体_GB2312" w:hAnsi="宋体" w:eastAsia="楷体_GB2312" w:cs="宋体"/>
                <w:kern w:val="0"/>
                <w:sz w:val="20"/>
                <w:lang w:val="en-US" w:eastAsia="zh-CN"/>
              </w:rPr>
              <w:t xml:space="preserve"> </w:t>
            </w:r>
            <w:r>
              <w:rPr>
                <w:rFonts w:hint="eastAsia" w:ascii="楷体_GB2312" w:hAnsi="宋体" w:eastAsia="楷体_GB2312" w:cs="宋体"/>
                <w:kern w:val="0"/>
                <w:sz w:val="20"/>
              </w:rPr>
              <w:t>5</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235" w:hRule="atLeast"/>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投入</w:t>
            </w:r>
          </w:p>
        </w:tc>
        <w:tc>
          <w:tcPr>
            <w:tcW w:w="817"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预算执行（25分）</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支出进度率</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支出进度率=（实际支出/支出预算）×100%，用以反映和考核部门（单位）预算执行的及时性和均衡性程度。</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半年支出进度＝部门上半年实际支出/（上年结余结转+本年部门预算安排+上半年执行中追加追减）*100%。</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前三季度支出进度＝部门前三季度实际支出/（上年结余结转+本年部门预算安排+前三季度执行中追加追减）*100%。</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半年进度：进度率≥45%，得2分；进度率在40%（含）和45%之间，得1分；进度率＜40%，得0分。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前三季度进度：进度率≥75%，得3分；进度率在60%（含）和75%之间，得2分；进度率＜60%，得0分。</w:t>
            </w:r>
          </w:p>
        </w:tc>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p>
        </w:tc>
        <w:tc>
          <w:tcPr>
            <w:tcW w:w="61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按序时进度完成</w:t>
            </w:r>
          </w:p>
        </w:tc>
        <w:tc>
          <w:tcPr>
            <w:tcW w:w="129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按序时进度完成</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hint="default" w:ascii="楷体_GB2312" w:hAnsi="楷体_GB2312" w:eastAsia="楷体_GB2312"/>
                <w:b w:val="0"/>
                <w:i w:val="0"/>
                <w:color w:val="000000"/>
                <w:sz w:val="16"/>
                <w:u w:val="none"/>
                <w:lang w:eastAsia="zh-CN"/>
              </w:rPr>
            </w:pPr>
            <w:r>
              <w:rPr>
                <w:rFonts w:hint="eastAsia" w:ascii="楷体_GB2312" w:hAnsi="宋体" w:eastAsia="楷体_GB2312" w:cs="宋体"/>
                <w:kern w:val="0"/>
                <w:sz w:val="20"/>
              </w:rPr>
              <w:t>　</w:t>
            </w:r>
            <w:r>
              <w:rPr>
                <w:rFonts w:hint="eastAsia" w:ascii="楷体_GB2312" w:hAnsi="宋体" w:eastAsia="楷体_GB2312" w:cs="宋体"/>
                <w:kern w:val="0"/>
                <w:sz w:val="20"/>
                <w:lang w:val="en-US" w:eastAsia="zh-CN"/>
              </w:rPr>
              <w:t xml:space="preserve"> </w:t>
            </w:r>
            <w:r>
              <w:rPr>
                <w:rFonts w:hint="eastAsia" w:ascii="楷体_GB2312" w:hAnsi="宋体" w:eastAsia="楷体_GB2312" w:cs="宋体"/>
                <w:kern w:val="0"/>
                <w:sz w:val="20"/>
              </w:rPr>
              <w:t>5</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530" w:hRule="atLeast"/>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17"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textAlignment w:val="auto"/>
              <w:rPr>
                <w:rFonts w:hint="default" w:ascii="宋体" w:hAnsi="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预算编制准确率（5分）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部门预算中除财政拨款外的其他收入预算与决算差异率。</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预算编制准确率＝其他收入决算数/其他收入预算数×100%-100%。</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预算编制准确率≤20%，得5分。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预算编制准确率在20%和40%（含）之间，得3分。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预算编制准确率＞40%，得0分。</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eastAsia="zh-CN"/>
              </w:rPr>
              <w:t>无</w:t>
            </w:r>
            <w:r>
              <w:rPr>
                <w:rFonts w:hint="default" w:ascii="楷体_GB2312" w:hAnsi="楷体_GB2312" w:eastAsia="楷体_GB2312"/>
                <w:b w:val="0"/>
                <w:i w:val="0"/>
                <w:color w:val="000000"/>
                <w:sz w:val="16"/>
                <w:u w:val="none"/>
                <w:lang w:eastAsia="zh-CN"/>
              </w:rPr>
              <w:t>其他收入</w:t>
            </w:r>
            <w:r>
              <w:rPr>
                <w:rFonts w:hint="eastAsia" w:ascii="楷体_GB2312" w:hAnsi="楷体_GB2312" w:eastAsia="楷体_GB2312"/>
                <w:b w:val="0"/>
                <w:i w:val="0"/>
                <w:color w:val="000000"/>
                <w:sz w:val="16"/>
                <w:u w:val="none"/>
                <w:lang w:eastAsia="zh-CN"/>
              </w:rPr>
              <w:t>与其他支出</w:t>
            </w: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eastAsia="zh-CN"/>
              </w:rPr>
              <w:t>无</w:t>
            </w:r>
            <w:r>
              <w:rPr>
                <w:rFonts w:hint="default" w:ascii="楷体_GB2312" w:hAnsi="楷体_GB2312" w:eastAsia="楷体_GB2312"/>
                <w:b w:val="0"/>
                <w:i w:val="0"/>
                <w:color w:val="000000"/>
                <w:sz w:val="16"/>
                <w:u w:val="none"/>
                <w:lang w:eastAsia="zh-CN"/>
              </w:rPr>
              <w:t>其他收入</w:t>
            </w:r>
            <w:r>
              <w:rPr>
                <w:rFonts w:hint="eastAsia" w:ascii="楷体_GB2312" w:hAnsi="楷体_GB2312" w:eastAsia="楷体_GB2312"/>
                <w:b w:val="0"/>
                <w:i w:val="0"/>
                <w:color w:val="000000"/>
                <w:sz w:val="16"/>
                <w:u w:val="none"/>
                <w:lang w:eastAsia="zh-CN"/>
              </w:rPr>
              <w:t>与其他支出</w:t>
            </w: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val="en-US" w:eastAsia="zh-CN"/>
              </w:rPr>
              <w:t xml:space="preserve">   </w:t>
            </w:r>
            <w:r>
              <w:rPr>
                <w:rFonts w:hint="default" w:ascii="楷体_GB2312" w:hAnsi="楷体_GB2312" w:eastAsia="楷体_GB2312"/>
                <w:b w:val="0"/>
                <w:i w:val="0"/>
                <w:color w:val="000000"/>
                <w:sz w:val="16"/>
                <w:u w:val="none"/>
                <w:lang w:eastAsia="zh-CN"/>
              </w:rPr>
              <w:t>5</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770" w:hRule="atLeast"/>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过程</w:t>
            </w:r>
          </w:p>
        </w:tc>
        <w:tc>
          <w:tcPr>
            <w:tcW w:w="817"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预算管理（15分）</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“三公经费”控制率</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“三公经费”控制率=（“三公经费”实际支出数/“三公经费”预算安排数）×100%，用以反映和考核部门（单位）对“三公经费”的实际控制程度。</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三公经费控制率 ≤100%，得5分，每增加0.1个百分点扣0.5分，扣完为止。</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0.99</w:t>
            </w: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0</w:t>
            </w: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val="en-US" w:eastAsia="zh-CN"/>
              </w:rPr>
              <w:t xml:space="preserve">    </w:t>
            </w:r>
            <w:r>
              <w:rPr>
                <w:rFonts w:hint="default" w:ascii="楷体_GB2312" w:hAnsi="楷体_GB2312" w:eastAsia="楷体_GB2312"/>
                <w:b w:val="0"/>
                <w:i w:val="0"/>
                <w:color w:val="000000"/>
                <w:sz w:val="16"/>
                <w:u w:val="none"/>
                <w:lang w:eastAsia="zh-CN"/>
              </w:rPr>
              <w:t>5</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_GB2312" w:hAnsi="仿宋_GB2312" w:eastAsia="仿宋_GB2312"/>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770" w:hRule="atLeast"/>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17"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textAlignment w:val="auto"/>
              <w:rPr>
                <w:rFonts w:hint="default" w:ascii="宋体" w:hAnsi="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资产管理规范性</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部门（单位）资产管理是否规范，用以反映和考核部门（单位）资产管理情况。</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1.新增资产配置按预算执行。</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2.资产有偿使用、处置按规定程序审批。</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3.资产收益及时、足额上缴财政。</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全部符合5分，有1项不符扣2分,扣完为止。</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新增资产配置按预算执行。</w:t>
            </w:r>
            <w:r>
              <w:rPr>
                <w:rFonts w:hint="eastAsia" w:ascii="楷体_GB2312" w:hAnsi="楷体_GB2312" w:eastAsia="楷体_GB2312"/>
                <w:b w:val="0"/>
                <w:i w:val="0"/>
                <w:color w:val="000000"/>
                <w:sz w:val="16"/>
                <w:u w:val="none"/>
                <w:lang w:eastAsia="zh-CN"/>
              </w:rPr>
              <w:t>但会出现临时性购置</w:t>
            </w:r>
            <w:r>
              <w:rPr>
                <w:rFonts w:hint="default" w:ascii="楷体_GB2312" w:hAnsi="楷体_GB2312" w:eastAsia="楷体_GB2312"/>
                <w:b w:val="0"/>
                <w:i w:val="0"/>
                <w:color w:val="000000"/>
                <w:sz w:val="16"/>
                <w:u w:val="none"/>
                <w:lang w:eastAsia="zh-CN"/>
              </w:rPr>
              <w:br w:type="textWrapping"/>
            </w: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val="en-US" w:eastAsia="zh-CN"/>
              </w:rPr>
              <w:t xml:space="preserve">    </w:t>
            </w:r>
            <w:r>
              <w:rPr>
                <w:rFonts w:hint="default" w:ascii="楷体_GB2312" w:hAnsi="楷体_GB2312" w:eastAsia="楷体_GB2312"/>
                <w:b w:val="0"/>
                <w:i w:val="0"/>
                <w:color w:val="000000"/>
                <w:sz w:val="16"/>
                <w:u w:val="none"/>
                <w:lang w:eastAsia="zh-CN"/>
              </w:rPr>
              <w:t>3</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880" w:hRule="atLeast"/>
        </w:trPr>
        <w:tc>
          <w:tcPr>
            <w:tcW w:w="54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过程</w:t>
            </w:r>
          </w:p>
        </w:tc>
        <w:tc>
          <w:tcPr>
            <w:tcW w:w="81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预算管理（15分）</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资金使用合规性</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5</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部门（单位）使用预算资金是否符合相关的预算财务管理制度的规定，用以反映和考核部门（单位）预算资金的规范运行情况。</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1.符合国家财经法规和财务管理制度规定以及有关专项资金管理办法的规定；</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2.资金的拨付有完整的审批程序和手续；</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3.重大项目开支经过评估论证；</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4.符合部门预算批复的用途；</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5.不存在截留、挤占、挪用、虚列支出等情况。</w:t>
            </w:r>
          </w:p>
        </w:tc>
        <w:tc>
          <w:tcPr>
            <w:tcW w:w="2306"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全部符合5分,有1项不符扣2分。</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eastAsia="zh-CN"/>
              </w:rPr>
              <w:t>根据《阎良区民政局财务管理制度》、《阎良区民政局内部控制管理办法》、《阎良区民政局专项资金管理办法》、《阎良区民政局“三重一大”事项决策实施办法》等</w:t>
            </w: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eastAsia" w:ascii="楷体_GB2312" w:hAnsi="楷体_GB2312" w:eastAsia="楷体_GB2312"/>
                <w:b w:val="0"/>
                <w:i w:val="0"/>
                <w:color w:val="000000"/>
                <w:sz w:val="16"/>
                <w:u w:val="none"/>
                <w:lang w:val="en-US" w:eastAsia="zh-CN"/>
              </w:rPr>
              <w:t xml:space="preserve">    </w:t>
            </w:r>
            <w:r>
              <w:rPr>
                <w:rFonts w:hint="default" w:ascii="楷体_GB2312" w:hAnsi="楷体_GB2312" w:eastAsia="楷体_GB2312"/>
                <w:b w:val="0"/>
                <w:i w:val="0"/>
                <w:color w:val="000000"/>
                <w:sz w:val="16"/>
                <w:u w:val="none"/>
                <w:lang w:eastAsia="zh-CN"/>
              </w:rPr>
              <w:t>5</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635" w:hRule="atLeast"/>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效果</w:t>
            </w:r>
          </w:p>
        </w:tc>
        <w:tc>
          <w:tcPr>
            <w:tcW w:w="817"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履职尽责（60分）</w:t>
            </w: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项目产出</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（40分）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40</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2306"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1.若为定性指标，根据“三档”原则分别按照指标分值的100-80%（含）、80-50%（含）、50-10%来记分；</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val="en-US" w:eastAsia="zh-CN"/>
              </w:rPr>
            </w:pPr>
            <w:r>
              <w:rPr>
                <w:rFonts w:hint="eastAsia" w:ascii="楷体_GB2312" w:hAnsi="楷体_GB2312" w:eastAsia="楷体_GB2312"/>
                <w:b w:val="0"/>
                <w:i w:val="0"/>
                <w:color w:val="000000"/>
                <w:sz w:val="16"/>
                <w:u w:val="none"/>
                <w:lang w:val="en-US" w:eastAsia="zh-CN"/>
              </w:rPr>
              <w:t xml:space="preserve">    38</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635" w:hRule="atLeast"/>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817"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textAlignment w:val="auto"/>
              <w:rPr>
                <w:rFonts w:hint="default" w:ascii="宋体" w:hAnsi="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项目效益</w:t>
            </w:r>
            <w:r>
              <w:rPr>
                <w:rFonts w:hint="default" w:ascii="楷体_GB2312" w:hAnsi="楷体_GB2312" w:eastAsia="楷体_GB2312"/>
                <w:b w:val="0"/>
                <w:i w:val="0"/>
                <w:color w:val="000000"/>
                <w:sz w:val="16"/>
                <w:u w:val="none"/>
                <w:lang w:eastAsia="zh-CN"/>
              </w:rPr>
              <w:br w:type="textWrapping"/>
            </w:r>
            <w:r>
              <w:rPr>
                <w:rFonts w:hint="default" w:ascii="楷体_GB2312" w:hAnsi="楷体_GB2312" w:eastAsia="楷体_GB2312"/>
                <w:b w:val="0"/>
                <w:i w:val="0"/>
                <w:color w:val="000000"/>
                <w:sz w:val="16"/>
                <w:u w:val="none"/>
                <w:lang w:eastAsia="zh-CN"/>
              </w:rPr>
              <w:t>（20分）</w:t>
            </w:r>
          </w:p>
        </w:tc>
        <w:tc>
          <w:tcPr>
            <w:tcW w:w="44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楷体_GB2312" w:hAnsi="楷体_GB2312" w:eastAsia="楷体_GB2312"/>
                <w:b w:val="0"/>
                <w:i w:val="0"/>
                <w:color w:val="000000"/>
                <w:sz w:val="16"/>
                <w:u w:val="none"/>
                <w:lang w:eastAsia="zh-CN"/>
              </w:rPr>
            </w:pPr>
            <w:r>
              <w:rPr>
                <w:rFonts w:hint="default" w:ascii="楷体_GB2312" w:hAnsi="楷体_GB2312" w:eastAsia="楷体_GB2312"/>
                <w:b w:val="0"/>
                <w:i w:val="0"/>
                <w:color w:val="000000"/>
                <w:sz w:val="16"/>
                <w:u w:val="none"/>
                <w:lang w:eastAsia="zh-CN"/>
              </w:rPr>
              <w:t>20</w:t>
            </w:r>
          </w:p>
        </w:tc>
        <w:tc>
          <w:tcPr>
            <w:tcW w:w="279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2306"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9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6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129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eastAsia="zh-CN"/>
              </w:rPr>
            </w:pPr>
          </w:p>
        </w:tc>
        <w:tc>
          <w:tcPr>
            <w:tcW w:w="93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楷体_GB2312" w:hAnsi="楷体_GB2312" w:eastAsia="楷体_GB2312"/>
                <w:b w:val="0"/>
                <w:i w:val="0"/>
                <w:color w:val="000000"/>
                <w:sz w:val="16"/>
                <w:u w:val="none"/>
                <w:lang w:val="en-US" w:eastAsia="zh-CN"/>
              </w:rPr>
            </w:pPr>
            <w:r>
              <w:rPr>
                <w:rFonts w:hint="eastAsia" w:ascii="楷体_GB2312" w:hAnsi="楷体_GB2312" w:eastAsia="楷体_GB2312"/>
                <w:b w:val="0"/>
                <w:i w:val="0"/>
                <w:color w:val="000000"/>
                <w:sz w:val="16"/>
                <w:u w:val="none"/>
                <w:lang w:val="en-US" w:eastAsia="zh-CN"/>
              </w:rPr>
              <w:t xml:space="preserve">    19</w:t>
            </w:r>
          </w:p>
        </w:tc>
        <w:tc>
          <w:tcPr>
            <w:tcW w:w="159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c>
          <w:tcPr>
            <w:tcW w:w="20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395" w:hRule="atLeast"/>
        </w:trPr>
        <w:tc>
          <w:tcPr>
            <w:tcW w:w="15144" w:type="dxa"/>
            <w:gridSpan w:val="1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16"/>
                <w:u w:val="none"/>
                <w:lang w:eastAsia="zh-CN"/>
              </w:rPr>
            </w:pPr>
            <w:r>
              <w:rPr>
                <w:rFonts w:hint="default" w:ascii="宋体" w:hAnsi="宋体" w:eastAsia="宋体"/>
                <w:b w:val="0"/>
                <w:i w:val="0"/>
                <w:color w:val="000000"/>
                <w:sz w:val="16"/>
                <w:u w:val="none"/>
                <w:lang w:eastAsia="zh-CN"/>
              </w:rPr>
              <w:t>备注：</w:t>
            </w:r>
            <w:r>
              <w:rPr>
                <w:rFonts w:hint="default" w:ascii="宋体" w:hAnsi="宋体" w:eastAsia="宋体"/>
                <w:b w:val="0"/>
                <w:i w:val="0"/>
                <w:color w:val="000000"/>
                <w:sz w:val="16"/>
                <w:u w:val="none"/>
                <w:lang w:eastAsia="zh-CN"/>
              </w:rPr>
              <w:br w:type="textWrapping"/>
            </w:r>
            <w:r>
              <w:rPr>
                <w:rFonts w:hint="default" w:ascii="宋体" w:hAnsi="宋体" w:eastAsia="宋体"/>
                <w:b w:val="0"/>
                <w:i w:val="0"/>
                <w:color w:val="000000"/>
                <w:sz w:val="16"/>
                <w:u w:val="none"/>
                <w:lang w:eastAsia="zh-CN"/>
              </w:rPr>
              <w:t>1.“项目产出”和“项目效果”直接细化成部门年初绩效目标中的指标，并根据重要程度赋权。</w:t>
            </w:r>
            <w:r>
              <w:rPr>
                <w:rFonts w:hint="default" w:ascii="宋体" w:hAnsi="宋体" w:eastAsia="宋体"/>
                <w:b w:val="0"/>
                <w:i w:val="0"/>
                <w:color w:val="000000"/>
                <w:sz w:val="16"/>
                <w:u w:val="none"/>
                <w:lang w:eastAsia="zh-CN"/>
              </w:rPr>
              <w:br w:type="textWrapping"/>
            </w:r>
            <w:r>
              <w:rPr>
                <w:rFonts w:hint="default" w:ascii="宋体" w:hAnsi="宋体" w:eastAsia="宋体"/>
                <w:b w:val="0"/>
                <w:i w:val="0"/>
                <w:color w:val="000000"/>
                <w:sz w:val="16"/>
                <w:u w:val="none"/>
                <w:lang w:eastAsia="zh-CN"/>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
      <w:pPr>
        <w:widowControl/>
        <w:spacing w:line="240" w:lineRule="exact"/>
        <w:jc w:val="left"/>
        <w:sectPr>
          <w:pgSz w:w="16838" w:h="11906" w:orient="landscape"/>
          <w:pgMar w:top="1800" w:right="1440" w:bottom="1800" w:left="1440" w:header="851" w:footer="992" w:gutter="0"/>
          <w:cols w:space="720" w:num="1"/>
          <w:docGrid w:type="lines" w:linePitch="312" w:charSpace="0"/>
        </w:sectPr>
      </w:pPr>
    </w:p>
    <w:tbl>
      <w:tblPr>
        <w:tblStyle w:val="7"/>
        <w:tblW w:w="9711" w:type="dxa"/>
        <w:tblInd w:w="-3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711" w:type="dxa"/>
            <w:tcBorders>
              <w:top w:val="nil"/>
              <w:left w:val="nil"/>
              <w:bottom w:val="nil"/>
              <w:right w:val="nil"/>
            </w:tcBorders>
            <w:vAlign w:val="bottom"/>
          </w:tcPr>
          <w:p>
            <w:pPr>
              <w:widowControl/>
              <w:jc w:val="left"/>
              <w:rPr>
                <w:rFonts w:ascii="宋体" w:hAnsi="宋体" w:eastAsia="宋体" w:cs="宋体"/>
                <w:color w:val="000000"/>
                <w:kern w:val="0"/>
                <w:sz w:val="18"/>
                <w:szCs w:val="18"/>
              </w:rPr>
            </w:pPr>
          </w:p>
        </w:tc>
      </w:tr>
    </w:tbl>
    <w:p>
      <w:pPr>
        <w:spacing w:line="560" w:lineRule="exact"/>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spacing w:line="560" w:lineRule="exact"/>
        <w:ind w:firstLine="643" w:firstLineChars="200"/>
        <w:jc w:val="left"/>
        <w:rPr>
          <w:rFonts w:ascii="仿宋" w:hAnsi="仿宋" w:eastAsia="仿宋"/>
          <w:szCs w:val="32"/>
        </w:rPr>
      </w:pPr>
      <w:r>
        <w:rPr>
          <w:rFonts w:ascii="仿宋" w:hAnsi="仿宋" w:eastAsia="仿宋" w:cs="楷体_GB2312"/>
          <w:b/>
          <w:color w:val="000000"/>
          <w:kern w:val="0"/>
          <w:szCs w:val="32"/>
        </w:rPr>
        <w:t>（一）机关运行经费支出情况</w:t>
      </w:r>
      <w:r>
        <w:rPr>
          <w:rFonts w:hint="eastAsia" w:ascii="仿宋" w:hAnsi="仿宋" w:eastAsia="仿宋" w:cs="楷体_GB2312"/>
          <w:b/>
          <w:color w:val="000000"/>
          <w:kern w:val="0"/>
          <w:szCs w:val="32"/>
        </w:rPr>
        <w:t>说明</w:t>
      </w:r>
      <w:r>
        <w:rPr>
          <w:rFonts w:ascii="仿宋" w:hAnsi="仿宋" w:eastAsia="仿宋" w:cs="楷体_GB2312"/>
          <w:b/>
          <w:color w:val="000000"/>
          <w:kern w:val="0"/>
          <w:szCs w:val="32"/>
        </w:rPr>
        <w:t xml:space="preserve">。 </w:t>
      </w:r>
    </w:p>
    <w:p>
      <w:pPr>
        <w:widowControl/>
        <w:spacing w:line="560" w:lineRule="exact"/>
        <w:ind w:firstLine="640" w:firstLineChars="200"/>
        <w:jc w:val="left"/>
        <w:rPr>
          <w:rFonts w:ascii="仿宋" w:hAnsi="仿宋" w:eastAsia="仿宋" w:cs="仿宋_GB2312"/>
          <w:color w:val="000000"/>
          <w:kern w:val="0"/>
          <w:szCs w:val="32"/>
        </w:rPr>
      </w:pPr>
      <w:r>
        <w:rPr>
          <w:rFonts w:ascii="仿宋" w:hAnsi="仿宋" w:eastAsia="仿宋" w:cs="仿宋_GB2312"/>
          <w:color w:val="000000"/>
          <w:kern w:val="0"/>
          <w:szCs w:val="32"/>
        </w:rPr>
        <w:t>2019年</w:t>
      </w:r>
      <w:r>
        <w:rPr>
          <w:rFonts w:hint="eastAsia" w:ascii="仿宋" w:hAnsi="仿宋" w:eastAsia="仿宋" w:cs="仿宋_GB2312"/>
          <w:color w:val="000000"/>
          <w:kern w:val="0"/>
          <w:szCs w:val="32"/>
        </w:rPr>
        <w:t>度</w:t>
      </w:r>
      <w:r>
        <w:rPr>
          <w:rFonts w:ascii="仿宋" w:hAnsi="仿宋" w:eastAsia="仿宋" w:cs="仿宋_GB2312"/>
          <w:color w:val="000000"/>
          <w:kern w:val="0"/>
          <w:szCs w:val="32"/>
        </w:rPr>
        <w:t>机关运行经费预算为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万元，支出决算为</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万元，完成预算的</w:t>
      </w:r>
      <w:r>
        <w:rPr>
          <w:rFonts w:hint="eastAsia" w:ascii="仿宋" w:hAnsi="仿宋" w:eastAsia="仿宋" w:cs="仿宋_GB2312"/>
          <w:color w:val="000000"/>
          <w:kern w:val="0"/>
          <w:szCs w:val="32"/>
        </w:rPr>
        <w:t>0</w:t>
      </w:r>
      <w:r>
        <w:rPr>
          <w:rFonts w:ascii="仿宋" w:hAnsi="仿宋" w:eastAsia="仿宋" w:cs="仿宋_GB2312"/>
          <w:color w:val="000000"/>
          <w:kern w:val="0"/>
          <w:szCs w:val="32"/>
        </w:rPr>
        <w:t>%。决算数</w:t>
      </w:r>
      <w:r>
        <w:rPr>
          <w:rFonts w:hint="eastAsia" w:ascii="仿宋" w:hAnsi="仿宋" w:eastAsia="仿宋" w:cs="仿宋_GB2312"/>
          <w:color w:val="000000"/>
          <w:kern w:val="0"/>
          <w:szCs w:val="32"/>
        </w:rPr>
        <w:t>较</w:t>
      </w:r>
      <w:r>
        <w:rPr>
          <w:rFonts w:ascii="仿宋" w:hAnsi="仿宋" w:eastAsia="仿宋" w:cs="仿宋_GB2312"/>
          <w:color w:val="000000"/>
          <w:kern w:val="0"/>
          <w:szCs w:val="32"/>
        </w:rPr>
        <w:t>预算数</w:t>
      </w:r>
      <w:r>
        <w:rPr>
          <w:rFonts w:hint="eastAsia" w:ascii="仿宋" w:hAnsi="仿宋" w:eastAsia="仿宋" w:cs="仿宋_GB2312"/>
          <w:color w:val="000000"/>
          <w:kern w:val="0"/>
          <w:szCs w:val="32"/>
        </w:rPr>
        <w:t>无增减变化。</w:t>
      </w:r>
    </w:p>
    <w:p>
      <w:pPr>
        <w:widowControl/>
        <w:spacing w:line="560" w:lineRule="exact"/>
        <w:ind w:firstLine="643" w:firstLineChars="200"/>
        <w:jc w:val="left"/>
        <w:rPr>
          <w:rFonts w:ascii="仿宋" w:hAnsi="仿宋" w:eastAsia="仿宋" w:cs="楷体_GB2312"/>
          <w:b/>
          <w:color w:val="000000"/>
          <w:kern w:val="0"/>
          <w:szCs w:val="32"/>
        </w:rPr>
      </w:pPr>
      <w:r>
        <w:rPr>
          <w:rFonts w:hint="eastAsia" w:ascii="仿宋" w:hAnsi="仿宋" w:eastAsia="仿宋" w:cs="楷体_GB2312"/>
          <w:b/>
          <w:color w:val="000000"/>
          <w:kern w:val="0"/>
          <w:szCs w:val="32"/>
        </w:rPr>
        <w:t>（二）政府采购支出情况说明。</w:t>
      </w:r>
    </w:p>
    <w:p>
      <w:pPr>
        <w:widowControl/>
        <w:spacing w:line="560" w:lineRule="exact"/>
        <w:ind w:firstLine="640" w:firstLineChars="200"/>
        <w:jc w:val="left"/>
        <w:rPr>
          <w:rFonts w:ascii="仿宋" w:hAnsi="仿宋" w:eastAsia="仿宋" w:cs="仿宋_GB2312"/>
          <w:szCs w:val="32"/>
        </w:rPr>
      </w:pPr>
      <w:r>
        <w:rPr>
          <w:rFonts w:hint="eastAsia" w:ascii="仿宋" w:hAnsi="仿宋" w:eastAsia="仿宋" w:cs="仿宋_GB2312"/>
          <w:szCs w:val="32"/>
        </w:rPr>
        <w:t>2019年度本部门政府采购支出总额共0.</w:t>
      </w:r>
      <w:r>
        <w:rPr>
          <w:rFonts w:hint="eastAsia" w:ascii="仿宋" w:hAnsi="仿宋" w:eastAsia="仿宋" w:cs="仿宋_GB2312"/>
          <w:szCs w:val="32"/>
          <w:lang w:val="en-US" w:eastAsia="zh-CN"/>
        </w:rPr>
        <w:t>55</w:t>
      </w:r>
      <w:r>
        <w:rPr>
          <w:rFonts w:hint="eastAsia" w:ascii="仿宋" w:hAnsi="仿宋" w:eastAsia="仿宋" w:cs="仿宋_GB2312"/>
          <w:szCs w:val="32"/>
        </w:rPr>
        <w:t>万元，其中政府采购货物类支出0.</w:t>
      </w:r>
      <w:r>
        <w:rPr>
          <w:rFonts w:hint="eastAsia" w:ascii="仿宋" w:hAnsi="仿宋" w:eastAsia="仿宋" w:cs="仿宋_GB2312"/>
          <w:szCs w:val="32"/>
          <w:lang w:val="en-US" w:eastAsia="zh-CN"/>
        </w:rPr>
        <w:t>55</w:t>
      </w:r>
      <w:r>
        <w:rPr>
          <w:rFonts w:hint="eastAsia" w:ascii="仿宋" w:hAnsi="仿宋" w:eastAsia="仿宋" w:cs="仿宋_GB2312"/>
          <w:szCs w:val="32"/>
        </w:rPr>
        <w:t>万元、政府采购服务类支出0万元、政府采购工程类支出0万元。</w:t>
      </w:r>
      <w:r>
        <w:rPr>
          <w:rFonts w:ascii="仿宋" w:hAnsi="仿宋" w:eastAsia="仿宋" w:cs="仿宋_GB2312"/>
          <w:color w:val="000000"/>
          <w:kern w:val="0"/>
          <w:szCs w:val="32"/>
        </w:rPr>
        <w:t>授予中小企业合同金额</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万元，占政府采购支出总额的</w:t>
      </w:r>
      <w:r>
        <w:rPr>
          <w:rFonts w:hint="eastAsia" w:ascii="仿宋" w:hAnsi="仿宋" w:eastAsia="仿宋" w:cs="仿宋_GB2312"/>
          <w:color w:val="000000"/>
          <w:kern w:val="0"/>
          <w:szCs w:val="32"/>
        </w:rPr>
        <w:t>0</w:t>
      </w:r>
      <w:r>
        <w:rPr>
          <w:rFonts w:ascii="仿宋" w:hAnsi="仿宋" w:eastAsia="仿宋" w:cs="仿宋_GB2312"/>
          <w:color w:val="000000"/>
          <w:kern w:val="0"/>
          <w:szCs w:val="32"/>
        </w:rPr>
        <w:t>%，其中：授予小微企业合同金额</w:t>
      </w:r>
      <w:r>
        <w:rPr>
          <w:rFonts w:hint="eastAsia" w:ascii="仿宋" w:hAnsi="仿宋" w:eastAsia="仿宋" w:cs="仿宋_GB2312"/>
          <w:color w:val="000000"/>
          <w:kern w:val="0"/>
          <w:szCs w:val="32"/>
        </w:rPr>
        <w:t>0</w:t>
      </w:r>
      <w:r>
        <w:rPr>
          <w:rFonts w:ascii="仿宋" w:hAnsi="仿宋" w:eastAsia="仿宋" w:cs="仿宋_GB2312"/>
          <w:color w:val="000000"/>
          <w:kern w:val="0"/>
          <w:szCs w:val="32"/>
        </w:rPr>
        <w:t>万元，占政府采购支出总额的</w:t>
      </w:r>
      <w:r>
        <w:rPr>
          <w:rFonts w:hint="eastAsia" w:ascii="仿宋" w:hAnsi="仿宋" w:eastAsia="仿宋" w:cs="仿宋_GB2312"/>
          <w:color w:val="000000"/>
          <w:kern w:val="0"/>
          <w:szCs w:val="32"/>
        </w:rPr>
        <w:t>0</w:t>
      </w:r>
      <w:r>
        <w:rPr>
          <w:rFonts w:ascii="仿宋" w:hAnsi="仿宋" w:eastAsia="仿宋" w:cs="仿宋_GB2312"/>
          <w:color w:val="000000"/>
          <w:kern w:val="0"/>
          <w:szCs w:val="32"/>
        </w:rPr>
        <w:t>%</w:t>
      </w:r>
      <w:r>
        <w:rPr>
          <w:rFonts w:hint="eastAsia" w:ascii="仿宋" w:hAnsi="仿宋" w:eastAsia="仿宋" w:cs="仿宋_GB2312"/>
          <w:color w:val="000000"/>
          <w:kern w:val="0"/>
          <w:szCs w:val="32"/>
        </w:rPr>
        <w:t>。</w:t>
      </w:r>
    </w:p>
    <w:p>
      <w:pPr>
        <w:widowControl/>
        <w:spacing w:line="560" w:lineRule="exact"/>
        <w:ind w:firstLine="643" w:firstLineChars="200"/>
        <w:jc w:val="left"/>
        <w:rPr>
          <w:rFonts w:ascii="仿宋" w:hAnsi="仿宋" w:eastAsia="仿宋" w:cs="楷体_GB2312"/>
          <w:b/>
          <w:color w:val="000000"/>
          <w:kern w:val="0"/>
          <w:szCs w:val="32"/>
        </w:rPr>
      </w:pPr>
      <w:r>
        <w:rPr>
          <w:rFonts w:hint="eastAsia" w:ascii="仿宋" w:hAnsi="仿宋" w:eastAsia="仿宋" w:cs="楷体_GB2312"/>
          <w:b/>
          <w:color w:val="000000"/>
          <w:kern w:val="0"/>
          <w:szCs w:val="32"/>
        </w:rPr>
        <w:t>（三）国有资产占用及购置情况说明。</w:t>
      </w:r>
    </w:p>
    <w:p>
      <w:pPr>
        <w:spacing w:line="560" w:lineRule="exact"/>
        <w:ind w:firstLine="640"/>
        <w:rPr>
          <w:rFonts w:ascii="仿宋" w:hAnsi="仿宋" w:eastAsia="仿宋" w:cs="仿宋_GB2312"/>
          <w:szCs w:val="32"/>
        </w:rPr>
      </w:pPr>
      <w:r>
        <w:rPr>
          <w:rFonts w:hint="eastAsia" w:ascii="仿宋" w:hAnsi="仿宋" w:eastAsia="仿宋" w:cs="仿宋_GB2312"/>
          <w:szCs w:val="32"/>
        </w:rPr>
        <w:t>截至2019年末，本部门机关及所属单位共有车辆3辆；单价50万元以上的通用设备0台（套）；单价100万元以上的专用设备0台（套）。201</w:t>
      </w:r>
      <w:r>
        <w:rPr>
          <w:rFonts w:ascii="仿宋" w:hAnsi="仿宋" w:eastAsia="仿宋" w:cs="仿宋_GB2312"/>
          <w:szCs w:val="32"/>
        </w:rPr>
        <w:t>9</w:t>
      </w:r>
      <w:r>
        <w:rPr>
          <w:rFonts w:hint="eastAsia" w:ascii="仿宋" w:hAnsi="仿宋" w:eastAsia="仿宋" w:cs="仿宋_GB2312"/>
          <w:szCs w:val="32"/>
        </w:rPr>
        <w:t>年当年购置车辆1辆；购置单价50万元以上的通用设备0台（套）；购置单价100万元以上的专用设备0台（套）。</w:t>
      </w:r>
    </w:p>
    <w:p>
      <w:pPr>
        <w:spacing w:line="560" w:lineRule="exact"/>
        <w:ind w:firstLine="640"/>
        <w:rPr>
          <w:rFonts w:ascii="仿宋_GB2312" w:hAnsi="仿宋_GB2312" w:eastAsia="仿宋_GB2312" w:cs="仿宋_GB2312"/>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spacing w:line="560" w:lineRule="exact"/>
        <w:ind w:firstLine="640" w:firstLineChars="200"/>
        <w:jc w:val="left"/>
        <w:rPr>
          <w:rFonts w:ascii="仿宋" w:hAnsi="仿宋" w:eastAsia="仿宋" w:cs="仿宋_GB2312"/>
          <w:szCs w:val="32"/>
        </w:rPr>
      </w:pPr>
      <w:r>
        <w:rPr>
          <w:rFonts w:hint="eastAsia" w:ascii="仿宋" w:hAnsi="仿宋" w:eastAsia="仿宋" w:cs="仿宋_GB2312"/>
          <w:szCs w:val="32"/>
        </w:rPr>
        <w:t>文字说明。专业名词解释可由部门根据业务内容等自行选择。</w:t>
      </w:r>
    </w:p>
    <w:p>
      <w:pPr>
        <w:spacing w:line="560" w:lineRule="exact"/>
        <w:ind w:firstLine="643" w:firstLineChars="200"/>
        <w:rPr>
          <w:rFonts w:ascii="仿宋" w:hAnsi="仿宋" w:eastAsia="仿宋" w:cs="仿宋_GB2312"/>
          <w:szCs w:val="32"/>
        </w:rPr>
      </w:pPr>
      <w:r>
        <w:rPr>
          <w:rFonts w:hint="eastAsia" w:ascii="仿宋" w:hAnsi="仿宋" w:eastAsia="仿宋" w:cs="仿宋_GB2312"/>
          <w:b/>
          <w:bCs/>
          <w:szCs w:val="32"/>
        </w:rPr>
        <w:t>1.基本支出</w:t>
      </w:r>
      <w:r>
        <w:rPr>
          <w:rFonts w:hint="eastAsia" w:ascii="仿宋" w:hAnsi="仿宋" w:eastAsia="仿宋" w:cs="仿宋_GB2312"/>
          <w:szCs w:val="32"/>
        </w:rPr>
        <w:t>：指为保障机构正常运转、完成日常工作任务而发生的各项支出。</w:t>
      </w:r>
    </w:p>
    <w:p>
      <w:pPr>
        <w:spacing w:line="560" w:lineRule="exact"/>
        <w:ind w:firstLine="643" w:firstLineChars="200"/>
        <w:rPr>
          <w:rFonts w:ascii="仿宋" w:hAnsi="仿宋" w:eastAsia="仿宋" w:cs="仿宋_GB2312"/>
          <w:szCs w:val="32"/>
        </w:rPr>
      </w:pPr>
      <w:r>
        <w:rPr>
          <w:rFonts w:hint="eastAsia" w:ascii="仿宋" w:hAnsi="仿宋" w:eastAsia="仿宋" w:cs="仿宋_GB2312"/>
          <w:b/>
          <w:bCs/>
          <w:szCs w:val="32"/>
        </w:rPr>
        <w:t>2.项目支出</w:t>
      </w:r>
      <w:r>
        <w:rPr>
          <w:rFonts w:hint="eastAsia" w:ascii="仿宋" w:hAnsi="仿宋" w:eastAsia="仿宋" w:cs="仿宋_GB2312"/>
          <w:szCs w:val="32"/>
        </w:rPr>
        <w:t>：指单位为完成特定的行政工作任务或事业发展目标所发生的各项支出。</w:t>
      </w:r>
    </w:p>
    <w:p>
      <w:pPr>
        <w:spacing w:line="560" w:lineRule="exact"/>
        <w:ind w:firstLine="640"/>
        <w:rPr>
          <w:rFonts w:ascii="仿宋" w:hAnsi="仿宋" w:eastAsia="仿宋" w:cs="仿宋_GB2312"/>
          <w:szCs w:val="32"/>
        </w:rPr>
      </w:pPr>
      <w:r>
        <w:rPr>
          <w:rFonts w:hint="eastAsia" w:ascii="仿宋" w:hAnsi="仿宋" w:eastAsia="仿宋" w:cs="仿宋_GB2312"/>
          <w:b/>
          <w:bCs/>
          <w:szCs w:val="32"/>
        </w:rPr>
        <w:t>3.“三公”经费</w:t>
      </w:r>
      <w:r>
        <w:rPr>
          <w:rFonts w:hint="eastAsia" w:ascii="仿宋" w:hAnsi="仿宋" w:eastAsia="仿宋" w:cs="仿宋_GB2312"/>
          <w:szCs w:val="32"/>
        </w:rPr>
        <w:t>：指部门使用一般公共预算财政拨款安排的因公出国（境）费、公务用车购置及运行费和公务接待费支出。</w:t>
      </w:r>
    </w:p>
    <w:p>
      <w:pPr>
        <w:spacing w:line="560" w:lineRule="exact"/>
        <w:ind w:firstLine="640"/>
        <w:rPr>
          <w:rFonts w:ascii="仿宋" w:hAnsi="仿宋" w:eastAsia="仿宋" w:cs="仿宋_GB2312"/>
          <w:szCs w:val="32"/>
        </w:rPr>
      </w:pPr>
      <w:r>
        <w:rPr>
          <w:rFonts w:hint="eastAsia" w:ascii="仿宋" w:hAnsi="仿宋" w:eastAsia="仿宋" w:cs="仿宋_GB2312"/>
          <w:b/>
          <w:bCs/>
          <w:szCs w:val="32"/>
        </w:rPr>
        <w:t>4.财政拨款收入</w:t>
      </w:r>
      <w:r>
        <w:rPr>
          <w:rFonts w:hint="eastAsia" w:ascii="仿宋" w:hAnsi="仿宋" w:eastAsia="仿宋" w:cs="仿宋_GB2312"/>
          <w:szCs w:val="32"/>
        </w:rPr>
        <w:t>：指本级财政当年拨付的资金。</w:t>
      </w:r>
    </w:p>
    <w:p>
      <w:pPr>
        <w:spacing w:line="560" w:lineRule="exact"/>
        <w:ind w:firstLine="640"/>
        <w:rPr>
          <w:rFonts w:ascii="仿宋" w:hAnsi="仿宋" w:eastAsia="仿宋"/>
          <w:bCs/>
          <w:szCs w:val="32"/>
        </w:rPr>
      </w:pPr>
      <w:r>
        <w:rPr>
          <w:rFonts w:hint="eastAsia" w:ascii="仿宋" w:hAnsi="仿宋" w:eastAsia="仿宋" w:cs="仿宋_GB2312"/>
          <w:b/>
          <w:bCs/>
          <w:szCs w:val="32"/>
        </w:rPr>
        <w:t>5.调整预算数：</w:t>
      </w:r>
      <w:r>
        <w:rPr>
          <w:rFonts w:hint="eastAsia" w:ascii="仿宋" w:hAnsi="仿宋" w:eastAsia="仿宋"/>
          <w:bCs/>
          <w:szCs w:val="32"/>
        </w:rPr>
        <w:t>填列经调整后的全年预算数，包括年初预算数和预算调增调减数，即：调整预算数＝年初预算数＋预算调增数－预算调减数。</w:t>
      </w:r>
    </w:p>
    <w:p>
      <w:pPr>
        <w:ind w:firstLine="640" w:firstLineChars="200"/>
        <w:rPr>
          <w:rFonts w:ascii="仿宋" w:hAnsi="仿宋" w:eastAsia="仿宋"/>
        </w:rPr>
      </w:pPr>
    </w:p>
    <w:sectPr>
      <w:pgSz w:w="11906" w:h="16838"/>
      <w:pgMar w:top="720" w:right="720" w:bottom="720" w:left="72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000000"/>
    <w:rsid w:val="09DF4537"/>
    <w:rsid w:val="657D3FF3"/>
    <w:rsid w:val="7D9D7E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link w:val="12"/>
    <w:uiPriority w:val="0"/>
    <w:rPr>
      <w:rFonts w:ascii="宋体" w:hAnsi="Courier New" w:eastAsia="宋体"/>
      <w:sz w:val="21"/>
    </w:rPr>
  </w:style>
  <w:style w:type="paragraph" w:styleId="3">
    <w:name w:val="Balloon Text"/>
    <w:basedOn w:val="1"/>
    <w:link w:val="21"/>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paragraph" w:customStyle="1" w:styleId="10">
    <w:name w:val="List Paragraph"/>
    <w:basedOn w:val="1"/>
    <w:qFormat/>
    <w:uiPriority w:val="34"/>
    <w:pPr>
      <w:ind w:firstLine="420" w:firstLineChars="200"/>
    </w:pPr>
  </w:style>
  <w:style w:type="character" w:customStyle="1" w:styleId="11">
    <w:name w:val="页眉 Char"/>
    <w:basedOn w:val="8"/>
    <w:link w:val="5"/>
    <w:semiHidden/>
    <w:uiPriority w:val="99"/>
    <w:rPr>
      <w:rFonts w:ascii="Calibri" w:hAnsi="Calibri" w:eastAsia="方正仿宋简体" w:cs="Times New Roman"/>
      <w:sz w:val="18"/>
      <w:szCs w:val="18"/>
    </w:rPr>
  </w:style>
  <w:style w:type="character" w:customStyle="1" w:styleId="12">
    <w:name w:val="纯文本 Char"/>
    <w:basedOn w:val="8"/>
    <w:link w:val="2"/>
    <w:uiPriority w:val="0"/>
    <w:rPr>
      <w:rFonts w:ascii="宋体" w:hAnsi="Courier New" w:eastAsia="宋体" w:cs="Times New Roman"/>
      <w:szCs w:val="20"/>
    </w:rPr>
  </w:style>
  <w:style w:type="character" w:customStyle="1" w:styleId="13">
    <w:name w:val="页脚 Char"/>
    <w:basedOn w:val="8"/>
    <w:link w:val="4"/>
    <w:uiPriority w:val="0"/>
    <w:rPr>
      <w:rFonts w:ascii="Calibri" w:hAnsi="Calibri" w:eastAsia="方正仿宋简体" w:cs="Times New Roman"/>
      <w:sz w:val="18"/>
      <w:szCs w:val="20"/>
    </w:rPr>
  </w:style>
  <w:style w:type="character" w:customStyle="1" w:styleId="14">
    <w:name w:val="font11"/>
    <w:basedOn w:val="8"/>
    <w:qFormat/>
    <w:uiPriority w:val="0"/>
    <w:rPr>
      <w:rFonts w:hint="eastAsia" w:ascii="宋体" w:hAnsi="宋体" w:eastAsia="宋体" w:cs="宋体"/>
      <w:b/>
      <w:color w:val="000000"/>
      <w:sz w:val="32"/>
      <w:szCs w:val="32"/>
      <w:u w:val="none"/>
    </w:rPr>
  </w:style>
  <w:style w:type="character" w:customStyle="1" w:styleId="15">
    <w:name w:val="font91"/>
    <w:basedOn w:val="8"/>
    <w:qFormat/>
    <w:uiPriority w:val="0"/>
    <w:rPr>
      <w:rFonts w:hint="eastAsia" w:ascii="宋体" w:hAnsi="宋体" w:eastAsia="宋体" w:cs="宋体"/>
      <w:color w:val="000000"/>
      <w:sz w:val="32"/>
      <w:szCs w:val="32"/>
      <w:u w:val="none"/>
    </w:rPr>
  </w:style>
  <w:style w:type="character" w:customStyle="1" w:styleId="16">
    <w:name w:val="font51"/>
    <w:basedOn w:val="8"/>
    <w:qFormat/>
    <w:uiPriority w:val="0"/>
    <w:rPr>
      <w:rFonts w:hint="eastAsia" w:ascii="宋体" w:hAnsi="宋体" w:eastAsia="宋体" w:cs="宋体"/>
      <w:color w:val="000000"/>
      <w:sz w:val="20"/>
      <w:szCs w:val="20"/>
      <w:u w:val="none"/>
    </w:rPr>
  </w:style>
  <w:style w:type="character" w:customStyle="1" w:styleId="17">
    <w:name w:val="font101"/>
    <w:basedOn w:val="8"/>
    <w:qFormat/>
    <w:uiPriority w:val="0"/>
    <w:rPr>
      <w:rFonts w:hint="eastAsia" w:ascii="宋体" w:hAnsi="宋体" w:eastAsia="宋体" w:cs="宋体"/>
      <w:color w:val="000000"/>
      <w:sz w:val="20"/>
      <w:szCs w:val="20"/>
      <w:u w:val="none"/>
    </w:rPr>
  </w:style>
  <w:style w:type="character" w:customStyle="1" w:styleId="18">
    <w:name w:val="font21"/>
    <w:basedOn w:val="8"/>
    <w:qFormat/>
    <w:uiPriority w:val="0"/>
    <w:rPr>
      <w:rFonts w:hint="eastAsia" w:ascii="宋体" w:hAnsi="宋体" w:eastAsia="宋体" w:cs="宋体"/>
      <w:color w:val="000000"/>
      <w:sz w:val="18"/>
      <w:szCs w:val="18"/>
      <w:u w:val="none"/>
    </w:rPr>
  </w:style>
  <w:style w:type="character" w:customStyle="1" w:styleId="19">
    <w:name w:val="font112"/>
    <w:basedOn w:val="8"/>
    <w:qFormat/>
    <w:uiPriority w:val="0"/>
    <w:rPr>
      <w:rFonts w:hint="eastAsia" w:ascii="宋体" w:hAnsi="宋体" w:eastAsia="宋体" w:cs="宋体"/>
      <w:color w:val="000000"/>
      <w:sz w:val="20"/>
      <w:szCs w:val="20"/>
      <w:u w:val="none"/>
    </w:rPr>
  </w:style>
  <w:style w:type="character" w:customStyle="1" w:styleId="20">
    <w:name w:val="font61"/>
    <w:basedOn w:val="8"/>
    <w:qFormat/>
    <w:uiPriority w:val="0"/>
    <w:rPr>
      <w:rFonts w:hint="eastAsia" w:ascii="宋体" w:hAnsi="宋体" w:eastAsia="宋体" w:cs="宋体"/>
      <w:color w:val="000000"/>
      <w:sz w:val="24"/>
      <w:szCs w:val="24"/>
      <w:u w:val="none"/>
    </w:rPr>
  </w:style>
  <w:style w:type="character" w:customStyle="1" w:styleId="21">
    <w:name w:val="批注框文本 Char"/>
    <w:basedOn w:val="8"/>
    <w:link w:val="3"/>
    <w:uiPriority w:val="0"/>
    <w:rPr>
      <w:rFonts w:ascii="Calibri" w:hAnsi="Calibri" w:eastAsia="方正仿宋简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barChart>
        <c:barDir val="col"/>
        <c:grouping val="stacked"/>
        <c:varyColors val="0"/>
        <c:ser>
          <c:idx val="0"/>
          <c:order val="0"/>
          <c:tx>
            <c:strRef>
              <c:f>Sheet1!$B$1</c:f>
              <c:strCache>
                <c:ptCount val="1"/>
                <c:pt idx="0">
                  <c:v>收入</c:v>
                </c:pt>
              </c:strCache>
            </c:strRef>
          </c:tx>
          <c:invertIfNegative val="0"/>
          <c:dLbls>
            <c:delete val="1"/>
          </c:dLbls>
          <c:cat>
            <c:strRef>
              <c:f>Sheet1!$A$2:$A$3</c:f>
              <c:strCache>
                <c:ptCount val="2"/>
                <c:pt idx="0">
                  <c:v>上年度</c:v>
                </c:pt>
                <c:pt idx="1">
                  <c:v>本年度</c:v>
                </c:pt>
              </c:strCache>
            </c:strRef>
          </c:cat>
          <c:val>
            <c:numRef>
              <c:f>Sheet1!$B$2:$B$3</c:f>
              <c:numCache>
                <c:formatCode>General</c:formatCode>
                <c:ptCount val="2"/>
                <c:pt idx="0">
                  <c:v>101.1</c:v>
                </c:pt>
                <c:pt idx="1">
                  <c:v>137.83</c:v>
                </c:pt>
              </c:numCache>
            </c:numRef>
          </c:val>
        </c:ser>
        <c:ser>
          <c:idx val="1"/>
          <c:order val="1"/>
          <c:tx>
            <c:strRef>
              <c:f>Sheet1!$C$1</c:f>
              <c:strCache>
                <c:ptCount val="1"/>
                <c:pt idx="0">
                  <c:v>支出</c:v>
                </c:pt>
              </c:strCache>
            </c:strRef>
          </c:tx>
          <c:invertIfNegative val="0"/>
          <c:dLbls>
            <c:delete val="1"/>
          </c:dLbls>
          <c:cat>
            <c:strRef>
              <c:f>Sheet1!$A$2:$A$3</c:f>
              <c:strCache>
                <c:ptCount val="2"/>
                <c:pt idx="0">
                  <c:v>上年度</c:v>
                </c:pt>
                <c:pt idx="1">
                  <c:v>本年度</c:v>
                </c:pt>
              </c:strCache>
            </c:strRef>
          </c:cat>
          <c:val>
            <c:numRef>
              <c:f>Sheet1!$C$2:$C$3</c:f>
              <c:numCache>
                <c:formatCode>General</c:formatCode>
                <c:ptCount val="2"/>
                <c:pt idx="0">
                  <c:v>116.1</c:v>
                </c:pt>
                <c:pt idx="1">
                  <c:v>84.84</c:v>
                </c:pt>
              </c:numCache>
            </c:numRef>
          </c:val>
        </c:ser>
        <c:dLbls>
          <c:showLegendKey val="0"/>
          <c:showVal val="0"/>
          <c:showCatName val="0"/>
          <c:showSerName val="0"/>
          <c:showPercent val="0"/>
          <c:showBubbleSize val="0"/>
        </c:dLbls>
        <c:gapWidth val="55"/>
        <c:overlap val="100"/>
        <c:axId val="177583616"/>
        <c:axId val="177585152"/>
      </c:barChart>
      <c:catAx>
        <c:axId val="177583616"/>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585152"/>
        <c:crosses val="autoZero"/>
        <c:auto val="1"/>
        <c:lblAlgn val="ctr"/>
        <c:lblOffset val="100"/>
        <c:noMultiLvlLbl val="0"/>
      </c:catAx>
      <c:valAx>
        <c:axId val="177585152"/>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583616"/>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noFill/>
    <a:ln w="0"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b="0"/>
              <a:t>收入决算情况</a:t>
            </a:r>
            <a:endParaRPr lang="zh-CN" altLang="en-US" b="0"/>
          </a:p>
        </c:rich>
      </c:tx>
      <c:layout/>
      <c:overlay val="0"/>
    </c:title>
    <c:autoTitleDeleted val="0"/>
    <c:plotArea>
      <c:layout/>
      <c:barChart>
        <c:barDir val="col"/>
        <c:grouping val="clustered"/>
        <c:varyColors val="0"/>
        <c:ser>
          <c:idx val="0"/>
          <c:order val="0"/>
          <c:tx>
            <c:strRef>
              <c:f>Sheet1!$B$1</c:f>
              <c:strCache>
                <c:ptCount val="1"/>
                <c:pt idx="0">
                  <c:v>收入决算</c:v>
                </c:pt>
              </c:strCache>
            </c:strRef>
          </c:tx>
          <c:invertIfNegative val="0"/>
          <c:dLbls>
            <c:delete val="1"/>
          </c:dLbls>
          <c:cat>
            <c:strRef>
              <c:f>Sheet1!$A$2:$A$5</c:f>
              <c:strCache>
                <c:ptCount val="4"/>
                <c:pt idx="0">
                  <c:v>财政拨款</c:v>
                </c:pt>
                <c:pt idx="1">
                  <c:v>事业收入</c:v>
                </c:pt>
                <c:pt idx="2">
                  <c:v>经营收入</c:v>
                </c:pt>
                <c:pt idx="3">
                  <c:v>其他收入</c:v>
                </c:pt>
              </c:strCache>
            </c:strRef>
          </c:cat>
          <c:val>
            <c:numRef>
              <c:f>Sheet1!$B$2:$B$5</c:f>
              <c:numCache>
                <c:formatCode>General</c:formatCode>
                <c:ptCount val="4"/>
                <c:pt idx="0">
                  <c:v>137.83</c:v>
                </c:pt>
                <c:pt idx="1">
                  <c:v>0</c:v>
                </c:pt>
                <c:pt idx="2">
                  <c:v>0</c:v>
                </c:pt>
                <c:pt idx="3">
                  <c:v>0</c:v>
                </c:pt>
              </c:numCache>
            </c:numRef>
          </c:val>
        </c:ser>
        <c:dLbls>
          <c:showLegendKey val="0"/>
          <c:showVal val="0"/>
          <c:showCatName val="0"/>
          <c:showSerName val="0"/>
          <c:showPercent val="0"/>
          <c:showBubbleSize val="0"/>
        </c:dLbls>
        <c:gapWidth val="100"/>
        <c:axId val="183625984"/>
        <c:axId val="395874304"/>
      </c:barChart>
      <c:catAx>
        <c:axId val="18362598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5874304"/>
        <c:crosses val="autoZero"/>
        <c:auto val="1"/>
        <c:lblAlgn val="ctr"/>
        <c:lblOffset val="100"/>
        <c:noMultiLvlLbl val="0"/>
      </c:catAx>
      <c:valAx>
        <c:axId val="3958743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362598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b="0"/>
              <a:t>支出决算情况</a:t>
            </a:r>
            <a:endParaRPr lang="zh-CN" altLang="en-US" b="0"/>
          </a:p>
        </c:rich>
      </c:tx>
      <c:layout/>
      <c:overlay val="0"/>
    </c:title>
    <c:autoTitleDeleted val="0"/>
    <c:plotArea>
      <c:layout/>
      <c:pieChart>
        <c:varyColors val="1"/>
        <c:ser>
          <c:idx val="0"/>
          <c:order val="0"/>
          <c:tx>
            <c:strRef>
              <c:f>Sheet1!$B$1</c:f>
              <c:strCache>
                <c:ptCount val="1"/>
                <c:pt idx="0">
                  <c:v>支出决算</c:v>
                </c:pt>
              </c:strCache>
            </c:strRef>
          </c:tx>
          <c:explosion val="25"/>
          <c:dPt>
            <c:idx val="0"/>
            <c:bubble3D val="0"/>
          </c:dPt>
          <c:dPt>
            <c:idx val="1"/>
            <c:bubble3D val="0"/>
          </c:dPt>
          <c:dPt>
            <c:idx val="2"/>
            <c:bubble3D val="0"/>
          </c:dPt>
          <c:dLbls>
            <c:delete val="1"/>
          </c:dLbls>
          <c:cat>
            <c:strRef>
              <c:f>Sheet1!$A$2:$A$4</c:f>
              <c:strCache>
                <c:ptCount val="3"/>
                <c:pt idx="0">
                  <c:v>基本支出</c:v>
                </c:pt>
                <c:pt idx="1">
                  <c:v>项目支出</c:v>
                </c:pt>
                <c:pt idx="2">
                  <c:v>经营支出 </c:v>
                </c:pt>
              </c:strCache>
            </c:strRef>
          </c:cat>
          <c:val>
            <c:numRef>
              <c:f>Sheet1!$B$2:$B$4</c:f>
              <c:numCache>
                <c:formatCode>General</c:formatCode>
                <c:ptCount val="3"/>
                <c:pt idx="0">
                  <c:v>69.28</c:v>
                </c:pt>
                <c:pt idx="1">
                  <c:v>15.56</c:v>
                </c:pt>
                <c:pt idx="2">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上年度</c:v>
                </c:pt>
                <c:pt idx="1">
                  <c:v>本年度</c:v>
                </c:pt>
              </c:strCache>
            </c:strRef>
          </c:cat>
          <c:val>
            <c:numRef>
              <c:f>Sheet1!$B$2:$B$3</c:f>
              <c:numCache>
                <c:formatCode>General</c:formatCode>
                <c:ptCount val="2"/>
                <c:pt idx="0">
                  <c:v>101.1</c:v>
                </c:pt>
                <c:pt idx="1">
                  <c:v>137.83</c:v>
                </c:pt>
              </c:numCache>
            </c:numRef>
          </c:val>
        </c:ser>
        <c:ser>
          <c:idx val="1"/>
          <c:order val="1"/>
          <c:tx>
            <c:strRef>
              <c:f>Sheet1!$C$1</c:f>
              <c:strCache>
                <c:ptCount val="1"/>
                <c:pt idx="0">
                  <c:v>支出</c:v>
                </c:pt>
              </c:strCache>
            </c:strRef>
          </c:tx>
          <c:invertIfNegative val="0"/>
          <c:dLbls>
            <c:delete val="1"/>
          </c:dLbls>
          <c:cat>
            <c:strRef>
              <c:f>Sheet1!$A$2:$A$3</c:f>
              <c:strCache>
                <c:ptCount val="2"/>
                <c:pt idx="0">
                  <c:v>上年度</c:v>
                </c:pt>
                <c:pt idx="1">
                  <c:v>本年度</c:v>
                </c:pt>
              </c:strCache>
            </c:strRef>
          </c:cat>
          <c:val>
            <c:numRef>
              <c:f>Sheet1!$C$2:$C$3</c:f>
              <c:numCache>
                <c:formatCode>General</c:formatCode>
                <c:ptCount val="2"/>
                <c:pt idx="0">
                  <c:v>116.1</c:v>
                </c:pt>
                <c:pt idx="1">
                  <c:v>84.84</c:v>
                </c:pt>
              </c:numCache>
            </c:numRef>
          </c:val>
        </c:ser>
        <c:dLbls>
          <c:showLegendKey val="0"/>
          <c:showVal val="0"/>
          <c:showCatName val="0"/>
          <c:showSerName val="0"/>
          <c:showPercent val="0"/>
          <c:showBubbleSize val="0"/>
        </c:dLbls>
        <c:gapWidth val="55"/>
        <c:axId val="395852032"/>
        <c:axId val="395862016"/>
      </c:barChart>
      <c:catAx>
        <c:axId val="395852032"/>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5862016"/>
        <c:crosses val="autoZero"/>
        <c:auto val="1"/>
        <c:lblAlgn val="ctr"/>
        <c:lblOffset val="100"/>
        <c:noMultiLvlLbl val="0"/>
      </c:catAx>
      <c:valAx>
        <c:axId val="395862016"/>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585203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noFill/>
    <a:ln w="0" cap="flat" cmpd="sng" algn="ctr">
      <a:noFill/>
      <a:prstDash val="solid"/>
      <a:round/>
    </a:ln>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0" vertOverflow="ellipsis" vert="horz" wrap="square" anchor="ctr" anchorCtr="1"/>
          <a:lstStyle/>
          <a:p>
            <a:pPr>
              <a:defRPr lang="zh-CN" sz="1800" b="0" i="0" u="none" strike="noStrike" kern="1200" baseline="0">
                <a:solidFill>
                  <a:schemeClr val="tx1"/>
                </a:solidFill>
                <a:latin typeface="+mn-lt"/>
                <a:ea typeface="+mn-ea"/>
                <a:cs typeface="+mn-cs"/>
              </a:defRPr>
            </a:pPr>
            <a:r>
              <a:rPr lang="zh-CN" altLang="en-US" b="0"/>
              <a:t>财政拨款支出</a:t>
            </a:r>
            <a:endParaRPr lang="zh-CN" altLang="en-US" b="0"/>
          </a:p>
        </c:rich>
      </c:tx>
      <c:layout/>
      <c:overlay val="0"/>
    </c:title>
    <c:autoTitleDeleted val="0"/>
    <c:plotArea>
      <c:layout/>
      <c:barChart>
        <c:barDir val="col"/>
        <c:grouping val="stacked"/>
        <c:varyColors val="0"/>
        <c:ser>
          <c:idx val="0"/>
          <c:order val="0"/>
          <c:tx>
            <c:strRef>
              <c:f>Sheet1!$B$1</c:f>
              <c:strCache>
                <c:ptCount val="1"/>
                <c:pt idx="0">
                  <c:v>财政拨款</c:v>
                </c:pt>
              </c:strCache>
            </c:strRef>
          </c:tx>
          <c:invertIfNegative val="0"/>
          <c:dLbls>
            <c:delete val="1"/>
          </c:dLbls>
          <c:cat>
            <c:strRef>
              <c:f>Sheet1!$A$2:$A$3</c:f>
              <c:strCache>
                <c:ptCount val="2"/>
                <c:pt idx="0">
                  <c:v>上年度</c:v>
                </c:pt>
                <c:pt idx="1">
                  <c:v>本年度</c:v>
                </c:pt>
              </c:strCache>
            </c:strRef>
          </c:cat>
          <c:val>
            <c:numRef>
              <c:f>Sheet1!$B$2:$B$3</c:f>
              <c:numCache>
                <c:formatCode>General</c:formatCode>
                <c:ptCount val="2"/>
                <c:pt idx="0">
                  <c:v>4.3</c:v>
                </c:pt>
                <c:pt idx="1">
                  <c:v>2.5</c:v>
                </c:pt>
              </c:numCache>
            </c:numRef>
          </c:val>
        </c:ser>
        <c:dLbls>
          <c:showLegendKey val="0"/>
          <c:showVal val="0"/>
          <c:showCatName val="0"/>
          <c:showSerName val="0"/>
          <c:showPercent val="0"/>
          <c:showBubbleSize val="0"/>
        </c:dLbls>
        <c:gapWidth val="150"/>
        <c:overlap val="100"/>
        <c:axId val="395869568"/>
        <c:axId val="469681280"/>
      </c:barChart>
      <c:catAx>
        <c:axId val="39586956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69681280"/>
        <c:crosses val="autoZero"/>
        <c:auto val="1"/>
        <c:lblAlgn val="ctr"/>
        <c:lblOffset val="100"/>
        <c:noMultiLvlLbl val="0"/>
      </c:catAx>
      <c:valAx>
        <c:axId val="4696812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5869568"/>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2456</Words>
  <Characters>14005</Characters>
  <Lines>116</Lines>
  <Paragraphs>32</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2020-10-21T02:10:00Z</dcterms:created>
  <dc:creator>PC</dc:creator>
  <cp:lastModifiedBy>zhouqin</cp:lastModifiedBy>
  <cp:lastPrinted>2020-10-23T02:42:00Z</cp:lastPrinted>
  <dcterms:modified xsi:type="dcterms:W3CDTF">2024-01-31T08:47:07Z</dcterms:modified>
  <dc:title>阎良区救助管理站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BFED47DB6E14438DA7F00D7062F6E4B6_12</vt:lpwstr>
  </property>
</Properties>
</file>