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西安市阎良区振兴街道办事处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2019年信息公开工作年度报告</w:t>
      </w:r>
    </w:p>
    <w:p>
      <w:pPr>
        <w:jc w:val="center"/>
        <w:rPr>
          <w:color w:val="666666"/>
        </w:rPr>
      </w:pPr>
    </w:p>
    <w:p>
      <w:pPr>
        <w:jc w:val="center"/>
        <w:rPr>
          <w:color w:val="666666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一、总体情况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过去的一年，振兴街道严格按照《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中华人民共和国政府信息公开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条例</w:t>
      </w:r>
      <w:r>
        <w:rPr>
          <w:rFonts w:hint="eastAsia" w:ascii="仿宋_GB2312" w:eastAsia="仿宋_GB2312"/>
          <w:sz w:val="32"/>
          <w:szCs w:val="32"/>
        </w:rPr>
        <w:t>》和省市有关政府信息公开的工作要求，不断强化组织领导，完善制度建设，提升信息质量，细化公开内容，拓展公开途径。依托政府门户网站，利用信息公开平台，在党建、征地拆迁、项目保障、城市治理、便民服务、安全生产、人居环境、生态环保等方面对街道工作进行了全方位的信息公开。经统计，我办在区政府网站信息公开129条。在信息内容方面不断向公开“三大领域”信息，公开与群众利益明确相关的事项靠拢，力求改进创新。在信息维护方面，按照要求每周及时更新政务动态，完成工作要求。</w:t>
      </w:r>
    </w:p>
    <w:tbl>
      <w:tblPr>
        <w:tblStyle w:val="6"/>
        <w:tblpPr w:leftFromText="180" w:rightFromText="180" w:vertAnchor="text" w:horzAnchor="page" w:tblpX="977" w:tblpY="1407"/>
        <w:tblOverlap w:val="never"/>
        <w:tblW w:w="10005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005" w:type="dxa"/>
            <w:shd w:val="clear" w:color="auto" w:fill="FFFFFF"/>
            <w:vAlign w:val="center"/>
          </w:tcPr>
          <w:p>
            <w:pPr>
              <w:pStyle w:val="5"/>
              <w:widowControl/>
              <w:spacing w:before="0" w:beforeAutospacing="0" w:after="0" w:afterAutospacing="0" w:line="432" w:lineRule="atLeast"/>
              <w:ind w:firstLine="960" w:firstLineChars="300"/>
              <w:jc w:val="both"/>
              <w:rPr>
                <w:rFonts w:ascii="黑体" w:hAnsi="黑体" w:eastAsia="黑体" w:cstheme="minorBidi"/>
                <w:kern w:val="2"/>
                <w:sz w:val="32"/>
                <w:szCs w:val="32"/>
              </w:rPr>
            </w:pPr>
            <w:r>
              <w:rPr>
                <w:rFonts w:hint="eastAsia" w:ascii="黑体" w:hAnsi="黑体" w:eastAsia="黑体" w:cstheme="minorBidi"/>
                <w:kern w:val="2"/>
                <w:sz w:val="32"/>
                <w:szCs w:val="32"/>
              </w:rPr>
              <w:t>二、主动公开政府信息情况</w:t>
            </w:r>
          </w:p>
          <w:tbl>
            <w:tblPr>
              <w:tblStyle w:val="6"/>
              <w:tblW w:w="8140" w:type="dxa"/>
              <w:jc w:val="center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490"/>
              <w:gridCol w:w="2079"/>
              <w:gridCol w:w="1690"/>
              <w:gridCol w:w="1881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95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第二十条第（一）项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241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本年新</w:t>
                  </w: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br w:type="textWrapping"/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制作数量</w:t>
                  </w:r>
                </w:p>
              </w:tc>
              <w:tc>
                <w:tcPr>
                  <w:tcW w:w="169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本年新</w:t>
                  </w: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br w:type="textWrapping"/>
                  </w: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公开数量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对外公开总数量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23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规章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　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71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规范性文件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　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80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第二十条第（五）项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37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上一年项目数量</w:t>
                  </w:r>
                </w:p>
              </w:tc>
              <w:tc>
                <w:tcPr>
                  <w:tcW w:w="169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本年增/减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处理决定数量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28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行政许可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3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2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0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其他对外管理服务事项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6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第二十条第（六）项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634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上一年项目数量</w:t>
                  </w:r>
                </w:p>
              </w:tc>
              <w:tc>
                <w:tcPr>
                  <w:tcW w:w="169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本年增/减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处理决定数量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30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行政处罚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0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09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行政强制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8</w:t>
                  </w:r>
                </w:p>
              </w:tc>
              <w:tc>
                <w:tcPr>
                  <w:tcW w:w="16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0</w:t>
                  </w:r>
                </w:p>
              </w:tc>
              <w:tc>
                <w:tcPr>
                  <w:tcW w:w="188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8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74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第二十条第（八）项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70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上一年项目数量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000000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本年增/减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51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行政事业性收费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　0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000000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0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76" w:hRule="atLeast"/>
                <w:jc w:val="center"/>
              </w:trPr>
              <w:tc>
                <w:tcPr>
                  <w:tcW w:w="8140" w:type="dxa"/>
                  <w:gridSpan w:val="4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C6D9F1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第二十条第（九）项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85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信息内容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采购项目数量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000000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采购总金额</w:t>
                  </w:r>
                </w:p>
              </w:tc>
            </w:tr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39" w:hRule="atLeast"/>
                <w:jc w:val="center"/>
              </w:trPr>
              <w:tc>
                <w:tcPr>
                  <w:tcW w:w="2490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黑体" w:hAnsi="黑体" w:eastAsia="黑体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政府集中采购</w:t>
                  </w:r>
                </w:p>
              </w:tc>
              <w:tc>
                <w:tcPr>
                  <w:tcW w:w="2079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400" w:lineRule="exact"/>
                    <w:jc w:val="left"/>
                    <w:rPr>
                      <w:rFonts w:ascii="黑体" w:hAnsi="黑体" w:eastAsia="黑体"/>
                      <w:sz w:val="32"/>
                      <w:szCs w:val="32"/>
                    </w:rPr>
                  </w:pPr>
                  <w:r>
                    <w:rPr>
                      <w:rFonts w:hint="eastAsia" w:ascii="黑体" w:hAnsi="黑体" w:eastAsia="黑体"/>
                      <w:sz w:val="32"/>
                      <w:szCs w:val="32"/>
                    </w:rPr>
                    <w:t>　7</w:t>
                  </w:r>
                </w:p>
              </w:tc>
              <w:tc>
                <w:tcPr>
                  <w:tcW w:w="3571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000000" w:sz="8" w:space="0"/>
                  </w:tcBorders>
                  <w:shd w:val="clear" w:color="auto" w:fill="auto"/>
                  <w:noWrap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400" w:lineRule="exact"/>
                    <w:rPr>
                      <w:rFonts w:ascii="黑体" w:hAnsi="黑体" w:eastAsia="黑体"/>
                      <w:sz w:val="32"/>
                      <w:szCs w:val="32"/>
                    </w:rPr>
                  </w:pPr>
                  <w:r>
                    <w:rPr>
                      <w:rFonts w:hint="eastAsia" w:ascii="黑体" w:hAnsi="黑体" w:eastAsia="黑体"/>
                      <w:sz w:val="32"/>
                      <w:szCs w:val="32"/>
                    </w:rPr>
                    <w:t>7989294元</w:t>
                  </w:r>
                </w:p>
              </w:tc>
            </w:tr>
          </w:tbl>
          <w:p>
            <w:pPr>
              <w:pStyle w:val="5"/>
              <w:widowControl/>
              <w:spacing w:before="0" w:beforeAutospacing="0" w:after="0" w:afterAutospacing="0" w:line="432" w:lineRule="atLeast"/>
              <w:ind w:firstLine="960" w:firstLineChars="300"/>
              <w:jc w:val="both"/>
              <w:rPr>
                <w:rFonts w:ascii="黑体" w:hAnsi="黑体" w:eastAsia="黑体" w:cstheme="minorBidi"/>
                <w:kern w:val="2"/>
                <w:sz w:val="32"/>
                <w:szCs w:val="32"/>
              </w:rPr>
            </w:pPr>
            <w:r>
              <w:rPr>
                <w:rFonts w:hint="eastAsia" w:ascii="黑体" w:hAnsi="黑体" w:eastAsia="黑体" w:cstheme="minorBidi"/>
                <w:kern w:val="2"/>
                <w:sz w:val="32"/>
                <w:szCs w:val="32"/>
              </w:rPr>
              <w:t>三、收到和处理政府信息公开申请情况</w:t>
            </w:r>
          </w:p>
          <w:tbl>
            <w:tblPr>
              <w:tblStyle w:val="6"/>
              <w:tblW w:w="9071" w:type="dxa"/>
              <w:jc w:val="center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94"/>
              <w:gridCol w:w="855"/>
              <w:gridCol w:w="2130"/>
              <w:gridCol w:w="825"/>
              <w:gridCol w:w="765"/>
              <w:gridCol w:w="765"/>
              <w:gridCol w:w="825"/>
              <w:gridCol w:w="990"/>
              <w:gridCol w:w="720"/>
              <w:gridCol w:w="702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479" w:type="dxa"/>
                  <w:gridSpan w:val="3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（本列数据的勾稽关系为：第一项加第二项之和，等于第三项加第四项之和）</w:t>
                  </w:r>
                </w:p>
              </w:tc>
              <w:tc>
                <w:tcPr>
                  <w:tcW w:w="5592" w:type="dxa"/>
                  <w:gridSpan w:val="7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申请人情况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479" w:type="dxa"/>
                  <w:gridSpan w:val="3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自然人</w:t>
                  </w:r>
                </w:p>
              </w:tc>
              <w:tc>
                <w:tcPr>
                  <w:tcW w:w="4065" w:type="dxa"/>
                  <w:gridSpan w:val="5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法人或其他组织</w:t>
                  </w:r>
                </w:p>
              </w:tc>
              <w:tc>
                <w:tcPr>
                  <w:tcW w:w="702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总计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71" w:hRule="atLeast"/>
                <w:jc w:val="center"/>
              </w:trPr>
              <w:tc>
                <w:tcPr>
                  <w:tcW w:w="3479" w:type="dxa"/>
                  <w:gridSpan w:val="3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2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商业企业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科研机构</w:t>
                  </w:r>
                </w:p>
              </w:tc>
              <w:tc>
                <w:tcPr>
                  <w:tcW w:w="82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社会公益组织</w:t>
                  </w:r>
                </w:p>
              </w:tc>
              <w:tc>
                <w:tcPr>
                  <w:tcW w:w="99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法律服务机构</w:t>
                  </w:r>
                </w:p>
              </w:tc>
              <w:tc>
                <w:tcPr>
                  <w:tcW w:w="72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其他</w:t>
                  </w:r>
                </w:p>
              </w:tc>
              <w:tc>
                <w:tcPr>
                  <w:tcW w:w="702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479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一、本年新收政府信息公开申请数量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479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二、上年结转政府信息公开申请数量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三、本年度办理结果</w:t>
                  </w: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（一）予以公开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702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（二）部分公开（区分处理的，只计这一情形，不计其他情形）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</w:t>
                  </w: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（三）不予公开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1.属于国家秘密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702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0 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2.其他法律行政法规禁止公开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3.危及“三安全一稳定”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4.保护第三方合法权益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5.属于三类内部事务信息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6.属于四类过程性信息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7.属于行政执法案卷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8.属于行政查询事项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（四）无法提供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1.本机关不掌握相关政府信息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2.没有现成信息需要另行制作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3.补正后申请内容仍不明确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（五）不予处理</w:t>
                  </w: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1.信访举报投诉类申请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2.重复申请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3.要求提供公开出版物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4.无正当理由大量反复申请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855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13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5.要求行政机关确认或重新出具已获取信息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（六）其他处理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49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2985" w:type="dxa"/>
                  <w:gridSpan w:val="2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（七）总计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479" w:type="dxa"/>
                  <w:gridSpan w:val="3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lef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四、结转下年度继续办理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6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82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99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702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</w:tr>
          </w:tbl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黑体" w:hAnsi="黑体" w:eastAsia="黑体" w:cstheme="minorBidi"/>
                <w:kern w:val="2"/>
                <w:sz w:val="32"/>
                <w:szCs w:val="32"/>
              </w:rPr>
            </w:pPr>
            <w:r>
              <w:rPr>
                <w:rFonts w:hint="eastAsia" w:ascii="黑体" w:hAnsi="黑体" w:eastAsia="黑体" w:cstheme="minorBidi"/>
                <w:kern w:val="2"/>
                <w:sz w:val="32"/>
                <w:szCs w:val="32"/>
              </w:rPr>
              <w:t>四、政府信息公开行政复议、行政诉讼情况</w:t>
            </w:r>
          </w:p>
          <w:tbl>
            <w:tblPr>
              <w:tblStyle w:val="6"/>
              <w:tblW w:w="9071" w:type="dxa"/>
              <w:jc w:val="center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04"/>
              <w:gridCol w:w="604"/>
              <w:gridCol w:w="604"/>
              <w:gridCol w:w="604"/>
              <w:gridCol w:w="658"/>
              <w:gridCol w:w="550"/>
              <w:gridCol w:w="605"/>
              <w:gridCol w:w="605"/>
              <w:gridCol w:w="605"/>
              <w:gridCol w:w="605"/>
              <w:gridCol w:w="605"/>
              <w:gridCol w:w="605"/>
              <w:gridCol w:w="605"/>
              <w:gridCol w:w="606"/>
              <w:gridCol w:w="606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3074" w:type="dxa"/>
                  <w:gridSpan w:val="5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行政复议</w:t>
                  </w:r>
                </w:p>
              </w:tc>
              <w:tc>
                <w:tcPr>
                  <w:tcW w:w="5997" w:type="dxa"/>
                  <w:gridSpan w:val="10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行政诉讼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604" w:type="dxa"/>
                  <w:vMerge w:val="restart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结果维持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结果纠正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其他结果</w:t>
                  </w:r>
                </w:p>
              </w:tc>
              <w:tc>
                <w:tcPr>
                  <w:tcW w:w="604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尚未审结</w:t>
                  </w:r>
                </w:p>
              </w:tc>
              <w:tc>
                <w:tcPr>
                  <w:tcW w:w="658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总计</w:t>
                  </w:r>
                </w:p>
              </w:tc>
              <w:tc>
                <w:tcPr>
                  <w:tcW w:w="2970" w:type="dxa"/>
                  <w:gridSpan w:val="5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未经复议直接起诉</w:t>
                  </w:r>
                </w:p>
              </w:tc>
              <w:tc>
                <w:tcPr>
                  <w:tcW w:w="3027" w:type="dxa"/>
                  <w:gridSpan w:val="5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复议后起诉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604" w:type="dxa"/>
                  <w:vMerge w:val="continue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04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658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结果维持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结果纠正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其他结果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尚未审结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总计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结果维持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结果纠正</w:t>
                  </w:r>
                </w:p>
              </w:tc>
              <w:tc>
                <w:tcPr>
                  <w:tcW w:w="605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其他结果</w:t>
                  </w:r>
                </w:p>
              </w:tc>
              <w:tc>
                <w:tcPr>
                  <w:tcW w:w="60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尚未审结</w:t>
                  </w:r>
                </w:p>
              </w:tc>
              <w:tc>
                <w:tcPr>
                  <w:tcW w:w="606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总计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jc w:val="center"/>
              </w:trPr>
              <w:tc>
                <w:tcPr>
                  <w:tcW w:w="604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604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65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55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0 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605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color w:val="000000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6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widowControl/>
                    <w:spacing w:line="360" w:lineRule="exact"/>
                    <w:jc w:val="center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kern w:val="0"/>
                      <w:sz w:val="32"/>
                      <w:szCs w:val="32"/>
                    </w:rPr>
                    <w:t> 0</w:t>
                  </w:r>
                </w:p>
              </w:tc>
              <w:tc>
                <w:tcPr>
                  <w:tcW w:w="606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 w:color="auto" w:fill="auto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spacing w:line="360" w:lineRule="exact"/>
                    <w:rPr>
                      <w:rFonts w:ascii="仿宋_GB2312" w:hAnsi="仿宋_GB2312" w:eastAsia="仿宋_GB2312" w:cs="仿宋_GB2312"/>
                      <w:sz w:val="32"/>
                      <w:szCs w:val="32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sz w:val="32"/>
                      <w:szCs w:val="32"/>
                    </w:rPr>
                    <w:t>0</w:t>
                  </w:r>
                </w:p>
              </w:tc>
            </w:tr>
          </w:tbl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黑体" w:hAnsi="黑体" w:eastAsia="黑体" w:cstheme="minorBidi"/>
                <w:kern w:val="2"/>
                <w:sz w:val="32"/>
                <w:szCs w:val="32"/>
              </w:rPr>
            </w:pPr>
            <w:r>
              <w:rPr>
                <w:rFonts w:hint="eastAsia" w:ascii="黑体" w:hAnsi="黑体" w:eastAsia="黑体" w:cstheme="minorBidi"/>
                <w:kern w:val="2"/>
                <w:sz w:val="32"/>
                <w:szCs w:val="32"/>
              </w:rPr>
              <w:t>五、存在的主要问题及改进情况</w:t>
            </w:r>
          </w:p>
          <w:p>
            <w:pPr>
              <w:ind w:firstLine="640" w:firstLineChars="200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201</w:t>
            </w:r>
            <w:r>
              <w:rPr>
                <w:rFonts w:ascii="仿宋_GB2312" w:eastAsia="仿宋_GB2312"/>
                <w:sz w:val="32"/>
                <w:szCs w:val="32"/>
              </w:rPr>
              <w:t>9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，振兴街道按照上级文件精神扎实开展信息公开工作，但对标上级的要求和公众的期望，还存在一些不足。一是对重大建设项目信息公开还需要持续加强。二是对医疗、扶贫、社会保障等民生密切相关信息还需要进一步加强。2020年我们将在贯彻落实国家和省市区信息公开工作要求的基础上，提高相关人员对政府信息公开条例的悉知，增强政务公开的意识。加强重点领域信息公开内容，丰富公开形式，拓展公开渠道，不断优化政府信息公开工作，稳扎稳打逐步提升政务信息公开工作水平。</w:t>
            </w: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黑体" w:hAnsi="黑体" w:eastAsia="黑体" w:cstheme="minorBidi"/>
                <w:kern w:val="2"/>
                <w:sz w:val="32"/>
                <w:szCs w:val="32"/>
              </w:rPr>
            </w:pPr>
            <w:r>
              <w:rPr>
                <w:rFonts w:hint="eastAsia" w:ascii="黑体" w:hAnsi="黑体" w:eastAsia="黑体" w:cstheme="minorBidi"/>
                <w:kern w:val="2"/>
                <w:sz w:val="32"/>
                <w:szCs w:val="32"/>
              </w:rPr>
              <w:t>六、其他需要报告的事项</w:t>
            </w: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019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年，振兴街道无其他需要报告事项。</w:t>
            </w: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2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5"/>
              <w:widowControl/>
              <w:spacing w:before="0" w:beforeAutospacing="0" w:after="0" w:afterAutospacing="0" w:line="432" w:lineRule="atLeast"/>
              <w:ind w:firstLine="4640" w:firstLineChars="1450"/>
              <w:jc w:val="both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005" w:type="dxa"/>
            <w:shd w:val="clear" w:color="auto" w:fill="FFFFFF"/>
            <w:vAlign w:val="center"/>
          </w:tcPr>
          <w:p>
            <w:pPr>
              <w:jc w:val="left"/>
              <w:rPr>
                <w:rFonts w:ascii="仿宋_GB2312" w:hAnsi="仿宋_GB2312" w:eastAsia="仿宋_GB2312" w:cs="仿宋_GB2312"/>
                <w:color w:val="333333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/>
        <w:jc w:val="left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pStyle w:val="2"/>
        <w:ind w:firstLine="0" w:firstLineChars="0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2"/>
        <w:ind w:firstLine="0" w:firstLineChars="0"/>
        <w:rPr>
          <w:rFonts w:ascii="仿宋_GB2312" w:hAnsi="仿宋_GB2312" w:eastAsia="仿宋_GB2312" w:cs="仿宋_GB2312"/>
          <w:sz w:val="32"/>
          <w:szCs w:val="40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3NmI3ZTE1ZTYyNTljN2NjOTVmNGFiZmYyMDkyMWEifQ=="/>
  </w:docVars>
  <w:rsids>
    <w:rsidRoot w:val="3FF92FD7"/>
    <w:rsid w:val="00BA60A1"/>
    <w:rsid w:val="00C018E7"/>
    <w:rsid w:val="00F06C83"/>
    <w:rsid w:val="25E000CE"/>
    <w:rsid w:val="391B423A"/>
    <w:rsid w:val="3FF92FD7"/>
    <w:rsid w:val="4A6D4958"/>
    <w:rsid w:val="57843686"/>
    <w:rsid w:val="598F7E41"/>
    <w:rsid w:val="69254665"/>
    <w:rsid w:val="6A934CE1"/>
    <w:rsid w:val="6D077D3F"/>
    <w:rsid w:val="6DAD0FF2"/>
    <w:rsid w:val="7B0D2831"/>
    <w:rsid w:val="7C740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方正仿宋简体" w:cs="Times New Roman"/>
      <w:kern w:val="0"/>
      <w:sz w:val="24"/>
      <w:szCs w:val="20"/>
    </w:rPr>
  </w:style>
  <w:style w:type="character" w:customStyle="1" w:styleId="8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303</Words>
  <Characters>1728</Characters>
  <Lines>14</Lines>
  <Paragraphs>4</Paragraphs>
  <TotalTime>148</TotalTime>
  <ScaleCrop>false</ScaleCrop>
  <LinksUpToDate>false</LinksUpToDate>
  <CharactersWithSpaces>2027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2020-01-15T06:35:00Z</dcterms:created>
  <dc:creator>不过故事又添几笔</dc:creator>
  <cp:lastModifiedBy>zhouqin</cp:lastModifiedBy>
  <cp:lastPrinted>2020-01-15T07:44:00Z</cp:lastPrinted>
  <dcterms:modified xsi:type="dcterms:W3CDTF">2024-02-01T09:29:55Z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BE7EB2649C634F1892182CFA40800B44_12</vt:lpwstr>
  </property>
</Properties>
</file>