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b w:val="0"/>
          <w:bCs w:val="0"/>
          <w:sz w:val="44"/>
          <w:szCs w:val="44"/>
          <w:lang w:val="en-US" w:eastAsia="zh-CN"/>
        </w:rPr>
        <w:t>西安市阎良区</w:t>
      </w:r>
      <w:r>
        <w:rPr>
          <w:rFonts w:hint="eastAsia" w:ascii="方正小标宋简体" w:eastAsia="方正小标宋简体"/>
          <w:b w:val="0"/>
          <w:bCs w:val="0"/>
          <w:sz w:val="44"/>
          <w:szCs w:val="44"/>
          <w:lang w:eastAsia="zh-CN"/>
        </w:rPr>
        <w:t>新华路</w:t>
      </w:r>
      <w:r>
        <w:rPr>
          <w:rFonts w:hint="eastAsia" w:ascii="方正小标宋简体" w:eastAsia="方正小标宋简体"/>
          <w:b w:val="0"/>
          <w:bCs w:val="0"/>
          <w:sz w:val="44"/>
          <w:szCs w:val="44"/>
        </w:rPr>
        <w:t>街道</w:t>
      </w:r>
      <w:r>
        <w:rPr>
          <w:rFonts w:hint="eastAsia" w:ascii="方正小标宋简体" w:eastAsia="方正小标宋简体"/>
          <w:b w:val="0"/>
          <w:bCs w:val="0"/>
          <w:sz w:val="44"/>
          <w:szCs w:val="44"/>
          <w:lang w:val="en-US" w:eastAsia="zh-CN"/>
        </w:rPr>
        <w:t>办</w:t>
      </w:r>
    </w:p>
    <w:p>
      <w:pPr>
        <w:jc w:val="center"/>
        <w:rPr>
          <w:rFonts w:ascii="方正小标宋简体" w:eastAsia="方正小标宋简体"/>
          <w:b w:val="0"/>
          <w:bCs w:val="0"/>
          <w:sz w:val="44"/>
          <w:szCs w:val="44"/>
        </w:rPr>
      </w:pPr>
      <w:r>
        <w:rPr>
          <w:rFonts w:hint="eastAsia" w:ascii="方正小标宋简体" w:eastAsia="方正小标宋简体"/>
          <w:b w:val="0"/>
          <w:bCs w:val="0"/>
          <w:sz w:val="44"/>
          <w:szCs w:val="44"/>
          <w:lang w:val="en-US" w:eastAsia="zh-CN"/>
        </w:rPr>
        <w:t>2019年政府</w:t>
      </w:r>
      <w:r>
        <w:rPr>
          <w:rFonts w:hint="eastAsia" w:ascii="方正小标宋简体" w:eastAsia="方正小标宋简体"/>
          <w:b w:val="0"/>
          <w:bCs w:val="0"/>
          <w:sz w:val="44"/>
          <w:szCs w:val="44"/>
        </w:rPr>
        <w:t>信息公开工作年度报告</w:t>
      </w:r>
    </w:p>
    <w:p>
      <w:pPr>
        <w:jc w:val="center"/>
        <w:rPr>
          <w:color w:val="666666"/>
        </w:rPr>
      </w:pPr>
    </w:p>
    <w:p>
      <w:pPr>
        <w:jc w:val="center"/>
        <w:rPr>
          <w:color w:val="666666"/>
        </w:rPr>
      </w:pPr>
    </w:p>
    <w:p>
      <w:pPr>
        <w:numPr>
          <w:ilvl w:val="0"/>
          <w:numId w:val="1"/>
        </w:numPr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总体情况</w:t>
      </w:r>
    </w:p>
    <w:p>
      <w:pPr>
        <w:ind w:firstLine="640" w:firstLineChars="200"/>
      </w:pPr>
      <w:r>
        <w:rPr>
          <w:rFonts w:hint="eastAsia" w:ascii="仿宋_GB2312" w:eastAsia="仿宋_GB2312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019</w:t>
      </w:r>
      <w:r>
        <w:rPr>
          <w:rFonts w:hint="eastAsia" w:ascii="仿宋_GB2312" w:eastAsia="仿宋_GB2312"/>
          <w:sz w:val="32"/>
          <w:szCs w:val="32"/>
        </w:rPr>
        <w:t>年，</w:t>
      </w:r>
      <w:r>
        <w:rPr>
          <w:rFonts w:hint="eastAsia" w:ascii="仿宋_GB2312" w:eastAsia="仿宋_GB2312"/>
          <w:sz w:val="32"/>
          <w:szCs w:val="32"/>
          <w:lang w:eastAsia="zh-CN"/>
        </w:rPr>
        <w:t>新华路</w:t>
      </w:r>
      <w:r>
        <w:rPr>
          <w:rFonts w:hint="eastAsia" w:ascii="仿宋_GB2312" w:eastAsia="仿宋_GB2312"/>
          <w:sz w:val="32"/>
          <w:szCs w:val="32"/>
        </w:rPr>
        <w:t>街道认真贯彻落实《中华人民共和国政府信息公开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条例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》和省市有关政府信息公开的工作要求，</w:t>
      </w:r>
      <w:r>
        <w:rPr>
          <w:rFonts w:hint="eastAsia" w:ascii="仿宋_GB2312" w:eastAsia="仿宋_GB2312"/>
          <w:sz w:val="32"/>
          <w:szCs w:val="32"/>
          <w:lang w:eastAsia="zh-CN"/>
        </w:rPr>
        <w:t>强化组织领导，完善制度建设，</w:t>
      </w:r>
      <w:r>
        <w:rPr>
          <w:rFonts w:hint="eastAsia" w:ascii="仿宋_GB2312" w:eastAsia="仿宋_GB2312"/>
          <w:sz w:val="32"/>
          <w:szCs w:val="32"/>
        </w:rPr>
        <w:t>加大信息公开力度，</w:t>
      </w:r>
      <w:r>
        <w:rPr>
          <w:rFonts w:hint="eastAsia" w:ascii="仿宋_GB2312" w:eastAsia="仿宋_GB2312"/>
          <w:sz w:val="32"/>
          <w:szCs w:val="32"/>
          <w:lang w:eastAsia="zh-CN"/>
        </w:rPr>
        <w:t>提升</w:t>
      </w:r>
      <w:r>
        <w:rPr>
          <w:rFonts w:hint="eastAsia" w:ascii="仿宋_GB2312" w:eastAsia="仿宋_GB2312"/>
          <w:sz w:val="32"/>
          <w:szCs w:val="32"/>
        </w:rPr>
        <w:t>信息</w:t>
      </w:r>
      <w:r>
        <w:rPr>
          <w:rFonts w:hint="eastAsia" w:ascii="仿宋_GB2312" w:eastAsia="仿宋_GB2312"/>
          <w:sz w:val="32"/>
          <w:szCs w:val="32"/>
          <w:lang w:eastAsia="zh-CN"/>
        </w:rPr>
        <w:t>质量，细化公开内容，依托政府门户网站，利用信息公开平台，在</w:t>
      </w:r>
      <w:r>
        <w:rPr>
          <w:rFonts w:hint="eastAsia" w:ascii="仿宋_GB2312" w:eastAsia="仿宋_GB2312"/>
          <w:sz w:val="32"/>
          <w:szCs w:val="32"/>
        </w:rPr>
        <w:t>党建、</w:t>
      </w:r>
      <w:r>
        <w:rPr>
          <w:rFonts w:hint="eastAsia" w:ascii="仿宋_GB2312" w:eastAsia="仿宋_GB2312"/>
          <w:sz w:val="32"/>
          <w:szCs w:val="32"/>
          <w:lang w:eastAsia="zh-CN"/>
        </w:rPr>
        <w:t>违建拆除</w:t>
      </w:r>
      <w:r>
        <w:rPr>
          <w:rFonts w:hint="eastAsia" w:ascii="仿宋_GB2312" w:eastAsia="仿宋_GB2312"/>
          <w:sz w:val="32"/>
          <w:szCs w:val="32"/>
        </w:rPr>
        <w:t>、城市治理、便民服务、安全生产、人居环境、生态环保等方面</w:t>
      </w:r>
      <w:r>
        <w:rPr>
          <w:rFonts w:hint="eastAsia" w:ascii="仿宋_GB2312" w:eastAsia="仿宋_GB2312"/>
          <w:sz w:val="32"/>
          <w:szCs w:val="32"/>
          <w:lang w:eastAsia="zh-CN"/>
        </w:rPr>
        <w:t>对</w:t>
      </w:r>
      <w:r>
        <w:rPr>
          <w:rFonts w:hint="eastAsia" w:ascii="仿宋_GB2312" w:eastAsia="仿宋_GB2312"/>
          <w:sz w:val="32"/>
          <w:szCs w:val="32"/>
        </w:rPr>
        <w:t>街道</w:t>
      </w:r>
      <w:r>
        <w:rPr>
          <w:rFonts w:hint="eastAsia" w:ascii="仿宋_GB2312" w:eastAsia="仿宋_GB2312"/>
          <w:sz w:val="32"/>
          <w:szCs w:val="32"/>
          <w:lang w:eastAsia="zh-CN"/>
        </w:rPr>
        <w:t>工作</w:t>
      </w:r>
      <w:r>
        <w:rPr>
          <w:rFonts w:hint="eastAsia" w:ascii="仿宋_GB2312" w:eastAsia="仿宋_GB2312"/>
          <w:sz w:val="32"/>
          <w:szCs w:val="32"/>
        </w:rPr>
        <w:t>进行</w:t>
      </w:r>
      <w:r>
        <w:rPr>
          <w:rFonts w:hint="eastAsia" w:ascii="仿宋_GB2312" w:eastAsia="仿宋_GB2312"/>
          <w:sz w:val="32"/>
          <w:szCs w:val="32"/>
          <w:lang w:eastAsia="zh-CN"/>
        </w:rPr>
        <w:t>了全方位的</w:t>
      </w:r>
      <w:r>
        <w:rPr>
          <w:rFonts w:hint="eastAsia" w:ascii="仿宋_GB2312" w:eastAsia="仿宋_GB2312"/>
          <w:sz w:val="32"/>
          <w:szCs w:val="32"/>
        </w:rPr>
        <w:t>信息公开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其中在区政府网站信息公开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120</w:t>
      </w:r>
      <w:r>
        <w:rPr>
          <w:rFonts w:hint="eastAsia" w:ascii="仿宋_GB2312" w:eastAsia="仿宋_GB2312"/>
          <w:sz w:val="32"/>
          <w:szCs w:val="32"/>
        </w:rPr>
        <w:t>条，西安日报公开信息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条，</w:t>
      </w:r>
      <w:r>
        <w:rPr>
          <w:rFonts w:hint="eastAsia" w:ascii="仿宋_GB2312" w:eastAsia="仿宋_GB2312"/>
          <w:sz w:val="32"/>
          <w:szCs w:val="32"/>
          <w:lang w:eastAsia="zh-CN"/>
        </w:rPr>
        <w:t>阎良组工</w:t>
      </w:r>
      <w:r>
        <w:rPr>
          <w:rFonts w:hint="eastAsia" w:ascii="仿宋_GB2312" w:eastAsia="仿宋_GB2312"/>
          <w:sz w:val="32"/>
          <w:szCs w:val="32"/>
        </w:rPr>
        <w:t>公开信息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81条</w:t>
      </w:r>
      <w:r>
        <w:rPr>
          <w:rFonts w:hint="eastAsia" w:ascii="仿宋_GB2312" w:eastAsia="仿宋_GB2312"/>
          <w:sz w:val="32"/>
          <w:szCs w:val="32"/>
        </w:rPr>
        <w:t>。</w:t>
      </w:r>
    </w:p>
    <w:tbl>
      <w:tblPr>
        <w:tblStyle w:val="6"/>
        <w:tblW w:w="9750" w:type="dxa"/>
        <w:tblCellSpacing w:w="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50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750" w:type="dxa"/>
            <w:shd w:val="clear" w:color="auto" w:fill="FFFFFF"/>
            <w:vAlign w:val="center"/>
          </w:tcPr>
          <w:p>
            <w:pPr>
              <w:pStyle w:val="5"/>
              <w:widowControl/>
              <w:spacing w:before="0" w:beforeAutospacing="0" w:after="0" w:afterAutospacing="0" w:line="432" w:lineRule="atLeast"/>
              <w:ind w:firstLine="420"/>
              <w:jc w:val="both"/>
              <w:rPr>
                <w:rFonts w:ascii="黑体" w:hAnsi="黑体" w:eastAsia="黑体" w:cstheme="minorBidi"/>
                <w:kern w:val="2"/>
                <w:sz w:val="32"/>
                <w:szCs w:val="32"/>
              </w:rPr>
            </w:pPr>
            <w:r>
              <w:rPr>
                <w:rFonts w:hint="eastAsia" w:ascii="黑体" w:hAnsi="黑体" w:eastAsia="黑体" w:cstheme="minorBidi"/>
                <w:kern w:val="2"/>
                <w:sz w:val="32"/>
                <w:szCs w:val="32"/>
              </w:rPr>
              <w:t>二、主动公开政府信息情况</w:t>
            </w:r>
          </w:p>
          <w:tbl>
            <w:tblPr>
              <w:tblStyle w:val="6"/>
              <w:tblW w:w="8140" w:type="dxa"/>
              <w:jc w:val="cente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490"/>
              <w:gridCol w:w="2079"/>
              <w:gridCol w:w="1690"/>
              <w:gridCol w:w="1881"/>
            </w:tblGrid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95" w:hRule="atLeast"/>
                <w:jc w:val="center"/>
              </w:trPr>
              <w:tc>
                <w:tcPr>
                  <w:tcW w:w="8140" w:type="dxa"/>
                  <w:gridSpan w:val="4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C6D9F1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第二十条第（一）项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241" w:hRule="atLeast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信息内容</w:t>
                  </w:r>
                </w:p>
              </w:tc>
              <w:tc>
                <w:tcPr>
                  <w:tcW w:w="207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本年新</w:t>
                  </w: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br w:type="textWrapping"/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制作数量</w:t>
                  </w:r>
                </w:p>
              </w:tc>
              <w:tc>
                <w:tcPr>
                  <w:tcW w:w="1690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本年新</w:t>
                  </w: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br w:type="textWrapping"/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公开数量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对外公开总数量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23" w:hRule="atLeast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规章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　　0</w:t>
                  </w:r>
                </w:p>
              </w:tc>
              <w:tc>
                <w:tcPr>
                  <w:tcW w:w="16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　</w:t>
                  </w: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71" w:hRule="atLeast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规范性文件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　　</w:t>
                  </w: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16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　</w:t>
                  </w: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  <w:jc w:val="center"/>
              </w:trPr>
              <w:tc>
                <w:tcPr>
                  <w:tcW w:w="8140" w:type="dxa"/>
                  <w:gridSpan w:val="4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C6D9F1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第二十条第（五）项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37" w:hRule="atLeast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信息内容</w:t>
                  </w:r>
                </w:p>
              </w:tc>
              <w:tc>
                <w:tcPr>
                  <w:tcW w:w="207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上一年项目数量</w:t>
                  </w:r>
                </w:p>
              </w:tc>
              <w:tc>
                <w:tcPr>
                  <w:tcW w:w="1690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本年增/减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处理决定数量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28" w:hRule="atLeast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行政许可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hint="default" w:ascii="仿宋_GB2312" w:hAnsi="仿宋_GB2312" w:eastAsia="仿宋_GB2312" w:cs="仿宋_GB2312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/>
                    </w:rPr>
                    <w:t>9</w:t>
                  </w:r>
                </w:p>
              </w:tc>
              <w:tc>
                <w:tcPr>
                  <w:tcW w:w="16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hint="default" w:ascii="仿宋_GB2312" w:hAnsi="仿宋_GB2312" w:eastAsia="仿宋_GB2312" w:cs="仿宋_GB2312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hint="default" w:ascii="仿宋_GB2312" w:hAnsi="仿宋_GB2312" w:eastAsia="仿宋_GB2312" w:cs="仿宋_GB2312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0" w:hRule="atLeast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其他对外管理服务事项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16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0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6" w:hRule="atLeast"/>
                <w:jc w:val="center"/>
              </w:trPr>
              <w:tc>
                <w:tcPr>
                  <w:tcW w:w="8140" w:type="dxa"/>
                  <w:gridSpan w:val="4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C6D9F1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第二十条第（六）项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34" w:hRule="atLeast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信息内容</w:t>
                  </w:r>
                </w:p>
              </w:tc>
              <w:tc>
                <w:tcPr>
                  <w:tcW w:w="207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上一年项目数量</w:t>
                  </w:r>
                </w:p>
              </w:tc>
              <w:tc>
                <w:tcPr>
                  <w:tcW w:w="1690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本年增/减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处理决定数量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30" w:hRule="atLeast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行政处罚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16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0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9" w:hRule="atLeast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行政强制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16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0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74" w:hRule="atLeast"/>
                <w:jc w:val="center"/>
              </w:trPr>
              <w:tc>
                <w:tcPr>
                  <w:tcW w:w="8140" w:type="dxa"/>
                  <w:gridSpan w:val="4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C6D9F1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第二十条第（八）项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0" w:hRule="atLeast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信息内容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上一年项目数量</w:t>
                  </w:r>
                </w:p>
              </w:tc>
              <w:tc>
                <w:tcPr>
                  <w:tcW w:w="3571" w:type="dxa"/>
                  <w:gridSpan w:val="2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000000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本年增/减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1" w:hRule="atLeast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行政事业性收费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3571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000000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0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76" w:hRule="atLeast"/>
                <w:jc w:val="center"/>
              </w:trPr>
              <w:tc>
                <w:tcPr>
                  <w:tcW w:w="8140" w:type="dxa"/>
                  <w:gridSpan w:val="4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C6D9F1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第二十条第（九）项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85" w:hRule="atLeast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信息内容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采购项目</w:t>
                  </w:r>
                </w:p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数量</w:t>
                  </w:r>
                </w:p>
              </w:tc>
              <w:tc>
                <w:tcPr>
                  <w:tcW w:w="3571" w:type="dxa"/>
                  <w:gridSpan w:val="2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000000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采购总金额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39" w:hRule="atLeast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left"/>
                    <w:rPr>
                      <w:rFonts w:ascii="黑体" w:hAnsi="黑体" w:eastAsia="黑体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政府集中采购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3571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000000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</w:tr>
          </w:tbl>
          <w:p>
            <w:pPr>
              <w:pStyle w:val="5"/>
              <w:widowControl/>
              <w:spacing w:before="0" w:beforeAutospacing="0" w:after="0" w:afterAutospacing="0" w:line="432" w:lineRule="atLeast"/>
              <w:ind w:firstLine="420"/>
              <w:jc w:val="both"/>
              <w:rPr>
                <w:rFonts w:ascii="黑体" w:hAnsi="黑体" w:eastAsia="黑体" w:cstheme="minorBidi"/>
                <w:kern w:val="2"/>
                <w:sz w:val="32"/>
                <w:szCs w:val="32"/>
              </w:rPr>
            </w:pPr>
            <w:r>
              <w:rPr>
                <w:rFonts w:hint="eastAsia" w:ascii="黑体" w:hAnsi="黑体" w:eastAsia="黑体" w:cstheme="minorBidi"/>
                <w:kern w:val="2"/>
                <w:sz w:val="32"/>
                <w:szCs w:val="32"/>
              </w:rPr>
              <w:t>三、收到和处理政府信息公开申请情况</w:t>
            </w:r>
          </w:p>
          <w:tbl>
            <w:tblPr>
              <w:tblStyle w:val="6"/>
              <w:tblW w:w="9071" w:type="dxa"/>
              <w:jc w:val="center"/>
              <w:tblBorders>
                <w:top w:val="none" w:color="auto" w:sz="6" w:space="0"/>
                <w:left w:val="none" w:color="auto" w:sz="6" w:space="0"/>
                <w:bottom w:val="none" w:color="auto" w:sz="6" w:space="0"/>
                <w:right w:val="none" w:color="auto" w:sz="6" w:space="0"/>
                <w:insideH w:val="outset" w:color="auto" w:sz="6" w:space="0"/>
                <w:insideV w:val="outset" w:color="auto" w:sz="6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494"/>
              <w:gridCol w:w="855"/>
              <w:gridCol w:w="2130"/>
              <w:gridCol w:w="825"/>
              <w:gridCol w:w="765"/>
              <w:gridCol w:w="765"/>
              <w:gridCol w:w="825"/>
              <w:gridCol w:w="990"/>
              <w:gridCol w:w="720"/>
              <w:gridCol w:w="702"/>
            </w:tblGrid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3479" w:type="dxa"/>
                  <w:gridSpan w:val="3"/>
                  <w:vMerge w:val="restart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（本列数据的勾稽关系为：第一项加第二项之和，等于第三项加第四项之和）</w:t>
                  </w:r>
                </w:p>
              </w:tc>
              <w:tc>
                <w:tcPr>
                  <w:tcW w:w="5592" w:type="dxa"/>
                  <w:gridSpan w:val="7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申请人情况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3479" w:type="dxa"/>
                  <w:gridSpan w:val="3"/>
                  <w:vMerge w:val="continue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25" w:type="dxa"/>
                  <w:vMerge w:val="restart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自然人</w:t>
                  </w:r>
                </w:p>
              </w:tc>
              <w:tc>
                <w:tcPr>
                  <w:tcW w:w="4065" w:type="dxa"/>
                  <w:gridSpan w:val="5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法人或其他组织</w:t>
                  </w:r>
                </w:p>
              </w:tc>
              <w:tc>
                <w:tcPr>
                  <w:tcW w:w="702" w:type="dxa"/>
                  <w:vMerge w:val="restart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总计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871" w:hRule="atLeast"/>
                <w:jc w:val="center"/>
              </w:trPr>
              <w:tc>
                <w:tcPr>
                  <w:tcW w:w="3479" w:type="dxa"/>
                  <w:gridSpan w:val="3"/>
                  <w:vMerge w:val="continue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2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商业企业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科研机构</w:t>
                  </w:r>
                </w:p>
              </w:tc>
              <w:tc>
                <w:tcPr>
                  <w:tcW w:w="82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社会公益组织</w:t>
                  </w:r>
                </w:p>
              </w:tc>
              <w:tc>
                <w:tcPr>
                  <w:tcW w:w="990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法律服务机构</w:t>
                  </w:r>
                </w:p>
              </w:tc>
              <w:tc>
                <w:tcPr>
                  <w:tcW w:w="720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其他</w:t>
                  </w:r>
                </w:p>
              </w:tc>
              <w:tc>
                <w:tcPr>
                  <w:tcW w:w="702" w:type="dxa"/>
                  <w:vMerge w:val="continue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3479" w:type="dxa"/>
                  <w:gridSpan w:val="3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一、本年新收政府信息公开申请数量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  <w:lang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  <w:lang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3479" w:type="dxa"/>
                  <w:gridSpan w:val="3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二、上年结转政府信息公开申请数量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restart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三、本年度办理结果</w:t>
                  </w:r>
                </w:p>
              </w:tc>
              <w:tc>
                <w:tcPr>
                  <w:tcW w:w="2985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（一）予以公开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  <w:lang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both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02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  <w:lang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985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（二）部分公开（区分处理的，只计这一情形，不计其他情形）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 xml:space="preserve"> 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restart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（三）不予公开</w:t>
                  </w: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1.属于国家秘密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 xml:space="preserve"> 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2.其他法律行政法规禁止公开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 xml:space="preserve"> 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3.危及“三安全一稳定”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 xml:space="preserve"> 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4.保护第三方合法权益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 xml:space="preserve"> 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5.属于三类内部事务信息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 xml:space="preserve"> 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6.属于四类过程性信息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 xml:space="preserve"> 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7.属于行政执法案卷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 xml:space="preserve"> 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8.属于行政查询事项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 xml:space="preserve"> 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restart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（四）无法提供</w:t>
                  </w: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1.本机关不掌握相关政府信息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 xml:space="preserve"> 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2.没有现成信息需要另行制作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 xml:space="preserve"> 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3.补正后申请内容仍不明确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 xml:space="preserve"> 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restart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（五）不予处理</w:t>
                  </w: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1.信访举报投诉类申请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 xml:space="preserve"> 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2.重复申请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 xml:space="preserve"> 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3.要求提供公开出版物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 xml:space="preserve"> 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4.无正当理由大量反复申请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 xml:space="preserve"> 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5.要求行政机关确认或重新出具已获取信息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 xml:space="preserve"> 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985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（六）其他处理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 xml:space="preserve"> 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985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（七）总计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 xml:space="preserve"> 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3479" w:type="dxa"/>
                  <w:gridSpan w:val="3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四、结转下年度继续办理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 xml:space="preserve"> 0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</w:p>
              </w:tc>
            </w:tr>
          </w:tbl>
          <w:p>
            <w:pPr>
              <w:pStyle w:val="5"/>
              <w:widowControl/>
              <w:spacing w:before="0" w:beforeAutospacing="0" w:after="0" w:afterAutospacing="0" w:line="432" w:lineRule="atLeast"/>
              <w:ind w:firstLine="420"/>
              <w:jc w:val="both"/>
              <w:rPr>
                <w:rFonts w:ascii="黑体" w:hAnsi="黑体" w:eastAsia="黑体" w:cstheme="minorBidi"/>
                <w:kern w:val="2"/>
                <w:sz w:val="32"/>
                <w:szCs w:val="32"/>
              </w:rPr>
            </w:pPr>
            <w:r>
              <w:rPr>
                <w:rFonts w:hint="eastAsia" w:ascii="黑体" w:hAnsi="黑体" w:eastAsia="黑体" w:cstheme="minorBidi"/>
                <w:kern w:val="2"/>
                <w:sz w:val="32"/>
                <w:szCs w:val="32"/>
              </w:rPr>
              <w:t>四、政府信息公开行政复议、行政诉讼情况</w:t>
            </w:r>
          </w:p>
          <w:tbl>
            <w:tblPr>
              <w:tblStyle w:val="6"/>
              <w:tblW w:w="9071" w:type="dxa"/>
              <w:jc w:val="center"/>
              <w:tblBorders>
                <w:top w:val="none" w:color="auto" w:sz="6" w:space="0"/>
                <w:left w:val="none" w:color="auto" w:sz="6" w:space="0"/>
                <w:bottom w:val="none" w:color="auto" w:sz="6" w:space="0"/>
                <w:right w:val="none" w:color="auto" w:sz="6" w:space="0"/>
                <w:insideH w:val="outset" w:color="auto" w:sz="6" w:space="0"/>
                <w:insideV w:val="outset" w:color="auto" w:sz="6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04"/>
              <w:gridCol w:w="604"/>
              <w:gridCol w:w="604"/>
              <w:gridCol w:w="604"/>
              <w:gridCol w:w="658"/>
              <w:gridCol w:w="550"/>
              <w:gridCol w:w="605"/>
              <w:gridCol w:w="605"/>
              <w:gridCol w:w="605"/>
              <w:gridCol w:w="605"/>
              <w:gridCol w:w="605"/>
              <w:gridCol w:w="605"/>
              <w:gridCol w:w="605"/>
              <w:gridCol w:w="606"/>
              <w:gridCol w:w="606"/>
            </w:tblGrid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</w:tblPrEx>
              <w:trPr>
                <w:jc w:val="center"/>
              </w:trPr>
              <w:tc>
                <w:tcPr>
                  <w:tcW w:w="3074" w:type="dxa"/>
                  <w:gridSpan w:val="5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行政复议</w:t>
                  </w:r>
                </w:p>
              </w:tc>
              <w:tc>
                <w:tcPr>
                  <w:tcW w:w="5997" w:type="dxa"/>
                  <w:gridSpan w:val="10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行政诉讼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604" w:type="dxa"/>
                  <w:vMerge w:val="restart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结果维持</w:t>
                  </w:r>
                </w:p>
              </w:tc>
              <w:tc>
                <w:tcPr>
                  <w:tcW w:w="604" w:type="dxa"/>
                  <w:vMerge w:val="restart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结果纠正</w:t>
                  </w:r>
                </w:p>
              </w:tc>
              <w:tc>
                <w:tcPr>
                  <w:tcW w:w="604" w:type="dxa"/>
                  <w:vMerge w:val="restart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其他结果</w:t>
                  </w:r>
                </w:p>
              </w:tc>
              <w:tc>
                <w:tcPr>
                  <w:tcW w:w="604" w:type="dxa"/>
                  <w:vMerge w:val="restart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尚未审结</w:t>
                  </w:r>
                </w:p>
              </w:tc>
              <w:tc>
                <w:tcPr>
                  <w:tcW w:w="658" w:type="dxa"/>
                  <w:vMerge w:val="restart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总计</w:t>
                  </w:r>
                </w:p>
              </w:tc>
              <w:tc>
                <w:tcPr>
                  <w:tcW w:w="2970" w:type="dxa"/>
                  <w:gridSpan w:val="5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未经复议直接起诉</w:t>
                  </w:r>
                </w:p>
              </w:tc>
              <w:tc>
                <w:tcPr>
                  <w:tcW w:w="3027" w:type="dxa"/>
                  <w:gridSpan w:val="5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复议后起诉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60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604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604" w:type="dxa"/>
                  <w:vMerge w:val="continue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604" w:type="dxa"/>
                  <w:vMerge w:val="continue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658" w:type="dxa"/>
                  <w:vMerge w:val="continue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55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结果维持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结果纠正</w:t>
                  </w:r>
                </w:p>
              </w:tc>
              <w:tc>
                <w:tcPr>
                  <w:tcW w:w="60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其他结果</w:t>
                  </w:r>
                </w:p>
              </w:tc>
              <w:tc>
                <w:tcPr>
                  <w:tcW w:w="60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尚未审结</w:t>
                  </w:r>
                </w:p>
              </w:tc>
              <w:tc>
                <w:tcPr>
                  <w:tcW w:w="60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总计</w:t>
                  </w:r>
                </w:p>
              </w:tc>
              <w:tc>
                <w:tcPr>
                  <w:tcW w:w="60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结果维持</w:t>
                  </w:r>
                </w:p>
              </w:tc>
              <w:tc>
                <w:tcPr>
                  <w:tcW w:w="60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结果纠正</w:t>
                  </w:r>
                </w:p>
              </w:tc>
              <w:tc>
                <w:tcPr>
                  <w:tcW w:w="60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其他结果</w:t>
                  </w:r>
                </w:p>
              </w:tc>
              <w:tc>
                <w:tcPr>
                  <w:tcW w:w="606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尚未审结</w:t>
                  </w:r>
                </w:p>
              </w:tc>
              <w:tc>
                <w:tcPr>
                  <w:tcW w:w="606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总计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604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60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60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60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6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55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60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  <w:tc>
                <w:tcPr>
                  <w:tcW w:w="60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</w:tr>
          </w:tbl>
          <w:p>
            <w:pPr>
              <w:pStyle w:val="5"/>
              <w:widowControl/>
              <w:spacing w:before="0" w:beforeAutospacing="0" w:after="0" w:afterAutospacing="0" w:line="432" w:lineRule="atLeast"/>
              <w:ind w:firstLine="640" w:firstLineChars="200"/>
              <w:jc w:val="both"/>
              <w:rPr>
                <w:rFonts w:ascii="黑体" w:hAnsi="黑体" w:eastAsia="黑体" w:cstheme="minorBidi"/>
                <w:kern w:val="2"/>
                <w:sz w:val="32"/>
                <w:szCs w:val="32"/>
              </w:rPr>
            </w:pPr>
            <w:r>
              <w:rPr>
                <w:rFonts w:hint="eastAsia" w:ascii="黑体" w:hAnsi="黑体" w:eastAsia="黑体" w:cstheme="minorBidi"/>
                <w:kern w:val="2"/>
                <w:sz w:val="32"/>
                <w:szCs w:val="32"/>
              </w:rPr>
              <w:t>五、存在的主要问题及改进情况</w:t>
            </w:r>
          </w:p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201</w:t>
            </w:r>
            <w:r>
              <w:rPr>
                <w:rFonts w:ascii="仿宋_GB2312" w:eastAsia="仿宋_GB2312"/>
                <w:sz w:val="32"/>
                <w:szCs w:val="32"/>
              </w:rPr>
              <w:t>9</w:t>
            </w:r>
            <w:r>
              <w:rPr>
                <w:rFonts w:hint="eastAsia" w:ascii="仿宋_GB2312" w:eastAsia="仿宋_GB2312"/>
                <w:sz w:val="32"/>
                <w:szCs w:val="32"/>
              </w:rPr>
              <w:t>年，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新华路</w:t>
            </w:r>
            <w:r>
              <w:rPr>
                <w:rFonts w:hint="eastAsia" w:ascii="仿宋_GB2312" w:eastAsia="仿宋_GB2312"/>
                <w:sz w:val="32"/>
                <w:szCs w:val="32"/>
              </w:rPr>
              <w:t>街道信息公开工作有了一定的发展，但对照上级的要求和公众的期望，还存在一定差距。一是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要加强对</w:t>
            </w:r>
            <w:r>
              <w:rPr>
                <w:rFonts w:hint="eastAsia" w:ascii="仿宋_GB2312" w:eastAsia="仿宋_GB2312"/>
                <w:sz w:val="32"/>
                <w:szCs w:val="32"/>
              </w:rPr>
              <w:t>重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点建设项目</w:t>
            </w:r>
            <w:r>
              <w:rPr>
                <w:rFonts w:hint="eastAsia" w:ascii="仿宋_GB2312" w:eastAsia="仿宋_GB2312"/>
                <w:sz w:val="32"/>
                <w:szCs w:val="32"/>
              </w:rPr>
              <w:t>信息公开。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二是对社会服务、社会保障等民生问题相关信息需进一步加强。</w:t>
            </w:r>
            <w:r>
              <w:rPr>
                <w:rFonts w:hint="eastAsia" w:ascii="仿宋_GB2312" w:eastAsia="仿宋_GB2312"/>
                <w:sz w:val="32"/>
                <w:szCs w:val="32"/>
              </w:rPr>
              <w:t>在以后工作中，我们将继续认真落实国家和省市区信息公开工作要求，加强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政府信息公开条例的学习培训</w:t>
            </w:r>
            <w:r>
              <w:rPr>
                <w:rFonts w:hint="eastAsia" w:ascii="仿宋_GB2312" w:eastAsia="仿宋_GB2312"/>
                <w:sz w:val="32"/>
                <w:szCs w:val="32"/>
              </w:rPr>
              <w:t>，增强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政务</w:t>
            </w:r>
            <w:r>
              <w:rPr>
                <w:rFonts w:hint="eastAsia" w:ascii="仿宋_GB2312" w:eastAsia="仿宋_GB2312"/>
                <w:sz w:val="32"/>
                <w:szCs w:val="32"/>
              </w:rPr>
              <w:t>公开意识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；</w:t>
            </w:r>
            <w:r>
              <w:rPr>
                <w:rFonts w:hint="eastAsia" w:ascii="仿宋_GB2312" w:eastAsia="仿宋_GB2312"/>
                <w:sz w:val="32"/>
                <w:szCs w:val="32"/>
              </w:rPr>
              <w:t>丰富公开形式，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拓展公开渠道</w:t>
            </w:r>
            <w:r>
              <w:rPr>
                <w:rFonts w:hint="eastAsia" w:ascii="仿宋_GB2312" w:eastAsia="仿宋_GB2312"/>
                <w:sz w:val="32"/>
                <w:szCs w:val="32"/>
              </w:rPr>
              <w:t>，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优化</w:t>
            </w:r>
            <w:r>
              <w:rPr>
                <w:rFonts w:hint="eastAsia" w:ascii="仿宋_GB2312" w:eastAsia="仿宋_GB2312"/>
                <w:sz w:val="32"/>
                <w:szCs w:val="32"/>
              </w:rPr>
              <w:t>政府信息公开工作，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提升街道政务信息公开工作水平。</w:t>
            </w:r>
          </w:p>
          <w:p>
            <w:pPr>
              <w:pStyle w:val="5"/>
              <w:widowControl/>
              <w:spacing w:before="0" w:beforeAutospacing="0" w:after="0" w:afterAutospacing="0" w:line="432" w:lineRule="atLeast"/>
              <w:ind w:firstLine="640" w:firstLineChars="200"/>
              <w:jc w:val="both"/>
              <w:rPr>
                <w:rFonts w:ascii="黑体" w:hAnsi="黑体" w:eastAsia="黑体" w:cstheme="minorBidi"/>
                <w:kern w:val="2"/>
                <w:sz w:val="32"/>
                <w:szCs w:val="32"/>
              </w:rPr>
            </w:pPr>
            <w:r>
              <w:rPr>
                <w:rFonts w:hint="eastAsia" w:ascii="黑体" w:hAnsi="黑体" w:eastAsia="黑体" w:cstheme="minorBidi"/>
                <w:kern w:val="2"/>
                <w:sz w:val="32"/>
                <w:szCs w:val="32"/>
              </w:rPr>
              <w:t>六、其他需要报告的事项</w:t>
            </w:r>
          </w:p>
          <w:p>
            <w:pPr>
              <w:pStyle w:val="5"/>
              <w:widowControl/>
              <w:spacing w:before="0" w:beforeAutospacing="0" w:after="0" w:afterAutospacing="0" w:line="432" w:lineRule="atLeast"/>
              <w:ind w:firstLine="640" w:firstLineChars="20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019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新华路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街道无其他需要报告事项。</w:t>
            </w:r>
          </w:p>
          <w:p>
            <w:pPr>
              <w:pStyle w:val="5"/>
              <w:widowControl/>
              <w:spacing w:before="0" w:beforeAutospacing="0" w:after="0" w:afterAutospacing="0" w:line="432" w:lineRule="atLeast"/>
              <w:ind w:firstLine="42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5"/>
              <w:widowControl/>
              <w:spacing w:before="0" w:beforeAutospacing="0" w:after="0" w:afterAutospacing="0" w:line="432" w:lineRule="atLeas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5"/>
              <w:widowControl/>
              <w:spacing w:before="0" w:beforeAutospacing="0" w:after="0" w:afterAutospacing="0" w:line="432" w:lineRule="atLeast"/>
              <w:ind w:firstLine="5280" w:firstLineChars="165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750" w:type="dxa"/>
            <w:shd w:val="clear" w:color="auto" w:fill="FFFFFF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</w:tr>
    </w:tbl>
    <w:p>
      <w:pPr>
        <w:spacing w:line="560" w:lineRule="exact"/>
        <w:ind w:firstLine="640"/>
        <w:jc w:val="left"/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pStyle w:val="2"/>
        <w:ind w:firstLine="0" w:firstLineChars="0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2"/>
        <w:ind w:firstLine="0" w:firstLineChars="0"/>
        <w:rPr>
          <w:rFonts w:ascii="仿宋_GB2312" w:hAnsi="仿宋_GB2312" w:eastAsia="仿宋_GB2312" w:cs="仿宋_GB2312"/>
          <w:sz w:val="32"/>
          <w:szCs w:val="40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rPr>
                    <w:rFonts w:asciiTheme="minorEastAsia" w:hAnsiTheme="minorEastAsia" w:cstheme="minorEastAsia"/>
                    <w:sz w:val="28"/>
                    <w:szCs w:val="28"/>
                  </w:rPr>
                </w:pP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Theme="minorEastAsia" w:hAnsiTheme="minorEastAsia" w:cstheme="minorEastAsia"/>
                    <w:sz w:val="28"/>
                    <w:szCs w:val="28"/>
                  </w:rPr>
                  <w:t>- 20 -</w: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38D319"/>
    <w:multiLevelType w:val="singleLevel"/>
    <w:tmpl w:val="3938D31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OTM3NmI3ZTE1ZTYyNTljN2NjOTVmNGFiZmYyMDkyMWEifQ=="/>
  </w:docVars>
  <w:rsids>
    <w:rsidRoot w:val="00172A27"/>
    <w:rsid w:val="000449F1"/>
    <w:rsid w:val="00063C23"/>
    <w:rsid w:val="0016255E"/>
    <w:rsid w:val="00172A27"/>
    <w:rsid w:val="003F096E"/>
    <w:rsid w:val="005A7520"/>
    <w:rsid w:val="00767B4C"/>
    <w:rsid w:val="007F5F94"/>
    <w:rsid w:val="00C46012"/>
    <w:rsid w:val="00E11FC9"/>
    <w:rsid w:val="00E506CB"/>
    <w:rsid w:val="00F3358B"/>
    <w:rsid w:val="01EC2FC6"/>
    <w:rsid w:val="02A30D29"/>
    <w:rsid w:val="03AC3897"/>
    <w:rsid w:val="08DC39E3"/>
    <w:rsid w:val="09C21831"/>
    <w:rsid w:val="0A0F729B"/>
    <w:rsid w:val="0A785698"/>
    <w:rsid w:val="0EE37D87"/>
    <w:rsid w:val="0FF37D34"/>
    <w:rsid w:val="10946730"/>
    <w:rsid w:val="10E91B4E"/>
    <w:rsid w:val="12D134FA"/>
    <w:rsid w:val="161749CD"/>
    <w:rsid w:val="175A6206"/>
    <w:rsid w:val="18F37DE7"/>
    <w:rsid w:val="1D1663CC"/>
    <w:rsid w:val="1EAE4EE3"/>
    <w:rsid w:val="21CA4DD2"/>
    <w:rsid w:val="243015B9"/>
    <w:rsid w:val="288D76AB"/>
    <w:rsid w:val="2C1438D4"/>
    <w:rsid w:val="2CE96FB0"/>
    <w:rsid w:val="2D48603E"/>
    <w:rsid w:val="2E0E64E6"/>
    <w:rsid w:val="2EA16C5F"/>
    <w:rsid w:val="31125E75"/>
    <w:rsid w:val="31CC2C1F"/>
    <w:rsid w:val="31CD50D6"/>
    <w:rsid w:val="32666233"/>
    <w:rsid w:val="33CA541D"/>
    <w:rsid w:val="34E24DFD"/>
    <w:rsid w:val="35CB42E4"/>
    <w:rsid w:val="36BC74A5"/>
    <w:rsid w:val="36D278D5"/>
    <w:rsid w:val="3A174AF6"/>
    <w:rsid w:val="3E6D0A2A"/>
    <w:rsid w:val="3F2043AB"/>
    <w:rsid w:val="40484F16"/>
    <w:rsid w:val="40DA29AF"/>
    <w:rsid w:val="414E0E14"/>
    <w:rsid w:val="41CA3C49"/>
    <w:rsid w:val="43F801CC"/>
    <w:rsid w:val="45F93C89"/>
    <w:rsid w:val="471879F6"/>
    <w:rsid w:val="47B378EF"/>
    <w:rsid w:val="48567B4D"/>
    <w:rsid w:val="48DC33D2"/>
    <w:rsid w:val="49C7748D"/>
    <w:rsid w:val="4D456C16"/>
    <w:rsid w:val="4D7B091F"/>
    <w:rsid w:val="4DF82AA3"/>
    <w:rsid w:val="532E6CFE"/>
    <w:rsid w:val="537B2193"/>
    <w:rsid w:val="540A5704"/>
    <w:rsid w:val="55AD0BE5"/>
    <w:rsid w:val="55B57625"/>
    <w:rsid w:val="59696CF2"/>
    <w:rsid w:val="5C3123CD"/>
    <w:rsid w:val="5F4C24E3"/>
    <w:rsid w:val="60BE34B2"/>
    <w:rsid w:val="612F44EA"/>
    <w:rsid w:val="61C45341"/>
    <w:rsid w:val="657D1898"/>
    <w:rsid w:val="671D1E00"/>
    <w:rsid w:val="67765B21"/>
    <w:rsid w:val="68C43861"/>
    <w:rsid w:val="6ADC6F16"/>
    <w:rsid w:val="6B280FAB"/>
    <w:rsid w:val="6E056E3F"/>
    <w:rsid w:val="6F17733B"/>
    <w:rsid w:val="701829B5"/>
    <w:rsid w:val="723C4342"/>
    <w:rsid w:val="7336301E"/>
    <w:rsid w:val="757768F5"/>
    <w:rsid w:val="75967169"/>
    <w:rsid w:val="77FE45ED"/>
    <w:rsid w:val="77FE4A81"/>
    <w:rsid w:val="78B113DA"/>
    <w:rsid w:val="7A046CB0"/>
    <w:rsid w:val="7A3C56BA"/>
    <w:rsid w:val="7AF33DE4"/>
    <w:rsid w:val="7EFD5641"/>
    <w:rsid w:val="7F0602A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 w:eastAsia="方正仿宋简体" w:cs="Times New Roman"/>
      <w:kern w:val="0"/>
      <w:sz w:val="24"/>
      <w:szCs w:val="20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Kingsoft</Company>
  <Pages>5</Pages>
  <Words>282</Words>
  <Characters>1613</Characters>
  <Lines>13</Lines>
  <Paragraphs>3</Paragraphs>
  <TotalTime>11</TotalTime>
  <ScaleCrop>false</ScaleCrop>
  <LinksUpToDate>false</LinksUpToDate>
  <CharactersWithSpaces>1892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2020-01-08T07:45:00Z</dcterms:created>
  <dc:creator>zjn</dc:creator>
  <cp:lastModifiedBy>zhouqin</cp:lastModifiedBy>
  <cp:lastPrinted>2020-01-08T08:03:00Z</cp:lastPrinted>
  <dcterms:modified xsi:type="dcterms:W3CDTF">2024-02-01T09:32:04Z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500F05FB75474CDD9B1D6EFA1A214DE9_12</vt:lpwstr>
  </property>
</Properties>
</file>