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C13D1">
      <w:pPr>
        <w:pStyle w:val="7"/>
        <w:shd w:val="clear" w:color="auto" w:fill="FFFFFF"/>
        <w:spacing w:before="0" w:beforeAutospacing="0" w:after="0" w:afterAutospacing="0" w:line="540" w:lineRule="exact"/>
        <w:jc w:val="center"/>
        <w:rPr>
          <w:rStyle w:val="11"/>
          <w:rFonts w:cs="方正小标宋简体" w:asciiTheme="majorEastAsia" w:hAnsiTheme="majorEastAsia" w:eastAsiaTheme="majorEastAsia"/>
          <w:sz w:val="36"/>
          <w:szCs w:val="36"/>
        </w:rPr>
      </w:pPr>
      <w:r>
        <w:rPr>
          <w:rStyle w:val="11"/>
          <w:rFonts w:hint="eastAsia" w:cs="方正小标宋简体" w:asciiTheme="majorEastAsia" w:hAnsiTheme="majorEastAsia" w:eastAsiaTheme="majorEastAsia"/>
          <w:sz w:val="36"/>
          <w:szCs w:val="36"/>
        </w:rPr>
        <w:t>西安市阎良区武屯街道办事处</w:t>
      </w:r>
    </w:p>
    <w:p w14:paraId="05A3F592">
      <w:pPr>
        <w:pStyle w:val="7"/>
        <w:shd w:val="clear" w:color="auto" w:fill="FFFFFF"/>
        <w:spacing w:before="0" w:beforeAutospacing="0" w:after="0" w:afterAutospacing="0" w:line="540" w:lineRule="exact"/>
        <w:jc w:val="center"/>
        <w:rPr>
          <w:rStyle w:val="11"/>
          <w:rFonts w:cs="方正小标宋简体" w:asciiTheme="majorEastAsia" w:hAnsiTheme="majorEastAsia" w:eastAsiaTheme="majorEastAsia"/>
          <w:bCs w:val="0"/>
          <w:sz w:val="36"/>
          <w:szCs w:val="36"/>
        </w:rPr>
      </w:pPr>
      <w:r>
        <w:rPr>
          <w:rStyle w:val="11"/>
          <w:rFonts w:hint="eastAsia" w:cs="方正小标宋简体" w:asciiTheme="majorEastAsia" w:hAnsiTheme="majorEastAsia" w:eastAsiaTheme="majorEastAsia"/>
          <w:sz w:val="36"/>
          <w:szCs w:val="36"/>
        </w:rPr>
        <w:t>原西安市阎良区武屯镇人民政府</w:t>
      </w:r>
    </w:p>
    <w:p w14:paraId="2E1D8C77">
      <w:pPr>
        <w:pStyle w:val="7"/>
        <w:shd w:val="clear" w:color="auto" w:fill="FFFFFF"/>
        <w:spacing w:before="0" w:beforeAutospacing="0" w:after="0" w:afterAutospacing="0" w:line="540" w:lineRule="exact"/>
        <w:jc w:val="center"/>
        <w:rPr>
          <w:rStyle w:val="11"/>
          <w:rFonts w:cs="方正小标宋简体" w:asciiTheme="majorEastAsia" w:hAnsiTheme="majorEastAsia" w:eastAsiaTheme="majorEastAsia"/>
          <w:bCs w:val="0"/>
          <w:color w:val="000000"/>
          <w:sz w:val="36"/>
          <w:szCs w:val="36"/>
        </w:rPr>
      </w:pPr>
      <w:r>
        <w:rPr>
          <w:rStyle w:val="11"/>
          <w:rFonts w:hint="eastAsia" w:cs="方正小标宋简体" w:asciiTheme="majorEastAsia" w:hAnsiTheme="majorEastAsia" w:eastAsiaTheme="majorEastAsia"/>
          <w:color w:val="000000"/>
          <w:sz w:val="36"/>
          <w:szCs w:val="36"/>
        </w:rPr>
        <w:t>2018年度部门决算说明</w:t>
      </w:r>
    </w:p>
    <w:p w14:paraId="0102BFCF">
      <w:pPr>
        <w:pStyle w:val="7"/>
        <w:numPr>
          <w:ilvl w:val="0"/>
          <w:numId w:val="1"/>
        </w:numPr>
        <w:shd w:val="clear" w:color="auto" w:fill="FFFFFF"/>
        <w:spacing w:before="0" w:beforeAutospacing="0" w:after="0" w:afterAutospacing="0" w:line="540" w:lineRule="exact"/>
        <w:rPr>
          <w:rFonts w:ascii="仿宋" w:hAnsi="仿宋" w:eastAsia="仿宋" w:cs="黑体"/>
          <w:color w:val="000000"/>
          <w:sz w:val="32"/>
          <w:szCs w:val="32"/>
        </w:rPr>
      </w:pPr>
      <w:r>
        <w:rPr>
          <w:rFonts w:hint="eastAsia" w:ascii="仿宋" w:hAnsi="仿宋" w:eastAsia="仿宋" w:cs="黑体"/>
          <w:color w:val="000000"/>
          <w:sz w:val="32"/>
          <w:szCs w:val="32"/>
        </w:rPr>
        <w:t>部门主要职责</w:t>
      </w:r>
    </w:p>
    <w:p w14:paraId="05CEDB3C">
      <w:pPr>
        <w:pStyle w:val="7"/>
        <w:shd w:val="clear" w:color="auto" w:fill="FFFFFF"/>
        <w:spacing w:before="0" w:beforeAutospacing="0" w:after="0" w:afterAutospacing="0" w:line="540" w:lineRule="exact"/>
        <w:ind w:firstLine="640" w:firstLineChars="200"/>
        <w:rPr>
          <w:rFonts w:ascii="仿宋" w:hAnsi="仿宋" w:eastAsia="仿宋" w:cs="黑体"/>
          <w:color w:val="000000"/>
          <w:sz w:val="32"/>
          <w:szCs w:val="32"/>
        </w:rPr>
      </w:pPr>
      <w:r>
        <w:rPr>
          <w:rFonts w:hint="eastAsia" w:ascii="仿宋" w:hAnsi="仿宋" w:eastAsia="仿宋" w:cs="黑体"/>
          <w:color w:val="000000"/>
          <w:sz w:val="32"/>
          <w:szCs w:val="32"/>
        </w:rPr>
        <w:t>根据《西安市阎良区人民政府关于关山镇、武屯镇撤镇设街道的批复》(阎政发【2018】26号)文件，西安市阎良区武屯镇人民政府现更名为西安市阎良区武屯街道办事处。根据原三定方案，部门主要职责及内设机构设置如下：</w:t>
      </w:r>
    </w:p>
    <w:p w14:paraId="503E3FE1">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1、部门主要职责</w:t>
      </w:r>
    </w:p>
    <w:p w14:paraId="18D2E25C">
      <w:pPr>
        <w:pStyle w:val="7"/>
        <w:shd w:val="clear" w:color="auto" w:fill="FFFFFF"/>
        <w:spacing w:before="0" w:beforeAutospacing="0" w:after="0" w:afterAutospacing="0" w:line="540" w:lineRule="exact"/>
        <w:ind w:firstLine="480" w:firstLineChars="150"/>
        <w:rPr>
          <w:rFonts w:ascii="仿宋" w:hAnsi="仿宋" w:eastAsia="仿宋" w:cs="Batang"/>
          <w:sz w:val="32"/>
          <w:szCs w:val="32"/>
        </w:rPr>
      </w:pPr>
      <w:r>
        <w:rPr>
          <w:rFonts w:hint="eastAsia" w:ascii="仿宋" w:hAnsi="仿宋" w:eastAsia="仿宋" w:cs="华文仿宋"/>
          <w:sz w:val="32"/>
          <w:szCs w:val="32"/>
        </w:rPr>
        <w:t>（一）</w:t>
      </w:r>
      <w:r>
        <w:rPr>
          <w:rFonts w:hint="eastAsia" w:ascii="仿宋" w:hAnsi="仿宋" w:eastAsia="仿宋"/>
          <w:sz w:val="32"/>
          <w:szCs w:val="32"/>
        </w:rPr>
        <w:t>贯彻执</w:t>
      </w:r>
      <w:r>
        <w:rPr>
          <w:rFonts w:hint="eastAsia" w:ascii="仿宋" w:hAnsi="仿宋" w:eastAsia="仿宋" w:cs="Batang"/>
          <w:sz w:val="32"/>
          <w:szCs w:val="32"/>
        </w:rPr>
        <w:t>行党的路</w:t>
      </w:r>
      <w:r>
        <w:rPr>
          <w:rFonts w:hint="eastAsia" w:ascii="仿宋" w:hAnsi="仿宋" w:eastAsia="仿宋"/>
          <w:sz w:val="32"/>
          <w:szCs w:val="32"/>
        </w:rPr>
        <w:t>线</w:t>
      </w:r>
      <w:r>
        <w:rPr>
          <w:rFonts w:hint="eastAsia" w:ascii="仿宋" w:hAnsi="仿宋" w:eastAsia="仿宋" w:cs="Batang"/>
          <w:sz w:val="32"/>
          <w:szCs w:val="32"/>
        </w:rPr>
        <w:t>、方</w:t>
      </w:r>
      <w:r>
        <w:rPr>
          <w:rFonts w:hint="eastAsia" w:ascii="仿宋" w:hAnsi="仿宋" w:eastAsia="仿宋"/>
          <w:sz w:val="32"/>
          <w:szCs w:val="32"/>
        </w:rPr>
        <w:t>针</w:t>
      </w:r>
      <w:r>
        <w:rPr>
          <w:rFonts w:hint="eastAsia" w:ascii="仿宋" w:hAnsi="仿宋" w:eastAsia="仿宋" w:cs="Batang"/>
          <w:sz w:val="32"/>
          <w:szCs w:val="32"/>
        </w:rPr>
        <w:t>、政策和法律、法</w:t>
      </w:r>
      <w:r>
        <w:rPr>
          <w:rFonts w:hint="eastAsia" w:ascii="仿宋" w:hAnsi="仿宋" w:eastAsia="仿宋"/>
          <w:sz w:val="32"/>
          <w:szCs w:val="32"/>
        </w:rPr>
        <w:t>规</w:t>
      </w:r>
      <w:r>
        <w:rPr>
          <w:rFonts w:hint="eastAsia" w:ascii="仿宋" w:hAnsi="仿宋" w:eastAsia="仿宋" w:cs="Batang"/>
          <w:sz w:val="32"/>
          <w:szCs w:val="32"/>
        </w:rPr>
        <w:t>。</w:t>
      </w:r>
      <w:r>
        <w:rPr>
          <w:rFonts w:hint="eastAsia" w:ascii="仿宋" w:hAnsi="仿宋" w:eastAsia="仿宋"/>
          <w:sz w:val="32"/>
          <w:szCs w:val="32"/>
        </w:rPr>
        <w:t>执</w:t>
      </w:r>
      <w:r>
        <w:rPr>
          <w:rFonts w:hint="eastAsia" w:ascii="仿宋" w:hAnsi="仿宋" w:eastAsia="仿宋" w:cs="Batang"/>
          <w:sz w:val="32"/>
          <w:szCs w:val="32"/>
        </w:rPr>
        <w:t>行</w:t>
      </w:r>
      <w:r>
        <w:rPr>
          <w:rFonts w:hint="eastAsia" w:ascii="仿宋" w:hAnsi="仿宋" w:eastAsia="仿宋"/>
          <w:sz w:val="32"/>
          <w:szCs w:val="32"/>
        </w:rPr>
        <w:t>镇</w:t>
      </w:r>
      <w:r>
        <w:rPr>
          <w:rFonts w:hint="eastAsia" w:ascii="仿宋" w:hAnsi="仿宋" w:eastAsia="仿宋" w:cs="Batang"/>
          <w:sz w:val="32"/>
          <w:szCs w:val="32"/>
        </w:rPr>
        <w:t>党代</w:t>
      </w:r>
      <w:r>
        <w:rPr>
          <w:rFonts w:hint="eastAsia" w:ascii="仿宋" w:hAnsi="仿宋" w:eastAsia="仿宋"/>
          <w:sz w:val="32"/>
          <w:szCs w:val="32"/>
        </w:rPr>
        <w:t>会决议</w:t>
      </w:r>
      <w:r>
        <w:rPr>
          <w:rFonts w:hint="eastAsia" w:ascii="仿宋" w:hAnsi="仿宋" w:eastAsia="仿宋" w:cs="Batang"/>
          <w:sz w:val="32"/>
          <w:szCs w:val="32"/>
        </w:rPr>
        <w:t>和人民代表大</w:t>
      </w:r>
      <w:r>
        <w:rPr>
          <w:rFonts w:hint="eastAsia" w:ascii="仿宋" w:hAnsi="仿宋" w:eastAsia="仿宋"/>
          <w:sz w:val="32"/>
          <w:szCs w:val="32"/>
        </w:rPr>
        <w:t>会决议</w:t>
      </w:r>
      <w:r>
        <w:rPr>
          <w:rFonts w:hint="eastAsia" w:ascii="仿宋" w:hAnsi="仿宋" w:eastAsia="仿宋" w:cs="Batang"/>
          <w:sz w:val="32"/>
          <w:szCs w:val="32"/>
        </w:rPr>
        <w:t>。</w:t>
      </w:r>
      <w:r>
        <w:rPr>
          <w:rFonts w:hint="eastAsia" w:ascii="仿宋" w:hAnsi="仿宋" w:eastAsia="仿宋"/>
          <w:sz w:val="32"/>
          <w:szCs w:val="32"/>
        </w:rPr>
        <w:t>执</w:t>
      </w:r>
      <w:r>
        <w:rPr>
          <w:rFonts w:hint="eastAsia" w:ascii="仿宋" w:hAnsi="仿宋" w:eastAsia="仿宋" w:cs="Batang"/>
          <w:sz w:val="32"/>
          <w:szCs w:val="32"/>
        </w:rPr>
        <w:t>行上</w:t>
      </w:r>
      <w:r>
        <w:rPr>
          <w:rFonts w:hint="eastAsia" w:ascii="仿宋" w:hAnsi="仿宋" w:eastAsia="仿宋"/>
          <w:sz w:val="32"/>
          <w:szCs w:val="32"/>
        </w:rPr>
        <w:t>级</w:t>
      </w:r>
      <w:r>
        <w:rPr>
          <w:rFonts w:hint="eastAsia" w:ascii="仿宋" w:hAnsi="仿宋" w:eastAsia="仿宋" w:cs="Batang"/>
          <w:sz w:val="32"/>
          <w:szCs w:val="32"/>
        </w:rPr>
        <w:t>党</w:t>
      </w:r>
      <w:r>
        <w:rPr>
          <w:rFonts w:hint="eastAsia" w:ascii="仿宋" w:hAnsi="仿宋" w:eastAsia="仿宋"/>
          <w:sz w:val="32"/>
          <w:szCs w:val="32"/>
        </w:rPr>
        <w:t>组织</w:t>
      </w:r>
      <w:r>
        <w:rPr>
          <w:rFonts w:hint="eastAsia" w:ascii="仿宋" w:hAnsi="仿宋" w:eastAsia="仿宋" w:cs="Batang"/>
          <w:sz w:val="32"/>
          <w:szCs w:val="32"/>
        </w:rPr>
        <w:t>和行政机</w:t>
      </w:r>
      <w:r>
        <w:rPr>
          <w:rFonts w:hint="eastAsia" w:ascii="仿宋" w:hAnsi="仿宋" w:eastAsia="仿宋"/>
          <w:sz w:val="32"/>
          <w:szCs w:val="32"/>
        </w:rPr>
        <w:t>关</w:t>
      </w:r>
      <w:r>
        <w:rPr>
          <w:rFonts w:hint="eastAsia" w:ascii="仿宋" w:hAnsi="仿宋" w:eastAsia="仿宋" w:cs="Batang"/>
          <w:sz w:val="32"/>
          <w:szCs w:val="32"/>
        </w:rPr>
        <w:t>的</w:t>
      </w:r>
      <w:r>
        <w:rPr>
          <w:rFonts w:hint="eastAsia" w:ascii="仿宋" w:hAnsi="仿宋" w:eastAsia="仿宋"/>
          <w:sz w:val="32"/>
          <w:szCs w:val="32"/>
        </w:rPr>
        <w:t>决</w:t>
      </w:r>
      <w:r>
        <w:rPr>
          <w:rFonts w:hint="eastAsia" w:ascii="仿宋" w:hAnsi="仿宋" w:eastAsia="仿宋" w:cs="Batang"/>
          <w:sz w:val="32"/>
          <w:szCs w:val="32"/>
        </w:rPr>
        <w:t>定和命令。加强和</w:t>
      </w:r>
      <w:r>
        <w:rPr>
          <w:rFonts w:hint="eastAsia" w:ascii="仿宋" w:hAnsi="仿宋" w:eastAsia="仿宋"/>
          <w:sz w:val="32"/>
          <w:szCs w:val="32"/>
        </w:rPr>
        <w:t>谐</w:t>
      </w:r>
      <w:r>
        <w:rPr>
          <w:rFonts w:hint="eastAsia" w:ascii="仿宋" w:hAnsi="仿宋" w:eastAsia="仿宋" w:cs="Batang"/>
          <w:sz w:val="32"/>
          <w:szCs w:val="32"/>
        </w:rPr>
        <w:t>社</w:t>
      </w:r>
      <w:r>
        <w:rPr>
          <w:rFonts w:hint="eastAsia" w:ascii="仿宋" w:hAnsi="仿宋" w:eastAsia="仿宋"/>
          <w:sz w:val="32"/>
          <w:szCs w:val="32"/>
        </w:rPr>
        <w:t>会</w:t>
      </w:r>
      <w:r>
        <w:rPr>
          <w:rFonts w:hint="eastAsia" w:ascii="仿宋" w:hAnsi="仿宋" w:eastAsia="仿宋" w:cs="Batang"/>
          <w:sz w:val="32"/>
          <w:szCs w:val="32"/>
        </w:rPr>
        <w:t>建</w:t>
      </w:r>
      <w:r>
        <w:rPr>
          <w:rFonts w:hint="eastAsia" w:ascii="仿宋" w:hAnsi="仿宋" w:eastAsia="仿宋"/>
          <w:sz w:val="32"/>
          <w:szCs w:val="32"/>
        </w:rPr>
        <w:t>设</w:t>
      </w:r>
      <w:r>
        <w:rPr>
          <w:rFonts w:hint="eastAsia" w:ascii="仿宋" w:hAnsi="仿宋" w:eastAsia="仿宋" w:cs="Batang"/>
          <w:sz w:val="32"/>
          <w:szCs w:val="32"/>
        </w:rPr>
        <w:t>、社</w:t>
      </w:r>
      <w:r>
        <w:rPr>
          <w:rFonts w:hint="eastAsia" w:ascii="仿宋" w:hAnsi="仿宋" w:eastAsia="仿宋"/>
          <w:sz w:val="32"/>
          <w:szCs w:val="32"/>
        </w:rPr>
        <w:t>会</w:t>
      </w:r>
      <w:r>
        <w:rPr>
          <w:rFonts w:hint="eastAsia" w:ascii="仿宋" w:hAnsi="仿宋" w:eastAsia="仿宋" w:cs="Batang"/>
          <w:sz w:val="32"/>
          <w:szCs w:val="32"/>
        </w:rPr>
        <w:t>主</w:t>
      </w:r>
      <w:r>
        <w:rPr>
          <w:rFonts w:hint="eastAsia" w:ascii="仿宋" w:hAnsi="仿宋" w:eastAsia="仿宋"/>
          <w:sz w:val="32"/>
          <w:szCs w:val="32"/>
        </w:rPr>
        <w:t>义</w:t>
      </w:r>
      <w:r>
        <w:rPr>
          <w:rFonts w:hint="eastAsia" w:ascii="仿宋" w:hAnsi="仿宋" w:eastAsia="仿宋" w:cs="Batang"/>
          <w:sz w:val="32"/>
          <w:szCs w:val="32"/>
        </w:rPr>
        <w:t>新</w:t>
      </w:r>
      <w:r>
        <w:rPr>
          <w:rFonts w:hint="eastAsia" w:ascii="仿宋" w:hAnsi="仿宋" w:eastAsia="仿宋"/>
          <w:sz w:val="32"/>
          <w:szCs w:val="32"/>
        </w:rPr>
        <w:t>农</w:t>
      </w:r>
      <w:r>
        <w:rPr>
          <w:rFonts w:hint="eastAsia" w:ascii="仿宋" w:hAnsi="仿宋" w:eastAsia="仿宋" w:cs="Batang"/>
          <w:sz w:val="32"/>
          <w:szCs w:val="32"/>
        </w:rPr>
        <w:t>村建</w:t>
      </w:r>
      <w:r>
        <w:rPr>
          <w:rFonts w:hint="eastAsia" w:ascii="仿宋" w:hAnsi="仿宋" w:eastAsia="仿宋"/>
          <w:sz w:val="32"/>
          <w:szCs w:val="32"/>
        </w:rPr>
        <w:t>设</w:t>
      </w:r>
      <w:r>
        <w:rPr>
          <w:rFonts w:hint="eastAsia" w:ascii="仿宋" w:hAnsi="仿宋" w:eastAsia="仿宋" w:cs="Batang"/>
          <w:sz w:val="32"/>
          <w:szCs w:val="32"/>
        </w:rPr>
        <w:t>和小城</w:t>
      </w:r>
      <w:r>
        <w:rPr>
          <w:rFonts w:hint="eastAsia" w:ascii="仿宋" w:hAnsi="仿宋" w:eastAsia="仿宋"/>
          <w:sz w:val="32"/>
          <w:szCs w:val="32"/>
        </w:rPr>
        <w:t>镇</w:t>
      </w:r>
      <w:r>
        <w:rPr>
          <w:rFonts w:hint="eastAsia" w:ascii="仿宋" w:hAnsi="仿宋" w:eastAsia="仿宋" w:cs="Batang"/>
          <w:sz w:val="32"/>
          <w:szCs w:val="32"/>
        </w:rPr>
        <w:t>建</w:t>
      </w:r>
      <w:r>
        <w:rPr>
          <w:rFonts w:hint="eastAsia" w:ascii="仿宋" w:hAnsi="仿宋" w:eastAsia="仿宋"/>
          <w:sz w:val="32"/>
          <w:szCs w:val="32"/>
        </w:rPr>
        <w:t>设</w:t>
      </w:r>
      <w:r>
        <w:rPr>
          <w:rFonts w:hint="eastAsia" w:ascii="仿宋" w:hAnsi="仿宋" w:eastAsia="仿宋" w:cs="Batang"/>
          <w:sz w:val="32"/>
          <w:szCs w:val="32"/>
        </w:rPr>
        <w:t>。</w:t>
      </w:r>
    </w:p>
    <w:p w14:paraId="6FF48912">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（二）制定</w:t>
      </w:r>
      <w:r>
        <w:rPr>
          <w:rFonts w:hint="eastAsia" w:ascii="仿宋" w:hAnsi="仿宋" w:eastAsia="仿宋"/>
          <w:sz w:val="32"/>
          <w:szCs w:val="32"/>
        </w:rPr>
        <w:t>并实</w:t>
      </w:r>
      <w:r>
        <w:rPr>
          <w:rFonts w:hint="eastAsia" w:ascii="仿宋" w:hAnsi="仿宋" w:eastAsia="仿宋" w:cs="Batang"/>
          <w:sz w:val="32"/>
          <w:szCs w:val="32"/>
        </w:rPr>
        <w:t>施</w:t>
      </w:r>
      <w:r>
        <w:rPr>
          <w:rFonts w:hint="eastAsia" w:ascii="仿宋" w:hAnsi="仿宋" w:eastAsia="仿宋"/>
          <w:sz w:val="32"/>
          <w:szCs w:val="32"/>
        </w:rPr>
        <w:t>区</w:t>
      </w:r>
      <w:r>
        <w:rPr>
          <w:rFonts w:hint="eastAsia" w:ascii="仿宋" w:hAnsi="仿宋" w:eastAsia="仿宋" w:cs="Batang"/>
          <w:sz w:val="32"/>
          <w:szCs w:val="32"/>
        </w:rPr>
        <w:t>域</w:t>
      </w:r>
      <w:r>
        <w:rPr>
          <w:rFonts w:hint="eastAsia" w:ascii="仿宋" w:hAnsi="仿宋" w:eastAsia="仿宋"/>
          <w:sz w:val="32"/>
          <w:szCs w:val="32"/>
        </w:rPr>
        <w:t>经济</w:t>
      </w:r>
      <w:r>
        <w:rPr>
          <w:rFonts w:hint="eastAsia" w:ascii="仿宋" w:hAnsi="仿宋" w:eastAsia="仿宋" w:cs="Batang"/>
          <w:sz w:val="32"/>
          <w:szCs w:val="32"/>
        </w:rPr>
        <w:t>社</w:t>
      </w:r>
      <w:r>
        <w:rPr>
          <w:rFonts w:hint="eastAsia" w:ascii="仿宋" w:hAnsi="仿宋" w:eastAsia="仿宋"/>
          <w:sz w:val="32"/>
          <w:szCs w:val="32"/>
        </w:rPr>
        <w:t>会发</w:t>
      </w:r>
      <w:r>
        <w:rPr>
          <w:rFonts w:hint="eastAsia" w:ascii="仿宋" w:hAnsi="仿宋" w:eastAsia="仿宋" w:cs="Batang"/>
          <w:sz w:val="32"/>
          <w:szCs w:val="32"/>
        </w:rPr>
        <w:t>展</w:t>
      </w:r>
      <w:r>
        <w:rPr>
          <w:rFonts w:hint="eastAsia" w:ascii="仿宋" w:hAnsi="仿宋" w:eastAsia="仿宋"/>
          <w:sz w:val="32"/>
          <w:szCs w:val="32"/>
        </w:rPr>
        <w:t>规划</w:t>
      </w:r>
      <w:r>
        <w:rPr>
          <w:rFonts w:hint="eastAsia" w:ascii="仿宋" w:hAnsi="仿宋" w:eastAsia="仿宋" w:cs="Batang"/>
          <w:sz w:val="32"/>
          <w:szCs w:val="32"/>
        </w:rPr>
        <w:t>和</w:t>
      </w:r>
      <w:r>
        <w:rPr>
          <w:rFonts w:hint="eastAsia" w:ascii="仿宋" w:hAnsi="仿宋" w:eastAsia="仿宋"/>
          <w:sz w:val="32"/>
          <w:szCs w:val="32"/>
        </w:rPr>
        <w:t>镇</w:t>
      </w:r>
      <w:r>
        <w:rPr>
          <w:rFonts w:hint="eastAsia" w:ascii="仿宋" w:hAnsi="仿宋" w:eastAsia="仿宋" w:cs="Batang"/>
          <w:sz w:val="32"/>
          <w:szCs w:val="32"/>
        </w:rPr>
        <w:t>村</w:t>
      </w:r>
      <w:r>
        <w:rPr>
          <w:rFonts w:hint="eastAsia" w:ascii="仿宋" w:hAnsi="仿宋" w:eastAsia="仿宋" w:cs="华文仿宋"/>
          <w:sz w:val="32"/>
          <w:szCs w:val="32"/>
        </w:rPr>
        <w:t>公共基</w:t>
      </w:r>
      <w:r>
        <w:rPr>
          <w:rFonts w:hint="eastAsia" w:ascii="仿宋" w:hAnsi="仿宋" w:eastAsia="仿宋"/>
          <w:sz w:val="32"/>
          <w:szCs w:val="32"/>
        </w:rPr>
        <w:t>础设</w:t>
      </w:r>
      <w:r>
        <w:rPr>
          <w:rFonts w:hint="eastAsia" w:ascii="仿宋" w:hAnsi="仿宋" w:eastAsia="仿宋" w:cs="Batang"/>
          <w:sz w:val="32"/>
          <w:szCs w:val="32"/>
        </w:rPr>
        <w:t>施建</w:t>
      </w:r>
      <w:r>
        <w:rPr>
          <w:rFonts w:hint="eastAsia" w:ascii="仿宋" w:hAnsi="仿宋" w:eastAsia="仿宋"/>
          <w:sz w:val="32"/>
          <w:szCs w:val="32"/>
        </w:rPr>
        <w:t>设规划</w:t>
      </w:r>
      <w:r>
        <w:rPr>
          <w:rFonts w:hint="eastAsia" w:ascii="仿宋" w:hAnsi="仿宋" w:eastAsia="仿宋" w:cs="Batang"/>
          <w:sz w:val="32"/>
          <w:szCs w:val="32"/>
        </w:rPr>
        <w:t>。</w:t>
      </w:r>
      <w:r>
        <w:rPr>
          <w:rFonts w:hint="eastAsia" w:ascii="仿宋" w:hAnsi="仿宋" w:eastAsia="仿宋"/>
          <w:sz w:val="32"/>
          <w:szCs w:val="32"/>
        </w:rPr>
        <w:t>负责产业发</w:t>
      </w:r>
      <w:r>
        <w:rPr>
          <w:rFonts w:hint="eastAsia" w:ascii="仿宋" w:hAnsi="仿宋" w:eastAsia="仿宋" w:cs="Batang"/>
          <w:sz w:val="32"/>
          <w:szCs w:val="32"/>
        </w:rPr>
        <w:t>展、公共基</w:t>
      </w:r>
      <w:r>
        <w:rPr>
          <w:rFonts w:hint="eastAsia" w:ascii="仿宋" w:hAnsi="仿宋" w:eastAsia="仿宋"/>
          <w:sz w:val="32"/>
          <w:szCs w:val="32"/>
        </w:rPr>
        <w:t>础设</w:t>
      </w:r>
      <w:r>
        <w:rPr>
          <w:rFonts w:hint="eastAsia" w:ascii="仿宋" w:hAnsi="仿宋" w:eastAsia="仿宋" w:cs="Batang"/>
          <w:sz w:val="32"/>
          <w:szCs w:val="32"/>
        </w:rPr>
        <w:t>施建</w:t>
      </w:r>
      <w:r>
        <w:rPr>
          <w:rFonts w:hint="eastAsia" w:ascii="仿宋" w:hAnsi="仿宋" w:eastAsia="仿宋"/>
          <w:sz w:val="32"/>
          <w:szCs w:val="32"/>
        </w:rPr>
        <w:t>设</w:t>
      </w:r>
      <w:r>
        <w:rPr>
          <w:rFonts w:hint="eastAsia" w:ascii="仿宋" w:hAnsi="仿宋" w:eastAsia="仿宋" w:cs="Batang"/>
          <w:sz w:val="32"/>
          <w:szCs w:val="32"/>
        </w:rPr>
        <w:t>、</w:t>
      </w:r>
      <w:r>
        <w:rPr>
          <w:rFonts w:hint="eastAsia" w:ascii="仿宋" w:hAnsi="仿宋" w:eastAsia="仿宋"/>
          <w:sz w:val="32"/>
          <w:szCs w:val="32"/>
        </w:rPr>
        <w:t>农业综</w:t>
      </w:r>
      <w:r>
        <w:rPr>
          <w:rFonts w:hint="eastAsia" w:ascii="仿宋" w:hAnsi="仿宋" w:eastAsia="仿宋" w:cs="Batang"/>
          <w:sz w:val="32"/>
          <w:szCs w:val="32"/>
        </w:rPr>
        <w:t>合</w:t>
      </w:r>
      <w:r>
        <w:rPr>
          <w:rFonts w:hint="eastAsia" w:ascii="仿宋" w:hAnsi="仿宋" w:eastAsia="仿宋"/>
          <w:sz w:val="32"/>
          <w:szCs w:val="32"/>
        </w:rPr>
        <w:t>开发</w:t>
      </w:r>
      <w:r>
        <w:rPr>
          <w:rFonts w:hint="eastAsia" w:ascii="仿宋" w:hAnsi="仿宋" w:eastAsia="仿宋" w:cs="Batang"/>
          <w:sz w:val="32"/>
          <w:szCs w:val="32"/>
        </w:rPr>
        <w:t>、扶</w:t>
      </w:r>
      <w:r>
        <w:rPr>
          <w:rFonts w:hint="eastAsia" w:ascii="仿宋" w:hAnsi="仿宋" w:eastAsia="仿宋"/>
          <w:sz w:val="32"/>
          <w:szCs w:val="32"/>
        </w:rPr>
        <w:t>贫开发</w:t>
      </w:r>
      <w:r>
        <w:rPr>
          <w:rFonts w:hint="eastAsia" w:ascii="仿宋" w:hAnsi="仿宋" w:eastAsia="仿宋" w:cs="Batang"/>
          <w:sz w:val="32"/>
          <w:szCs w:val="32"/>
        </w:rPr>
        <w:t>、商</w:t>
      </w:r>
      <w:r>
        <w:rPr>
          <w:rFonts w:hint="eastAsia" w:ascii="仿宋" w:hAnsi="仿宋" w:eastAsia="仿宋"/>
          <w:sz w:val="32"/>
          <w:szCs w:val="32"/>
        </w:rPr>
        <w:t>贸</w:t>
      </w:r>
      <w:r>
        <w:rPr>
          <w:rFonts w:hint="eastAsia" w:ascii="仿宋" w:hAnsi="仿宋" w:eastAsia="仿宋" w:cs="Batang"/>
          <w:sz w:val="32"/>
          <w:szCs w:val="32"/>
        </w:rPr>
        <w:t>流通、</w:t>
      </w:r>
      <w:r>
        <w:rPr>
          <w:rFonts w:hint="eastAsia" w:ascii="仿宋" w:hAnsi="仿宋" w:eastAsia="仿宋"/>
          <w:sz w:val="32"/>
          <w:szCs w:val="32"/>
        </w:rPr>
        <w:t>动</w:t>
      </w:r>
      <w:r>
        <w:rPr>
          <w:rFonts w:hint="eastAsia" w:ascii="仿宋" w:hAnsi="仿宋" w:eastAsia="仿宋" w:cs="Batang"/>
          <w:sz w:val="32"/>
          <w:szCs w:val="32"/>
        </w:rPr>
        <w:t>植物防疫、</w:t>
      </w:r>
      <w:r>
        <w:rPr>
          <w:rFonts w:hint="eastAsia" w:ascii="仿宋" w:hAnsi="仿宋" w:eastAsia="仿宋"/>
          <w:sz w:val="32"/>
          <w:szCs w:val="32"/>
        </w:rPr>
        <w:t>环</w:t>
      </w:r>
      <w:r>
        <w:rPr>
          <w:rFonts w:hint="eastAsia" w:ascii="仿宋" w:hAnsi="仿宋" w:eastAsia="仿宋" w:cs="Batang"/>
          <w:sz w:val="32"/>
          <w:szCs w:val="32"/>
        </w:rPr>
        <w:t>境保</w:t>
      </w:r>
      <w:r>
        <w:rPr>
          <w:rFonts w:hint="eastAsia" w:ascii="仿宋" w:hAnsi="仿宋" w:eastAsia="仿宋"/>
          <w:sz w:val="32"/>
          <w:szCs w:val="32"/>
        </w:rPr>
        <w:t>护</w:t>
      </w:r>
      <w:r>
        <w:rPr>
          <w:rFonts w:hint="eastAsia" w:ascii="仿宋" w:hAnsi="仿宋" w:eastAsia="仿宋" w:cs="Batang"/>
          <w:sz w:val="32"/>
          <w:szCs w:val="32"/>
        </w:rPr>
        <w:t>、安全生</w:t>
      </w:r>
      <w:r>
        <w:rPr>
          <w:rFonts w:hint="eastAsia" w:ascii="仿宋" w:hAnsi="仿宋" w:eastAsia="仿宋"/>
          <w:sz w:val="32"/>
          <w:szCs w:val="32"/>
        </w:rPr>
        <w:t>产监</w:t>
      </w:r>
      <w:r>
        <w:rPr>
          <w:rFonts w:hint="eastAsia" w:ascii="仿宋" w:hAnsi="仿宋" w:eastAsia="仿宋" w:cs="Batang"/>
          <w:sz w:val="32"/>
          <w:szCs w:val="32"/>
        </w:rPr>
        <w:t>督等工作。</w:t>
      </w:r>
      <w:r>
        <w:rPr>
          <w:rFonts w:hint="eastAsia" w:ascii="仿宋" w:hAnsi="仿宋" w:eastAsia="仿宋"/>
          <w:sz w:val="32"/>
          <w:szCs w:val="32"/>
        </w:rPr>
        <w:t>协调经济</w:t>
      </w:r>
      <w:r>
        <w:rPr>
          <w:rFonts w:hint="eastAsia" w:ascii="仿宋" w:hAnsi="仿宋" w:eastAsia="仿宋" w:cs="Batang"/>
          <w:sz w:val="32"/>
          <w:szCs w:val="32"/>
        </w:rPr>
        <w:t>社</w:t>
      </w:r>
      <w:r>
        <w:rPr>
          <w:rFonts w:hint="eastAsia" w:ascii="仿宋" w:hAnsi="仿宋" w:eastAsia="仿宋"/>
          <w:sz w:val="32"/>
          <w:szCs w:val="32"/>
        </w:rPr>
        <w:t>会发</w:t>
      </w:r>
      <w:r>
        <w:rPr>
          <w:rFonts w:hint="eastAsia" w:ascii="仿宋" w:hAnsi="仿宋" w:eastAsia="仿宋" w:cs="Batang"/>
          <w:sz w:val="32"/>
          <w:szCs w:val="32"/>
        </w:rPr>
        <w:t>展相</w:t>
      </w:r>
      <w:r>
        <w:rPr>
          <w:rFonts w:hint="eastAsia" w:ascii="仿宋" w:hAnsi="仿宋" w:eastAsia="仿宋"/>
          <w:sz w:val="32"/>
          <w:szCs w:val="32"/>
        </w:rPr>
        <w:t>关</w:t>
      </w:r>
      <w:r>
        <w:rPr>
          <w:rFonts w:hint="eastAsia" w:ascii="仿宋" w:hAnsi="仿宋" w:eastAsia="仿宋" w:cs="Batang"/>
          <w:sz w:val="32"/>
          <w:szCs w:val="32"/>
        </w:rPr>
        <w:t>工作。</w:t>
      </w:r>
    </w:p>
    <w:p w14:paraId="4E944A06">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（三）承担生</w:t>
      </w:r>
      <w:r>
        <w:rPr>
          <w:rFonts w:hint="eastAsia" w:ascii="仿宋" w:hAnsi="仿宋" w:eastAsia="仿宋"/>
          <w:sz w:val="32"/>
          <w:szCs w:val="32"/>
        </w:rPr>
        <w:t>产经营</w:t>
      </w:r>
      <w:r>
        <w:rPr>
          <w:rFonts w:hint="eastAsia" w:ascii="仿宋" w:hAnsi="仿宋" w:eastAsia="仿宋" w:cs="Batang"/>
          <w:sz w:val="32"/>
          <w:szCs w:val="32"/>
        </w:rPr>
        <w:t>、土地流</w:t>
      </w:r>
      <w:r>
        <w:rPr>
          <w:rFonts w:hint="eastAsia" w:ascii="仿宋" w:hAnsi="仿宋" w:eastAsia="仿宋"/>
          <w:sz w:val="32"/>
          <w:szCs w:val="32"/>
        </w:rPr>
        <w:t>转</w:t>
      </w:r>
      <w:r>
        <w:rPr>
          <w:rFonts w:hint="eastAsia" w:ascii="仿宋" w:hAnsi="仿宋" w:eastAsia="仿宋" w:cs="Batang"/>
          <w:sz w:val="32"/>
          <w:szCs w:val="32"/>
        </w:rPr>
        <w:t>、科技推广、社</w:t>
      </w:r>
      <w:r>
        <w:rPr>
          <w:rFonts w:hint="eastAsia" w:ascii="仿宋" w:hAnsi="仿宋" w:eastAsia="仿宋"/>
          <w:sz w:val="32"/>
          <w:szCs w:val="32"/>
        </w:rPr>
        <w:t>会</w:t>
      </w:r>
      <w:r>
        <w:rPr>
          <w:rFonts w:hint="eastAsia" w:ascii="仿宋" w:hAnsi="仿宋" w:eastAsia="仿宋" w:cs="Batang"/>
          <w:sz w:val="32"/>
          <w:szCs w:val="32"/>
        </w:rPr>
        <w:t>保</w:t>
      </w:r>
      <w:r>
        <w:rPr>
          <w:rFonts w:hint="eastAsia" w:ascii="仿宋" w:hAnsi="仿宋" w:eastAsia="仿宋"/>
          <w:sz w:val="32"/>
          <w:szCs w:val="32"/>
        </w:rPr>
        <w:t>险</w:t>
      </w:r>
      <w:r>
        <w:rPr>
          <w:rFonts w:hint="eastAsia" w:ascii="仿宋" w:hAnsi="仿宋" w:eastAsia="仿宋" w:cs="Batang"/>
          <w:sz w:val="32"/>
          <w:szCs w:val="32"/>
        </w:rPr>
        <w:t>、救助、福利、就</w:t>
      </w:r>
      <w:r>
        <w:rPr>
          <w:rFonts w:hint="eastAsia" w:ascii="仿宋" w:hAnsi="仿宋" w:eastAsia="仿宋"/>
          <w:sz w:val="32"/>
          <w:szCs w:val="32"/>
        </w:rPr>
        <w:t>业</w:t>
      </w:r>
      <w:r>
        <w:rPr>
          <w:rFonts w:hint="eastAsia" w:ascii="仿宋" w:hAnsi="仿宋" w:eastAsia="仿宋" w:cs="Batang"/>
          <w:sz w:val="32"/>
          <w:szCs w:val="32"/>
        </w:rPr>
        <w:t>培</w:t>
      </w:r>
      <w:r>
        <w:rPr>
          <w:rFonts w:hint="eastAsia" w:ascii="仿宋" w:hAnsi="仿宋" w:eastAsia="仿宋"/>
          <w:sz w:val="32"/>
          <w:szCs w:val="32"/>
        </w:rPr>
        <w:t>训</w:t>
      </w:r>
      <w:r>
        <w:rPr>
          <w:rFonts w:hint="eastAsia" w:ascii="仿宋" w:hAnsi="仿宋" w:eastAsia="仿宋" w:cs="Batang"/>
          <w:sz w:val="32"/>
          <w:szCs w:val="32"/>
        </w:rPr>
        <w:t>以及就</w:t>
      </w:r>
      <w:r>
        <w:rPr>
          <w:rFonts w:hint="eastAsia" w:ascii="仿宋" w:hAnsi="仿宋" w:eastAsia="仿宋"/>
          <w:sz w:val="32"/>
          <w:szCs w:val="32"/>
        </w:rPr>
        <w:t>业创业</w:t>
      </w:r>
      <w:r>
        <w:rPr>
          <w:rFonts w:hint="eastAsia" w:ascii="仿宋" w:hAnsi="仿宋" w:eastAsia="仿宋" w:cs="Batang"/>
          <w:sz w:val="32"/>
          <w:szCs w:val="32"/>
        </w:rPr>
        <w:t>等具体服</w:t>
      </w:r>
      <w:r>
        <w:rPr>
          <w:rFonts w:hint="eastAsia" w:ascii="仿宋" w:hAnsi="仿宋" w:eastAsia="仿宋"/>
          <w:sz w:val="32"/>
          <w:szCs w:val="32"/>
        </w:rPr>
        <w:t>务</w:t>
      </w:r>
      <w:r>
        <w:rPr>
          <w:rFonts w:hint="eastAsia" w:ascii="仿宋" w:hAnsi="仿宋" w:eastAsia="仿宋" w:cs="Batang"/>
          <w:sz w:val="32"/>
          <w:szCs w:val="32"/>
        </w:rPr>
        <w:t>工作。</w:t>
      </w:r>
      <w:r>
        <w:rPr>
          <w:rFonts w:hint="eastAsia" w:ascii="仿宋" w:hAnsi="仿宋" w:eastAsia="仿宋"/>
          <w:sz w:val="32"/>
          <w:szCs w:val="32"/>
        </w:rPr>
        <w:t>负责镇</w:t>
      </w:r>
      <w:r>
        <w:rPr>
          <w:rFonts w:hint="eastAsia" w:ascii="仿宋" w:hAnsi="仿宋" w:eastAsia="仿宋" w:cs="Batang"/>
          <w:sz w:val="32"/>
          <w:szCs w:val="32"/>
        </w:rPr>
        <w:t>村道路管</w:t>
      </w:r>
      <w:r>
        <w:rPr>
          <w:rFonts w:hint="eastAsia" w:ascii="仿宋" w:hAnsi="仿宋" w:eastAsia="仿宋"/>
          <w:sz w:val="32"/>
          <w:szCs w:val="32"/>
        </w:rPr>
        <w:t>护</w:t>
      </w:r>
      <w:r>
        <w:rPr>
          <w:rFonts w:hint="eastAsia" w:ascii="仿宋" w:hAnsi="仿宋" w:eastAsia="仿宋" w:cs="Batang"/>
          <w:sz w:val="32"/>
          <w:szCs w:val="32"/>
        </w:rPr>
        <w:t>、</w:t>
      </w:r>
      <w:r>
        <w:rPr>
          <w:rFonts w:hint="eastAsia" w:ascii="仿宋" w:hAnsi="仿宋" w:eastAsia="仿宋"/>
          <w:sz w:val="32"/>
          <w:szCs w:val="32"/>
        </w:rPr>
        <w:t>环</w:t>
      </w:r>
      <w:r>
        <w:rPr>
          <w:rFonts w:hint="eastAsia" w:ascii="仿宋" w:hAnsi="仿宋" w:eastAsia="仿宋" w:cs="Batang"/>
          <w:sz w:val="32"/>
          <w:szCs w:val="32"/>
        </w:rPr>
        <w:t>境</w:t>
      </w:r>
      <w:r>
        <w:rPr>
          <w:rFonts w:hint="eastAsia" w:ascii="仿宋" w:hAnsi="仿宋" w:eastAsia="仿宋"/>
          <w:sz w:val="32"/>
          <w:szCs w:val="32"/>
        </w:rPr>
        <w:t>卫</w:t>
      </w:r>
      <w:r>
        <w:rPr>
          <w:rFonts w:hint="eastAsia" w:ascii="仿宋" w:hAnsi="仿宋" w:eastAsia="仿宋" w:cs="Batang"/>
          <w:sz w:val="32"/>
          <w:szCs w:val="32"/>
        </w:rPr>
        <w:t>生、供水供</w:t>
      </w:r>
      <w:r>
        <w:rPr>
          <w:rFonts w:hint="eastAsia" w:ascii="仿宋" w:hAnsi="仿宋" w:eastAsia="仿宋"/>
          <w:sz w:val="32"/>
          <w:szCs w:val="32"/>
        </w:rPr>
        <w:t>电</w:t>
      </w:r>
      <w:r>
        <w:rPr>
          <w:rFonts w:hint="eastAsia" w:ascii="仿宋" w:hAnsi="仿宋" w:eastAsia="仿宋" w:cs="Batang"/>
          <w:sz w:val="32"/>
          <w:szCs w:val="32"/>
        </w:rPr>
        <w:t>等公共服</w:t>
      </w:r>
      <w:r>
        <w:rPr>
          <w:rFonts w:hint="eastAsia" w:ascii="仿宋" w:hAnsi="仿宋" w:eastAsia="仿宋"/>
          <w:sz w:val="32"/>
          <w:szCs w:val="32"/>
        </w:rPr>
        <w:t>务</w:t>
      </w:r>
      <w:r>
        <w:rPr>
          <w:rFonts w:hint="eastAsia" w:ascii="仿宋" w:hAnsi="仿宋" w:eastAsia="仿宋" w:cs="Batang"/>
          <w:sz w:val="32"/>
          <w:szCs w:val="32"/>
        </w:rPr>
        <w:t>工作。</w:t>
      </w:r>
    </w:p>
    <w:p w14:paraId="11B1D1CE">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（四）承担民政、社</w:t>
      </w:r>
      <w:r>
        <w:rPr>
          <w:rFonts w:hint="eastAsia" w:ascii="仿宋" w:hAnsi="仿宋" w:eastAsia="仿宋"/>
          <w:sz w:val="32"/>
          <w:szCs w:val="32"/>
        </w:rPr>
        <w:t>会</w:t>
      </w:r>
      <w:r>
        <w:rPr>
          <w:rFonts w:hint="eastAsia" w:ascii="仿宋" w:hAnsi="仿宋" w:eastAsia="仿宋" w:cs="Batang"/>
          <w:sz w:val="32"/>
          <w:szCs w:val="32"/>
        </w:rPr>
        <w:t>保障等</w:t>
      </w:r>
      <w:r>
        <w:rPr>
          <w:rFonts w:hint="eastAsia" w:ascii="仿宋" w:hAnsi="仿宋" w:eastAsia="仿宋"/>
          <w:sz w:val="32"/>
          <w:szCs w:val="32"/>
        </w:rPr>
        <w:t>综</w:t>
      </w:r>
      <w:r>
        <w:rPr>
          <w:rFonts w:hint="eastAsia" w:ascii="仿宋" w:hAnsi="仿宋" w:eastAsia="仿宋" w:cs="Batang"/>
          <w:sz w:val="32"/>
          <w:szCs w:val="32"/>
        </w:rPr>
        <w:t>合性</w:t>
      </w:r>
      <w:r>
        <w:rPr>
          <w:rFonts w:hint="eastAsia" w:ascii="仿宋" w:hAnsi="仿宋" w:eastAsia="仿宋"/>
          <w:sz w:val="32"/>
          <w:szCs w:val="32"/>
        </w:rPr>
        <w:t>实</w:t>
      </w:r>
      <w:r>
        <w:rPr>
          <w:rFonts w:hint="eastAsia" w:ascii="仿宋" w:hAnsi="仿宋" w:eastAsia="仿宋" w:cs="Batang"/>
          <w:sz w:val="32"/>
          <w:szCs w:val="32"/>
        </w:rPr>
        <w:t>物。</w:t>
      </w:r>
      <w:r>
        <w:rPr>
          <w:rFonts w:hint="eastAsia" w:ascii="仿宋" w:hAnsi="仿宋" w:eastAsia="仿宋"/>
          <w:sz w:val="32"/>
          <w:szCs w:val="32"/>
        </w:rPr>
        <w:t>负责</w:t>
      </w:r>
      <w:r>
        <w:rPr>
          <w:rFonts w:hint="eastAsia" w:ascii="仿宋" w:hAnsi="仿宋" w:eastAsia="仿宋" w:cs="Batang"/>
          <w:sz w:val="32"/>
          <w:szCs w:val="32"/>
        </w:rPr>
        <w:t>社</w:t>
      </w:r>
      <w:r>
        <w:rPr>
          <w:rFonts w:hint="eastAsia" w:ascii="仿宋" w:hAnsi="仿宋" w:eastAsia="仿宋"/>
          <w:sz w:val="32"/>
          <w:szCs w:val="32"/>
        </w:rPr>
        <w:t>会</w:t>
      </w:r>
      <w:r>
        <w:rPr>
          <w:rFonts w:hint="eastAsia" w:ascii="仿宋" w:hAnsi="仿宋" w:eastAsia="仿宋" w:cs="Batang"/>
          <w:sz w:val="32"/>
          <w:szCs w:val="32"/>
        </w:rPr>
        <w:t>救助、防汛抗旱和防灾</w:t>
      </w:r>
      <w:r>
        <w:rPr>
          <w:rFonts w:hint="eastAsia" w:ascii="仿宋" w:hAnsi="仿宋" w:eastAsia="仿宋"/>
          <w:sz w:val="32"/>
          <w:szCs w:val="32"/>
        </w:rPr>
        <w:t>减</w:t>
      </w:r>
      <w:r>
        <w:rPr>
          <w:rFonts w:hint="eastAsia" w:ascii="仿宋" w:hAnsi="仿宋" w:eastAsia="仿宋" w:cs="Batang"/>
          <w:sz w:val="32"/>
          <w:szCs w:val="32"/>
        </w:rPr>
        <w:t>灾、社</w:t>
      </w:r>
      <w:r>
        <w:rPr>
          <w:rFonts w:hint="eastAsia" w:ascii="仿宋" w:hAnsi="仿宋" w:eastAsia="仿宋"/>
          <w:sz w:val="32"/>
          <w:szCs w:val="32"/>
        </w:rPr>
        <w:t>区</w:t>
      </w:r>
      <w:r>
        <w:rPr>
          <w:rFonts w:hint="eastAsia" w:ascii="仿宋" w:hAnsi="仿宋" w:eastAsia="仿宋" w:cs="Batang"/>
          <w:sz w:val="32"/>
          <w:szCs w:val="32"/>
        </w:rPr>
        <w:t>建</w:t>
      </w:r>
      <w:r>
        <w:rPr>
          <w:rFonts w:hint="eastAsia" w:ascii="仿宋" w:hAnsi="仿宋" w:eastAsia="仿宋"/>
          <w:sz w:val="32"/>
          <w:szCs w:val="32"/>
        </w:rPr>
        <w:t>设</w:t>
      </w:r>
      <w:r>
        <w:rPr>
          <w:rFonts w:hint="eastAsia" w:ascii="仿宋" w:hAnsi="仿宋" w:eastAsia="仿宋" w:cs="Batang"/>
          <w:sz w:val="32"/>
          <w:szCs w:val="32"/>
        </w:rPr>
        <w:t>、</w:t>
      </w:r>
      <w:r>
        <w:rPr>
          <w:rFonts w:hint="eastAsia" w:ascii="仿宋" w:hAnsi="仿宋" w:eastAsia="仿宋"/>
          <w:sz w:val="32"/>
          <w:szCs w:val="32"/>
        </w:rPr>
        <w:t>拥军优抚</w:t>
      </w:r>
      <w:r>
        <w:rPr>
          <w:rFonts w:hint="eastAsia" w:ascii="仿宋" w:hAnsi="仿宋" w:eastAsia="仿宋" w:cs="Batang"/>
          <w:sz w:val="32"/>
          <w:szCs w:val="32"/>
        </w:rPr>
        <w:t>、民族宗</w:t>
      </w:r>
      <w:r>
        <w:rPr>
          <w:rFonts w:hint="eastAsia" w:ascii="仿宋" w:hAnsi="仿宋" w:eastAsia="仿宋"/>
          <w:sz w:val="32"/>
          <w:szCs w:val="32"/>
        </w:rPr>
        <w:t>教</w:t>
      </w:r>
      <w:r>
        <w:rPr>
          <w:rFonts w:hint="eastAsia" w:ascii="仿宋" w:hAnsi="仿宋" w:eastAsia="仿宋" w:cs="Batang"/>
          <w:sz w:val="32"/>
          <w:szCs w:val="32"/>
        </w:rPr>
        <w:t>、老</w:t>
      </w:r>
      <w:r>
        <w:rPr>
          <w:rFonts w:hint="eastAsia" w:ascii="仿宋" w:hAnsi="仿宋" w:eastAsia="仿宋"/>
          <w:sz w:val="32"/>
          <w:szCs w:val="32"/>
        </w:rPr>
        <w:t>龄</w:t>
      </w:r>
      <w:r>
        <w:rPr>
          <w:rFonts w:hint="eastAsia" w:ascii="仿宋" w:hAnsi="仿宋" w:eastAsia="仿宋" w:cs="Batang"/>
          <w:sz w:val="32"/>
          <w:szCs w:val="32"/>
        </w:rPr>
        <w:t>、</w:t>
      </w:r>
      <w:r>
        <w:rPr>
          <w:rFonts w:hint="eastAsia" w:ascii="仿宋" w:hAnsi="仿宋" w:eastAsia="仿宋"/>
          <w:sz w:val="32"/>
          <w:szCs w:val="32"/>
        </w:rPr>
        <w:t>残</w:t>
      </w:r>
      <w:r>
        <w:rPr>
          <w:rFonts w:hint="eastAsia" w:ascii="仿宋" w:hAnsi="仿宋" w:eastAsia="仿宋" w:cs="Batang"/>
          <w:sz w:val="32"/>
          <w:szCs w:val="32"/>
        </w:rPr>
        <w:t>疾人等工作。</w:t>
      </w:r>
      <w:r>
        <w:rPr>
          <w:rFonts w:hint="eastAsia" w:ascii="仿宋" w:hAnsi="仿宋" w:eastAsia="仿宋"/>
          <w:sz w:val="32"/>
          <w:szCs w:val="32"/>
        </w:rPr>
        <w:t>协调</w:t>
      </w:r>
      <w:r>
        <w:rPr>
          <w:rFonts w:hint="eastAsia" w:ascii="仿宋" w:hAnsi="仿宋" w:eastAsia="仿宋" w:cs="Batang"/>
          <w:sz w:val="32"/>
          <w:szCs w:val="32"/>
        </w:rPr>
        <w:t>社</w:t>
      </w:r>
      <w:r>
        <w:rPr>
          <w:rFonts w:hint="eastAsia" w:ascii="仿宋" w:hAnsi="仿宋" w:eastAsia="仿宋"/>
          <w:sz w:val="32"/>
          <w:szCs w:val="32"/>
        </w:rPr>
        <w:t>会</w:t>
      </w:r>
      <w:r>
        <w:rPr>
          <w:rFonts w:hint="eastAsia" w:ascii="仿宋" w:hAnsi="仿宋" w:eastAsia="仿宋" w:cs="Batang"/>
          <w:sz w:val="32"/>
          <w:szCs w:val="32"/>
        </w:rPr>
        <w:t>事</w:t>
      </w:r>
      <w:r>
        <w:rPr>
          <w:rFonts w:hint="eastAsia" w:ascii="仿宋" w:hAnsi="仿宋" w:eastAsia="仿宋"/>
          <w:sz w:val="32"/>
          <w:szCs w:val="32"/>
        </w:rPr>
        <w:t>务</w:t>
      </w:r>
      <w:r>
        <w:rPr>
          <w:rFonts w:hint="eastAsia" w:ascii="仿宋" w:hAnsi="仿宋" w:eastAsia="仿宋" w:cs="Batang"/>
          <w:sz w:val="32"/>
          <w:szCs w:val="32"/>
        </w:rPr>
        <w:t>相</w:t>
      </w:r>
      <w:r>
        <w:rPr>
          <w:rFonts w:hint="eastAsia" w:ascii="仿宋" w:hAnsi="仿宋" w:eastAsia="仿宋"/>
          <w:sz w:val="32"/>
          <w:szCs w:val="32"/>
        </w:rPr>
        <w:t>关</w:t>
      </w:r>
      <w:r>
        <w:rPr>
          <w:rFonts w:hint="eastAsia" w:ascii="仿宋" w:hAnsi="仿宋" w:eastAsia="仿宋" w:cs="Batang"/>
          <w:sz w:val="32"/>
          <w:szCs w:val="32"/>
        </w:rPr>
        <w:t>工作。</w:t>
      </w:r>
    </w:p>
    <w:p w14:paraId="1E70CDFE">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（五）承担精神文明建</w:t>
      </w:r>
      <w:r>
        <w:rPr>
          <w:rFonts w:hint="eastAsia" w:ascii="仿宋" w:hAnsi="仿宋" w:eastAsia="仿宋"/>
          <w:sz w:val="32"/>
          <w:szCs w:val="32"/>
        </w:rPr>
        <w:t>设</w:t>
      </w:r>
      <w:r>
        <w:rPr>
          <w:rFonts w:hint="eastAsia" w:ascii="仿宋" w:hAnsi="仿宋" w:eastAsia="仿宋" w:cs="Batang"/>
          <w:sz w:val="32"/>
          <w:szCs w:val="32"/>
        </w:rPr>
        <w:t>工作。</w:t>
      </w:r>
      <w:r>
        <w:rPr>
          <w:rFonts w:hint="eastAsia" w:ascii="仿宋" w:hAnsi="仿宋" w:eastAsia="仿宋"/>
          <w:sz w:val="32"/>
          <w:szCs w:val="32"/>
        </w:rPr>
        <w:t>负责</w:t>
      </w:r>
      <w:r>
        <w:rPr>
          <w:rFonts w:hint="eastAsia" w:ascii="仿宋" w:hAnsi="仿宋" w:eastAsia="仿宋" w:cs="Batang"/>
          <w:sz w:val="32"/>
          <w:szCs w:val="32"/>
        </w:rPr>
        <w:t>宣</w:t>
      </w:r>
      <w:r>
        <w:rPr>
          <w:rFonts w:hint="eastAsia" w:ascii="仿宋" w:hAnsi="仿宋" w:eastAsia="仿宋"/>
          <w:sz w:val="32"/>
          <w:szCs w:val="32"/>
        </w:rPr>
        <w:t>传</w:t>
      </w:r>
      <w:r>
        <w:rPr>
          <w:rFonts w:hint="eastAsia" w:ascii="仿宋" w:hAnsi="仿宋" w:eastAsia="仿宋" w:cs="Batang"/>
          <w:sz w:val="32"/>
          <w:szCs w:val="32"/>
        </w:rPr>
        <w:t>、科技、</w:t>
      </w:r>
      <w:r>
        <w:rPr>
          <w:rFonts w:hint="eastAsia" w:ascii="仿宋" w:hAnsi="仿宋" w:eastAsia="仿宋"/>
          <w:sz w:val="32"/>
          <w:szCs w:val="32"/>
        </w:rPr>
        <w:t>教</w:t>
      </w:r>
      <w:r>
        <w:rPr>
          <w:rFonts w:hint="eastAsia" w:ascii="仿宋" w:hAnsi="仿宋" w:eastAsia="仿宋" w:cs="Batang"/>
          <w:sz w:val="32"/>
          <w:szCs w:val="32"/>
        </w:rPr>
        <w:t>育、文化、</w:t>
      </w:r>
      <w:r>
        <w:rPr>
          <w:rFonts w:hint="eastAsia" w:ascii="仿宋" w:hAnsi="仿宋" w:eastAsia="仿宋" w:cs="华文仿宋"/>
          <w:sz w:val="32"/>
          <w:szCs w:val="32"/>
        </w:rPr>
        <w:t>体育、</w:t>
      </w:r>
      <w:r>
        <w:rPr>
          <w:rFonts w:hint="eastAsia" w:ascii="仿宋" w:hAnsi="仿宋" w:eastAsia="仿宋"/>
          <w:sz w:val="32"/>
          <w:szCs w:val="32"/>
        </w:rPr>
        <w:t>卫</w:t>
      </w:r>
      <w:r>
        <w:rPr>
          <w:rFonts w:hint="eastAsia" w:ascii="仿宋" w:hAnsi="仿宋" w:eastAsia="仿宋" w:cs="Batang"/>
          <w:sz w:val="32"/>
          <w:szCs w:val="32"/>
        </w:rPr>
        <w:t>生、</w:t>
      </w:r>
      <w:r>
        <w:rPr>
          <w:rFonts w:hint="eastAsia" w:ascii="仿宋" w:hAnsi="仿宋" w:eastAsia="仿宋"/>
          <w:sz w:val="32"/>
          <w:szCs w:val="32"/>
        </w:rPr>
        <w:t>计</w:t>
      </w:r>
      <w:r>
        <w:rPr>
          <w:rFonts w:hint="eastAsia" w:ascii="仿宋" w:hAnsi="仿宋" w:eastAsia="仿宋" w:cs="Batang"/>
          <w:sz w:val="32"/>
          <w:szCs w:val="32"/>
        </w:rPr>
        <w:t>生等工作。</w:t>
      </w:r>
      <w:r>
        <w:rPr>
          <w:rFonts w:hint="eastAsia" w:ascii="仿宋" w:hAnsi="仿宋" w:eastAsia="仿宋"/>
          <w:sz w:val="32"/>
          <w:szCs w:val="32"/>
        </w:rPr>
        <w:t>负责</w:t>
      </w:r>
      <w:r>
        <w:rPr>
          <w:rFonts w:hint="eastAsia" w:ascii="仿宋" w:hAnsi="仿宋" w:eastAsia="仿宋" w:cs="Batang"/>
          <w:sz w:val="32"/>
          <w:szCs w:val="32"/>
        </w:rPr>
        <w:t>公共</w:t>
      </w:r>
      <w:r>
        <w:rPr>
          <w:rFonts w:hint="eastAsia" w:ascii="仿宋" w:hAnsi="仿宋" w:eastAsia="仿宋"/>
          <w:sz w:val="32"/>
          <w:szCs w:val="32"/>
        </w:rPr>
        <w:t>教</w:t>
      </w:r>
      <w:r>
        <w:rPr>
          <w:rFonts w:hint="eastAsia" w:ascii="仿宋" w:hAnsi="仿宋" w:eastAsia="仿宋" w:cs="Batang"/>
          <w:sz w:val="32"/>
          <w:szCs w:val="32"/>
        </w:rPr>
        <w:t>育文化服</w:t>
      </w:r>
      <w:r>
        <w:rPr>
          <w:rFonts w:hint="eastAsia" w:ascii="仿宋" w:hAnsi="仿宋" w:eastAsia="仿宋"/>
          <w:sz w:val="32"/>
          <w:szCs w:val="32"/>
        </w:rPr>
        <w:t>务</w:t>
      </w:r>
      <w:r>
        <w:rPr>
          <w:rFonts w:hint="eastAsia" w:ascii="仿宋" w:hAnsi="仿宋" w:eastAsia="仿宋" w:cs="Batang"/>
          <w:sz w:val="32"/>
          <w:szCs w:val="32"/>
        </w:rPr>
        <w:t>体系建</w:t>
      </w:r>
      <w:r>
        <w:rPr>
          <w:rFonts w:hint="eastAsia" w:ascii="仿宋" w:hAnsi="仿宋" w:eastAsia="仿宋"/>
          <w:sz w:val="32"/>
          <w:szCs w:val="32"/>
        </w:rPr>
        <w:t>设</w:t>
      </w:r>
      <w:r>
        <w:rPr>
          <w:rFonts w:hint="eastAsia" w:ascii="仿宋" w:hAnsi="仿宋" w:eastAsia="仿宋" w:cs="Batang"/>
          <w:sz w:val="32"/>
          <w:szCs w:val="32"/>
        </w:rPr>
        <w:t>。</w:t>
      </w:r>
      <w:r>
        <w:rPr>
          <w:rFonts w:hint="eastAsia" w:ascii="仿宋" w:hAnsi="仿宋" w:eastAsia="仿宋" w:cs="华文仿宋"/>
          <w:sz w:val="32"/>
          <w:szCs w:val="32"/>
        </w:rPr>
        <w:t xml:space="preserve">          </w:t>
      </w:r>
    </w:p>
    <w:p w14:paraId="2D4A1A30">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（六）推</w:t>
      </w:r>
      <w:r>
        <w:rPr>
          <w:rFonts w:hint="eastAsia" w:ascii="仿宋" w:hAnsi="仿宋" w:eastAsia="仿宋"/>
          <w:sz w:val="32"/>
          <w:szCs w:val="32"/>
        </w:rPr>
        <w:t>进</w:t>
      </w:r>
      <w:r>
        <w:rPr>
          <w:rFonts w:hint="eastAsia" w:ascii="仿宋" w:hAnsi="仿宋" w:eastAsia="仿宋" w:cs="Batang"/>
          <w:sz w:val="32"/>
          <w:szCs w:val="32"/>
        </w:rPr>
        <w:t>本</w:t>
      </w:r>
      <w:r>
        <w:rPr>
          <w:rFonts w:hint="eastAsia" w:ascii="仿宋" w:hAnsi="仿宋" w:eastAsia="仿宋"/>
          <w:sz w:val="32"/>
          <w:szCs w:val="32"/>
        </w:rPr>
        <w:t>镇</w:t>
      </w:r>
      <w:r>
        <w:rPr>
          <w:rFonts w:hint="eastAsia" w:ascii="仿宋" w:hAnsi="仿宋" w:eastAsia="仿宋" w:cs="Batang"/>
          <w:sz w:val="32"/>
          <w:szCs w:val="32"/>
        </w:rPr>
        <w:t>民主政治建</w:t>
      </w:r>
      <w:r>
        <w:rPr>
          <w:rFonts w:hint="eastAsia" w:ascii="仿宋" w:hAnsi="仿宋" w:eastAsia="仿宋"/>
          <w:sz w:val="32"/>
          <w:szCs w:val="32"/>
        </w:rPr>
        <w:t>设</w:t>
      </w:r>
      <w:r>
        <w:rPr>
          <w:rFonts w:hint="eastAsia" w:ascii="仿宋" w:hAnsi="仿宋" w:eastAsia="仿宋" w:cs="Batang"/>
          <w:sz w:val="32"/>
          <w:szCs w:val="32"/>
        </w:rPr>
        <w:t>和党</w:t>
      </w:r>
      <w:r>
        <w:rPr>
          <w:rFonts w:hint="eastAsia" w:ascii="仿宋" w:hAnsi="仿宋" w:eastAsia="仿宋"/>
          <w:sz w:val="32"/>
          <w:szCs w:val="32"/>
        </w:rPr>
        <w:t>风</w:t>
      </w:r>
      <w:r>
        <w:rPr>
          <w:rFonts w:hint="eastAsia" w:ascii="仿宋" w:hAnsi="仿宋" w:eastAsia="仿宋" w:cs="Batang"/>
          <w:sz w:val="32"/>
          <w:szCs w:val="32"/>
        </w:rPr>
        <w:t>廉政建</w:t>
      </w:r>
      <w:r>
        <w:rPr>
          <w:rFonts w:hint="eastAsia" w:ascii="仿宋" w:hAnsi="仿宋" w:eastAsia="仿宋"/>
          <w:sz w:val="32"/>
          <w:szCs w:val="32"/>
        </w:rPr>
        <w:t>设</w:t>
      </w:r>
      <w:r>
        <w:rPr>
          <w:rFonts w:hint="eastAsia" w:ascii="仿宋" w:hAnsi="仿宋" w:eastAsia="仿宋" w:cs="Batang"/>
          <w:sz w:val="32"/>
          <w:szCs w:val="32"/>
        </w:rPr>
        <w:t>，加强基</w:t>
      </w:r>
      <w:r>
        <w:rPr>
          <w:rFonts w:hint="eastAsia" w:ascii="仿宋" w:hAnsi="仿宋" w:eastAsia="仿宋"/>
          <w:sz w:val="32"/>
          <w:szCs w:val="32"/>
        </w:rPr>
        <w:t>层</w:t>
      </w:r>
      <w:r>
        <w:rPr>
          <w:rFonts w:hint="eastAsia" w:ascii="仿宋" w:hAnsi="仿宋" w:eastAsia="仿宋" w:cs="Batang"/>
          <w:sz w:val="32"/>
          <w:szCs w:val="32"/>
        </w:rPr>
        <w:t>党</w:t>
      </w:r>
      <w:r>
        <w:rPr>
          <w:rFonts w:hint="eastAsia" w:ascii="仿宋" w:hAnsi="仿宋" w:eastAsia="仿宋"/>
          <w:sz w:val="32"/>
          <w:szCs w:val="32"/>
        </w:rPr>
        <w:t>组织</w:t>
      </w:r>
      <w:r>
        <w:rPr>
          <w:rFonts w:hint="eastAsia" w:ascii="仿宋" w:hAnsi="仿宋" w:eastAsia="仿宋" w:cs="Batang"/>
          <w:sz w:val="32"/>
          <w:szCs w:val="32"/>
        </w:rPr>
        <w:t>建</w:t>
      </w:r>
      <w:r>
        <w:rPr>
          <w:rFonts w:hint="eastAsia" w:ascii="仿宋" w:hAnsi="仿宋" w:eastAsia="仿宋"/>
          <w:sz w:val="32"/>
          <w:szCs w:val="32"/>
        </w:rPr>
        <w:t>设</w:t>
      </w:r>
      <w:r>
        <w:rPr>
          <w:rFonts w:hint="eastAsia" w:ascii="仿宋" w:hAnsi="仿宋" w:eastAsia="仿宋" w:cs="Batang"/>
          <w:sz w:val="32"/>
          <w:szCs w:val="32"/>
        </w:rPr>
        <w:t>和基</w:t>
      </w:r>
      <w:r>
        <w:rPr>
          <w:rFonts w:hint="eastAsia" w:ascii="仿宋" w:hAnsi="仿宋" w:eastAsia="仿宋"/>
          <w:sz w:val="32"/>
          <w:szCs w:val="32"/>
        </w:rPr>
        <w:t>层</w:t>
      </w:r>
      <w:r>
        <w:rPr>
          <w:rFonts w:hint="eastAsia" w:ascii="仿宋" w:hAnsi="仿宋" w:eastAsia="仿宋" w:cs="Batang"/>
          <w:sz w:val="32"/>
          <w:szCs w:val="32"/>
        </w:rPr>
        <w:t>政</w:t>
      </w:r>
      <w:r>
        <w:rPr>
          <w:rFonts w:hint="eastAsia" w:ascii="仿宋" w:hAnsi="仿宋" w:eastAsia="仿宋"/>
          <w:sz w:val="32"/>
          <w:szCs w:val="32"/>
        </w:rPr>
        <w:t>权</w:t>
      </w:r>
      <w:r>
        <w:rPr>
          <w:rFonts w:hint="eastAsia" w:ascii="仿宋" w:hAnsi="仿宋" w:eastAsia="仿宋" w:cs="Batang"/>
          <w:sz w:val="32"/>
          <w:szCs w:val="32"/>
        </w:rPr>
        <w:t>建</w:t>
      </w:r>
      <w:r>
        <w:rPr>
          <w:rFonts w:hint="eastAsia" w:ascii="仿宋" w:hAnsi="仿宋" w:eastAsia="仿宋"/>
          <w:sz w:val="32"/>
          <w:szCs w:val="32"/>
        </w:rPr>
        <w:t>设</w:t>
      </w:r>
      <w:r>
        <w:rPr>
          <w:rFonts w:hint="eastAsia" w:ascii="仿宋" w:hAnsi="仿宋" w:eastAsia="仿宋" w:cs="Batang"/>
          <w:sz w:val="32"/>
          <w:szCs w:val="32"/>
        </w:rPr>
        <w:t>。指</w:t>
      </w:r>
      <w:r>
        <w:rPr>
          <w:rFonts w:hint="eastAsia" w:ascii="仿宋" w:hAnsi="仿宋" w:eastAsia="仿宋"/>
          <w:sz w:val="32"/>
          <w:szCs w:val="32"/>
        </w:rPr>
        <w:t>导</w:t>
      </w:r>
      <w:r>
        <w:rPr>
          <w:rFonts w:hint="eastAsia" w:ascii="仿宋" w:hAnsi="仿宋" w:eastAsia="仿宋" w:cs="Batang"/>
          <w:sz w:val="32"/>
          <w:szCs w:val="32"/>
        </w:rPr>
        <w:t>村委</w:t>
      </w:r>
      <w:r>
        <w:rPr>
          <w:rFonts w:hint="eastAsia" w:ascii="仿宋" w:hAnsi="仿宋" w:eastAsia="仿宋"/>
          <w:sz w:val="32"/>
          <w:szCs w:val="32"/>
        </w:rPr>
        <w:t>会</w:t>
      </w:r>
      <w:r>
        <w:rPr>
          <w:rFonts w:hint="eastAsia" w:ascii="仿宋" w:hAnsi="仿宋" w:eastAsia="仿宋" w:cs="Batang"/>
          <w:sz w:val="32"/>
          <w:szCs w:val="32"/>
        </w:rPr>
        <w:t>工作。</w:t>
      </w:r>
    </w:p>
    <w:p w14:paraId="60C11D90">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（七）</w:t>
      </w:r>
      <w:r>
        <w:rPr>
          <w:rFonts w:hint="eastAsia" w:ascii="仿宋" w:hAnsi="仿宋" w:eastAsia="仿宋"/>
          <w:sz w:val="32"/>
          <w:szCs w:val="32"/>
        </w:rPr>
        <w:t>负责</w:t>
      </w:r>
      <w:r>
        <w:rPr>
          <w:rFonts w:hint="eastAsia" w:ascii="仿宋" w:hAnsi="仿宋" w:eastAsia="仿宋" w:cs="Batang"/>
          <w:sz w:val="32"/>
          <w:szCs w:val="32"/>
        </w:rPr>
        <w:t>社</w:t>
      </w:r>
      <w:r>
        <w:rPr>
          <w:rFonts w:hint="eastAsia" w:ascii="仿宋" w:hAnsi="仿宋" w:eastAsia="仿宋"/>
          <w:sz w:val="32"/>
          <w:szCs w:val="32"/>
        </w:rPr>
        <w:t>会</w:t>
      </w:r>
      <w:r>
        <w:rPr>
          <w:rFonts w:hint="eastAsia" w:ascii="仿宋" w:hAnsi="仿宋" w:eastAsia="仿宋" w:cs="Batang"/>
          <w:sz w:val="32"/>
          <w:szCs w:val="32"/>
        </w:rPr>
        <w:t>治安</w:t>
      </w:r>
      <w:r>
        <w:rPr>
          <w:rFonts w:hint="eastAsia" w:ascii="仿宋" w:hAnsi="仿宋" w:eastAsia="仿宋"/>
          <w:sz w:val="32"/>
          <w:szCs w:val="32"/>
        </w:rPr>
        <w:t>综</w:t>
      </w:r>
      <w:r>
        <w:rPr>
          <w:rFonts w:hint="eastAsia" w:ascii="仿宋" w:hAnsi="仿宋" w:eastAsia="仿宋" w:cs="Batang"/>
          <w:sz w:val="32"/>
          <w:szCs w:val="32"/>
        </w:rPr>
        <w:t>合治理、信</w:t>
      </w:r>
      <w:r>
        <w:rPr>
          <w:rFonts w:hint="eastAsia" w:ascii="仿宋" w:hAnsi="仿宋" w:eastAsia="仿宋"/>
          <w:sz w:val="32"/>
          <w:szCs w:val="32"/>
        </w:rPr>
        <w:t>访维稳</w:t>
      </w:r>
      <w:r>
        <w:rPr>
          <w:rFonts w:hint="eastAsia" w:ascii="仿宋" w:hAnsi="仿宋" w:eastAsia="仿宋" w:cs="Batang"/>
          <w:sz w:val="32"/>
          <w:szCs w:val="32"/>
        </w:rPr>
        <w:t>、</w:t>
      </w:r>
      <w:r>
        <w:rPr>
          <w:rFonts w:hint="eastAsia" w:ascii="仿宋" w:hAnsi="仿宋" w:eastAsia="仿宋"/>
          <w:sz w:val="32"/>
          <w:szCs w:val="32"/>
        </w:rPr>
        <w:t>国</w:t>
      </w:r>
      <w:r>
        <w:rPr>
          <w:rFonts w:hint="eastAsia" w:ascii="仿宋" w:hAnsi="仿宋" w:eastAsia="仿宋" w:cs="Batang"/>
          <w:sz w:val="32"/>
          <w:szCs w:val="32"/>
        </w:rPr>
        <w:t>防</w:t>
      </w:r>
      <w:r>
        <w:rPr>
          <w:rFonts w:hint="eastAsia" w:ascii="仿宋" w:hAnsi="仿宋" w:eastAsia="仿宋"/>
          <w:sz w:val="32"/>
          <w:szCs w:val="32"/>
        </w:rPr>
        <w:t>动员教</w:t>
      </w:r>
      <w:r>
        <w:rPr>
          <w:rFonts w:hint="eastAsia" w:ascii="仿宋" w:hAnsi="仿宋" w:eastAsia="仿宋" w:cs="Batang"/>
          <w:sz w:val="32"/>
          <w:szCs w:val="32"/>
        </w:rPr>
        <w:t>育、民兵</w:t>
      </w:r>
      <w:r>
        <w:rPr>
          <w:rFonts w:hint="eastAsia" w:ascii="仿宋" w:hAnsi="仿宋" w:eastAsia="仿宋"/>
          <w:sz w:val="32"/>
          <w:szCs w:val="32"/>
        </w:rPr>
        <w:t>预备</w:t>
      </w:r>
      <w:r>
        <w:rPr>
          <w:rFonts w:hint="eastAsia" w:ascii="仿宋" w:hAnsi="仿宋" w:eastAsia="仿宋" w:cs="Batang"/>
          <w:sz w:val="32"/>
          <w:szCs w:val="32"/>
        </w:rPr>
        <w:t>役等工作。</w:t>
      </w:r>
    </w:p>
    <w:p w14:paraId="15B9F149">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（八）承担</w:t>
      </w:r>
      <w:r>
        <w:rPr>
          <w:rFonts w:hint="eastAsia" w:ascii="仿宋" w:hAnsi="仿宋" w:eastAsia="仿宋"/>
          <w:sz w:val="32"/>
          <w:szCs w:val="32"/>
        </w:rPr>
        <w:t>镇财</w:t>
      </w:r>
      <w:r>
        <w:rPr>
          <w:rFonts w:hint="eastAsia" w:ascii="仿宋" w:hAnsi="仿宋" w:eastAsia="仿宋" w:cs="Batang"/>
          <w:sz w:val="32"/>
          <w:szCs w:val="32"/>
        </w:rPr>
        <w:t>政</w:t>
      </w:r>
      <w:r>
        <w:rPr>
          <w:rFonts w:hint="eastAsia" w:ascii="仿宋" w:hAnsi="仿宋" w:eastAsia="仿宋"/>
          <w:sz w:val="32"/>
          <w:szCs w:val="32"/>
        </w:rPr>
        <w:t>财务</w:t>
      </w:r>
      <w:r>
        <w:rPr>
          <w:rFonts w:hint="eastAsia" w:ascii="仿宋" w:hAnsi="仿宋" w:eastAsia="仿宋" w:cs="Batang"/>
          <w:sz w:val="32"/>
          <w:szCs w:val="32"/>
        </w:rPr>
        <w:t>工作。</w:t>
      </w:r>
      <w:r>
        <w:rPr>
          <w:rFonts w:hint="eastAsia" w:ascii="仿宋" w:hAnsi="仿宋" w:eastAsia="仿宋"/>
          <w:sz w:val="32"/>
          <w:szCs w:val="32"/>
        </w:rPr>
        <w:t>负责镇</w:t>
      </w:r>
      <w:r>
        <w:rPr>
          <w:rFonts w:hint="eastAsia" w:ascii="仿宋" w:hAnsi="仿宋" w:eastAsia="仿宋" w:cs="Batang"/>
          <w:sz w:val="32"/>
          <w:szCs w:val="32"/>
        </w:rPr>
        <w:t>村</w:t>
      </w:r>
      <w:r>
        <w:rPr>
          <w:rFonts w:hint="eastAsia" w:ascii="仿宋" w:hAnsi="仿宋" w:eastAsia="仿宋"/>
          <w:sz w:val="32"/>
          <w:szCs w:val="32"/>
        </w:rPr>
        <w:t>财</w:t>
      </w:r>
      <w:r>
        <w:rPr>
          <w:rFonts w:hint="eastAsia" w:ascii="仿宋" w:hAnsi="仿宋" w:eastAsia="仿宋" w:cs="Batang"/>
          <w:sz w:val="32"/>
          <w:szCs w:val="32"/>
        </w:rPr>
        <w:t>政性</w:t>
      </w:r>
      <w:r>
        <w:rPr>
          <w:rFonts w:hint="eastAsia" w:ascii="仿宋" w:hAnsi="仿宋" w:eastAsia="仿宋"/>
          <w:sz w:val="32"/>
          <w:szCs w:val="32"/>
        </w:rPr>
        <w:t>资</w:t>
      </w:r>
      <w:r>
        <w:rPr>
          <w:rFonts w:hint="eastAsia" w:ascii="仿宋" w:hAnsi="仿宋" w:eastAsia="仿宋" w:cs="Batang"/>
          <w:sz w:val="32"/>
          <w:szCs w:val="32"/>
        </w:rPr>
        <w:t>金管理，加强</w:t>
      </w:r>
      <w:r>
        <w:rPr>
          <w:rFonts w:hint="eastAsia" w:ascii="仿宋" w:hAnsi="仿宋" w:eastAsia="仿宋"/>
          <w:sz w:val="32"/>
          <w:szCs w:val="32"/>
        </w:rPr>
        <w:t>农</w:t>
      </w:r>
      <w:r>
        <w:rPr>
          <w:rFonts w:hint="eastAsia" w:ascii="仿宋" w:hAnsi="仿宋" w:eastAsia="仿宋" w:cs="Batang"/>
          <w:sz w:val="32"/>
          <w:szCs w:val="32"/>
        </w:rPr>
        <w:t>村集体</w:t>
      </w:r>
      <w:r>
        <w:rPr>
          <w:rFonts w:hint="eastAsia" w:ascii="仿宋" w:hAnsi="仿宋" w:eastAsia="仿宋"/>
          <w:sz w:val="32"/>
          <w:szCs w:val="32"/>
        </w:rPr>
        <w:t>资产</w:t>
      </w:r>
      <w:r>
        <w:rPr>
          <w:rFonts w:hint="eastAsia" w:ascii="仿宋" w:hAnsi="仿宋" w:eastAsia="仿宋" w:cs="Batang"/>
          <w:sz w:val="32"/>
          <w:szCs w:val="32"/>
        </w:rPr>
        <w:t>管理。</w:t>
      </w:r>
    </w:p>
    <w:p w14:paraId="3D81AF5D">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（九）</w:t>
      </w:r>
      <w:r>
        <w:rPr>
          <w:rFonts w:hint="eastAsia" w:ascii="仿宋" w:hAnsi="仿宋" w:eastAsia="仿宋"/>
          <w:sz w:val="32"/>
          <w:szCs w:val="32"/>
        </w:rPr>
        <w:t>负责</w:t>
      </w:r>
      <w:r>
        <w:rPr>
          <w:rFonts w:hint="eastAsia" w:ascii="仿宋" w:hAnsi="仿宋" w:eastAsia="仿宋" w:cs="Batang"/>
          <w:sz w:val="32"/>
          <w:szCs w:val="32"/>
        </w:rPr>
        <w:t>本</w:t>
      </w:r>
      <w:r>
        <w:rPr>
          <w:rFonts w:hint="eastAsia" w:ascii="仿宋" w:hAnsi="仿宋" w:eastAsia="仿宋"/>
          <w:sz w:val="32"/>
          <w:szCs w:val="32"/>
        </w:rPr>
        <w:t>镇应</w:t>
      </w:r>
      <w:r>
        <w:rPr>
          <w:rFonts w:hint="eastAsia" w:ascii="仿宋" w:hAnsi="仿宋" w:eastAsia="仿宋" w:cs="Batang"/>
          <w:sz w:val="32"/>
          <w:szCs w:val="32"/>
        </w:rPr>
        <w:t>急管理和</w:t>
      </w:r>
      <w:r>
        <w:rPr>
          <w:rFonts w:hint="eastAsia" w:ascii="仿宋" w:hAnsi="仿宋" w:eastAsia="仿宋"/>
          <w:sz w:val="32"/>
          <w:szCs w:val="32"/>
        </w:rPr>
        <w:t>综</w:t>
      </w:r>
      <w:r>
        <w:rPr>
          <w:rFonts w:hint="eastAsia" w:ascii="仿宋" w:hAnsi="仿宋" w:eastAsia="仿宋" w:cs="Batang"/>
          <w:sz w:val="32"/>
          <w:szCs w:val="32"/>
        </w:rPr>
        <w:t>合</w:t>
      </w:r>
      <w:r>
        <w:rPr>
          <w:rFonts w:hint="eastAsia" w:ascii="仿宋" w:hAnsi="仿宋" w:eastAsia="仿宋"/>
          <w:sz w:val="32"/>
          <w:szCs w:val="32"/>
        </w:rPr>
        <w:t>协调</w:t>
      </w:r>
      <w:r>
        <w:rPr>
          <w:rFonts w:hint="eastAsia" w:ascii="仿宋" w:hAnsi="仿宋" w:eastAsia="仿宋" w:cs="Batang"/>
          <w:sz w:val="32"/>
          <w:szCs w:val="32"/>
        </w:rPr>
        <w:t>等工作。</w:t>
      </w:r>
    </w:p>
    <w:p w14:paraId="7720B416">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（十）完成</w:t>
      </w:r>
      <w:r>
        <w:rPr>
          <w:rFonts w:hint="eastAsia" w:ascii="仿宋" w:hAnsi="仿宋" w:eastAsia="仿宋"/>
          <w:sz w:val="32"/>
          <w:szCs w:val="32"/>
        </w:rPr>
        <w:t>区</w:t>
      </w:r>
      <w:r>
        <w:rPr>
          <w:rFonts w:hint="eastAsia" w:ascii="仿宋" w:hAnsi="仿宋" w:eastAsia="仿宋" w:cs="Batang"/>
          <w:sz w:val="32"/>
          <w:szCs w:val="32"/>
        </w:rPr>
        <w:t>委、</w:t>
      </w:r>
      <w:r>
        <w:rPr>
          <w:rFonts w:hint="eastAsia" w:ascii="仿宋" w:hAnsi="仿宋" w:eastAsia="仿宋"/>
          <w:sz w:val="32"/>
          <w:szCs w:val="32"/>
        </w:rPr>
        <w:t>区</w:t>
      </w:r>
      <w:r>
        <w:rPr>
          <w:rFonts w:hint="eastAsia" w:ascii="仿宋" w:hAnsi="仿宋" w:eastAsia="仿宋" w:cs="Batang"/>
          <w:sz w:val="32"/>
          <w:szCs w:val="32"/>
        </w:rPr>
        <w:t>政府交</w:t>
      </w:r>
      <w:r>
        <w:rPr>
          <w:rFonts w:hint="eastAsia" w:ascii="仿宋" w:hAnsi="仿宋" w:eastAsia="仿宋"/>
          <w:sz w:val="32"/>
          <w:szCs w:val="32"/>
        </w:rPr>
        <w:t>办</w:t>
      </w:r>
      <w:r>
        <w:rPr>
          <w:rFonts w:hint="eastAsia" w:ascii="仿宋" w:hAnsi="仿宋" w:eastAsia="仿宋" w:cs="Batang"/>
          <w:sz w:val="32"/>
          <w:szCs w:val="32"/>
        </w:rPr>
        <w:t>的其他工作任</w:t>
      </w:r>
      <w:r>
        <w:rPr>
          <w:rFonts w:hint="eastAsia" w:ascii="仿宋" w:hAnsi="仿宋" w:eastAsia="仿宋"/>
          <w:sz w:val="32"/>
          <w:szCs w:val="32"/>
        </w:rPr>
        <w:t>务</w:t>
      </w:r>
      <w:r>
        <w:rPr>
          <w:rFonts w:hint="eastAsia" w:ascii="仿宋" w:hAnsi="仿宋" w:eastAsia="仿宋" w:cs="华文仿宋"/>
          <w:sz w:val="32"/>
          <w:szCs w:val="32"/>
        </w:rPr>
        <w:t>。</w:t>
      </w:r>
    </w:p>
    <w:p w14:paraId="3DDA3515">
      <w:pPr>
        <w:pStyle w:val="7"/>
        <w:shd w:val="clear" w:color="auto" w:fill="FFFFFF"/>
        <w:spacing w:before="0" w:beforeAutospacing="0" w:after="0" w:afterAutospacing="0" w:line="540" w:lineRule="exact"/>
        <w:ind w:left="641"/>
        <w:rPr>
          <w:rFonts w:ascii="仿宋" w:hAnsi="仿宋" w:eastAsia="仿宋" w:cs="华文仿宋"/>
          <w:sz w:val="32"/>
          <w:szCs w:val="32"/>
        </w:rPr>
      </w:pPr>
      <w:r>
        <w:rPr>
          <w:rFonts w:hint="eastAsia" w:ascii="仿宋" w:hAnsi="仿宋" w:eastAsia="仿宋" w:cs="华文仿宋"/>
          <w:sz w:val="32"/>
          <w:szCs w:val="32"/>
        </w:rPr>
        <w:t>2、机构设置情况</w:t>
      </w:r>
    </w:p>
    <w:p w14:paraId="0E326025">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根据上述职责，武屯镇设置5个内设机构。</w:t>
      </w:r>
    </w:p>
    <w:p w14:paraId="183A441F">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（1）党政办公室（财政所）</w:t>
      </w:r>
    </w:p>
    <w:p w14:paraId="12005C3D">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主要承担镇党委、政府日常事务。负责人大、纪检、组织、人事、统战和群团等工作。负责党团组织建设、基层政权建设和党风廉政建设。负责党务、政务公开工作。负责镇财政财务工作。负责应急管理和综合协调等工作。</w:t>
      </w:r>
    </w:p>
    <w:p w14:paraId="093DF8AF">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（2）经济发展办公室</w:t>
      </w:r>
    </w:p>
    <w:p w14:paraId="37034067">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制定并实施区域经济社会发展规划和镇村公共基础设施建设规划。负责产业发展、公共基础设施建设、农业综合开发、扶贫开发、商贸流通、动植物防疫、环境保护、安全生产监管等工作。协调经済社会发展相关工作。</w:t>
      </w:r>
    </w:p>
    <w:p w14:paraId="24620500">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（3）社会事务管理办公室</w:t>
      </w:r>
    </w:p>
    <w:p w14:paraId="1B4CDB7A">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主要承担民政、社会保障等综合性事务。负责社会救助防汛抗旱和防灾減灾、社区建设、拥军优抚、民族宗教、老、残疾人等工作。协调社会事务相关工作。</w:t>
      </w:r>
    </w:p>
    <w:p w14:paraId="4F6FCB26">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（4）维护稳定办公室</w:t>
      </w:r>
    </w:p>
    <w:p w14:paraId="2A4A28B0">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承担社会治安综合治理、信访维稳、国防动员教育、民兵预备役等工作。</w:t>
      </w:r>
    </w:p>
    <w:p w14:paraId="39ADF57B">
      <w:pPr>
        <w:pStyle w:val="7"/>
        <w:shd w:val="clear" w:color="auto" w:fill="FFFFFF"/>
        <w:spacing w:before="0" w:beforeAutospacing="0" w:after="0" w:afterAutospacing="0" w:line="540" w:lineRule="exact"/>
        <w:ind w:firstLine="480" w:firstLineChars="150"/>
        <w:rPr>
          <w:rFonts w:ascii="仿宋" w:hAnsi="仿宋" w:eastAsia="仿宋" w:cs="华文仿宋"/>
          <w:sz w:val="32"/>
          <w:szCs w:val="32"/>
        </w:rPr>
      </w:pPr>
      <w:r>
        <w:rPr>
          <w:rFonts w:hint="eastAsia" w:ascii="仿宋" w:hAnsi="仿宋" w:eastAsia="仿宋" w:cs="华文仿宋"/>
          <w:sz w:val="32"/>
          <w:szCs w:val="32"/>
        </w:rPr>
        <w:t>（5）宣传科教文卫办公室</w:t>
      </w:r>
    </w:p>
    <w:p w14:paraId="1D9D6C3D">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主要承担精神文明建设工作。负责宣传、科技、教育、文化、体育、卫生、计生等工作。负责公共教育文化服务体系建设</w:t>
      </w:r>
    </w:p>
    <w:p w14:paraId="24637FBB">
      <w:pPr>
        <w:pStyle w:val="7"/>
        <w:shd w:val="clear" w:color="auto" w:fill="FFFFFF"/>
        <w:spacing w:before="0" w:beforeAutospacing="0" w:after="0" w:afterAutospacing="0" w:line="540" w:lineRule="exact"/>
        <w:ind w:firstLine="640" w:firstLineChars="200"/>
        <w:rPr>
          <w:rStyle w:val="11"/>
          <w:rFonts w:ascii="仿宋" w:hAnsi="仿宋" w:eastAsia="仿宋" w:cs="黑体"/>
          <w:b w:val="0"/>
          <w:bCs w:val="0"/>
          <w:color w:val="000000"/>
          <w:sz w:val="32"/>
          <w:szCs w:val="32"/>
        </w:rPr>
      </w:pPr>
      <w:r>
        <w:rPr>
          <w:rStyle w:val="11"/>
          <w:rFonts w:hint="eastAsia" w:ascii="仿宋" w:hAnsi="仿宋" w:eastAsia="仿宋" w:cs="黑体"/>
          <w:b w:val="0"/>
          <w:color w:val="000000"/>
          <w:sz w:val="32"/>
          <w:szCs w:val="32"/>
        </w:rPr>
        <w:t>二、部门决算单位构成</w:t>
      </w:r>
    </w:p>
    <w:p w14:paraId="39B7F4D1">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从决算单位构成看，本部门的部门决算包括部门本级（机关）决算和所属事业单位决算。</w:t>
      </w:r>
    </w:p>
    <w:p w14:paraId="514A7CFC">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纳入本部门2018年部门决算编制范围的二级决算单位共有0个，包括：</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14:paraId="5160D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14:paraId="4D3D8ACC">
            <w:pPr>
              <w:spacing w:line="540" w:lineRule="exact"/>
              <w:jc w:val="center"/>
              <w:rPr>
                <w:rFonts w:ascii="仿宋" w:hAnsi="仿宋" w:eastAsia="仿宋" w:cs="华文仿宋"/>
                <w:sz w:val="32"/>
                <w:szCs w:val="32"/>
              </w:rPr>
            </w:pPr>
            <w:r>
              <w:rPr>
                <w:rFonts w:hint="eastAsia" w:ascii="仿宋" w:hAnsi="仿宋" w:eastAsia="仿宋" w:cs="华文仿宋"/>
                <w:sz w:val="32"/>
                <w:szCs w:val="32"/>
              </w:rPr>
              <w:t>序号</w:t>
            </w:r>
          </w:p>
        </w:tc>
        <w:tc>
          <w:tcPr>
            <w:tcW w:w="6923" w:type="dxa"/>
            <w:tcBorders>
              <w:top w:val="single" w:color="auto" w:sz="4" w:space="0"/>
              <w:left w:val="single" w:color="auto" w:sz="4" w:space="0"/>
              <w:bottom w:val="single" w:color="auto" w:sz="4" w:space="0"/>
              <w:right w:val="single" w:color="auto" w:sz="4" w:space="0"/>
            </w:tcBorders>
          </w:tcPr>
          <w:p w14:paraId="2D45790A">
            <w:pPr>
              <w:spacing w:line="540" w:lineRule="exact"/>
              <w:jc w:val="center"/>
              <w:rPr>
                <w:rFonts w:ascii="仿宋" w:hAnsi="仿宋" w:eastAsia="仿宋" w:cs="华文仿宋"/>
                <w:sz w:val="32"/>
                <w:szCs w:val="32"/>
              </w:rPr>
            </w:pPr>
            <w:r>
              <w:rPr>
                <w:rFonts w:hint="eastAsia" w:ascii="仿宋" w:hAnsi="仿宋" w:eastAsia="仿宋" w:cs="华文仿宋"/>
                <w:sz w:val="32"/>
                <w:szCs w:val="32"/>
              </w:rPr>
              <w:t>单位名称</w:t>
            </w:r>
          </w:p>
        </w:tc>
      </w:tr>
      <w:tr w14:paraId="126E6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14:paraId="02D17151">
            <w:pPr>
              <w:spacing w:line="540" w:lineRule="exact"/>
              <w:jc w:val="center"/>
              <w:rPr>
                <w:rFonts w:ascii="仿宋" w:hAnsi="仿宋" w:eastAsia="仿宋" w:cs="华文仿宋"/>
                <w:sz w:val="32"/>
                <w:szCs w:val="32"/>
              </w:rPr>
            </w:pPr>
            <w:r>
              <w:rPr>
                <w:rFonts w:hint="eastAsia" w:ascii="仿宋" w:hAnsi="仿宋" w:eastAsia="仿宋" w:cs="华文仿宋"/>
                <w:sz w:val="32"/>
                <w:szCs w:val="32"/>
              </w:rPr>
              <w:t>1</w:t>
            </w:r>
          </w:p>
        </w:tc>
        <w:tc>
          <w:tcPr>
            <w:tcW w:w="6923" w:type="dxa"/>
            <w:tcBorders>
              <w:top w:val="single" w:color="auto" w:sz="4" w:space="0"/>
              <w:left w:val="single" w:color="auto" w:sz="4" w:space="0"/>
              <w:bottom w:val="single" w:color="auto" w:sz="4" w:space="0"/>
              <w:right w:val="single" w:color="auto" w:sz="4" w:space="0"/>
            </w:tcBorders>
          </w:tcPr>
          <w:p w14:paraId="3ED77BE5">
            <w:pPr>
              <w:spacing w:line="540" w:lineRule="exact"/>
              <w:rPr>
                <w:rFonts w:ascii="仿宋" w:hAnsi="仿宋" w:eastAsia="仿宋" w:cs="华文仿宋"/>
                <w:sz w:val="32"/>
                <w:szCs w:val="32"/>
              </w:rPr>
            </w:pPr>
            <w:r>
              <w:rPr>
                <w:rFonts w:hint="eastAsia" w:ascii="仿宋" w:hAnsi="仿宋" w:eastAsia="仿宋" w:cs="华文仿宋"/>
                <w:sz w:val="32"/>
                <w:szCs w:val="32"/>
              </w:rPr>
              <w:t>原西安市阎良区武屯镇人民政府（机关）</w:t>
            </w:r>
          </w:p>
        </w:tc>
      </w:tr>
    </w:tbl>
    <w:p w14:paraId="09849AAD">
      <w:pPr>
        <w:spacing w:line="540" w:lineRule="exact"/>
        <w:ind w:firstLine="640" w:firstLineChars="200"/>
        <w:rPr>
          <w:rFonts w:ascii="仿宋" w:hAnsi="仿宋" w:eastAsia="仿宋" w:cs="华文仿宋"/>
          <w:sz w:val="32"/>
          <w:szCs w:val="32"/>
        </w:rPr>
      </w:pPr>
      <w:r>
        <w:rPr>
          <w:rFonts w:hint="eastAsia" w:ascii="仿宋" w:hAnsi="仿宋" w:eastAsia="仿宋" w:cs="黑体"/>
          <w:sz w:val="32"/>
          <w:szCs w:val="32"/>
        </w:rPr>
        <w:t>三、部门人员情况说明</w:t>
      </w:r>
    </w:p>
    <w:p w14:paraId="50AC72F3">
      <w:pPr>
        <w:spacing w:line="540" w:lineRule="exact"/>
        <w:ind w:firstLine="640" w:firstLineChars="200"/>
        <w:rPr>
          <w:rFonts w:hint="eastAsia" w:ascii="仿宋" w:hAnsi="仿宋" w:eastAsia="仿宋" w:cs="华文仿宋"/>
          <w:sz w:val="32"/>
          <w:szCs w:val="32"/>
        </w:rPr>
      </w:pPr>
      <w:r>
        <w:rPr>
          <w:rFonts w:hint="eastAsia" w:ascii="仿宋" w:hAnsi="仿宋" w:eastAsia="仿宋" w:cs="华文仿宋"/>
          <w:sz w:val="32"/>
          <w:szCs w:val="32"/>
        </w:rPr>
        <w:t>截止2018年底，本部门人员编制62人，其中行政编制33人、事业编制29人；实有人员57人，其中行政31人、事业26人。单位管理的离退休人员16人。</w:t>
      </w:r>
    </w:p>
    <w:p w14:paraId="7401B74D">
      <w:pPr>
        <w:spacing w:line="540" w:lineRule="exact"/>
        <w:ind w:firstLine="420" w:firstLineChars="200"/>
        <w:rPr>
          <w:rFonts w:hint="eastAsia" w:ascii="仿宋" w:hAnsi="仿宋" w:eastAsia="仿宋" w:cs="华文仿宋"/>
          <w:sz w:val="32"/>
          <w:szCs w:val="32"/>
        </w:rPr>
      </w:pPr>
      <w:r>
        <w:pict>
          <v:shape id="图表 1" o:spid="_x0000_s1027" o:spt="75" type="#_x0000_t75" style="position:absolute;left:0pt;margin-left:37.85pt;margin-top:6.3pt;height:143.35pt;width:293.2pt;z-index:251659264;mso-width-relative:page;mso-height-relative:page;" filled="f" o:preferrelative="t" stroked="f" coordsize="21600,21600" o:gfxdata="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">
            <v:path/>
            <v:fill on="f" focussize="0,0"/>
            <v:stroke on="f" joinstyle="miter"/>
            <v:imagedata r:id="rId6" o:title=""/>
            <o:lock v:ext="edit" aspectratio="f"/>
          </v:shape>
        </w:pict>
      </w:r>
    </w:p>
    <w:p w14:paraId="20DB13D0">
      <w:pPr>
        <w:spacing w:line="540" w:lineRule="exact"/>
        <w:ind w:firstLine="640" w:firstLineChars="200"/>
        <w:rPr>
          <w:rFonts w:hint="eastAsia" w:ascii="仿宋" w:hAnsi="仿宋" w:eastAsia="仿宋" w:cs="华文仿宋"/>
          <w:sz w:val="32"/>
          <w:szCs w:val="32"/>
        </w:rPr>
      </w:pPr>
    </w:p>
    <w:p w14:paraId="1487431D">
      <w:pPr>
        <w:spacing w:line="540" w:lineRule="exact"/>
        <w:ind w:firstLine="640" w:firstLineChars="200"/>
        <w:rPr>
          <w:rFonts w:hint="eastAsia" w:ascii="仿宋" w:hAnsi="仿宋" w:eastAsia="仿宋" w:cs="华文仿宋"/>
          <w:sz w:val="32"/>
          <w:szCs w:val="32"/>
        </w:rPr>
      </w:pPr>
    </w:p>
    <w:p w14:paraId="226C31AA">
      <w:pPr>
        <w:spacing w:line="540" w:lineRule="exact"/>
        <w:ind w:firstLine="640" w:firstLineChars="200"/>
        <w:rPr>
          <w:rFonts w:hint="eastAsia" w:ascii="仿宋" w:hAnsi="仿宋" w:eastAsia="仿宋" w:cs="华文仿宋"/>
          <w:sz w:val="32"/>
          <w:szCs w:val="32"/>
        </w:rPr>
      </w:pPr>
    </w:p>
    <w:p w14:paraId="605BC5B7">
      <w:pPr>
        <w:spacing w:line="540" w:lineRule="exact"/>
        <w:ind w:firstLine="640" w:firstLineChars="200"/>
        <w:rPr>
          <w:rFonts w:hint="eastAsia" w:ascii="仿宋" w:hAnsi="仿宋" w:eastAsia="仿宋" w:cs="华文仿宋"/>
          <w:sz w:val="32"/>
          <w:szCs w:val="32"/>
        </w:rPr>
      </w:pPr>
    </w:p>
    <w:p w14:paraId="439A6477">
      <w:pPr>
        <w:spacing w:line="540" w:lineRule="exact"/>
        <w:ind w:firstLine="640" w:firstLineChars="200"/>
        <w:rPr>
          <w:rFonts w:hint="eastAsia" w:ascii="仿宋" w:hAnsi="仿宋" w:eastAsia="仿宋" w:cs="华文仿宋"/>
          <w:sz w:val="32"/>
          <w:szCs w:val="32"/>
        </w:rPr>
      </w:pPr>
    </w:p>
    <w:p w14:paraId="26C2DF54">
      <w:pPr>
        <w:spacing w:line="540" w:lineRule="exact"/>
        <w:ind w:firstLine="640" w:firstLineChars="200"/>
        <w:rPr>
          <w:rFonts w:ascii="仿宋" w:hAnsi="仿宋" w:eastAsia="仿宋" w:cs="黑体"/>
          <w:sz w:val="32"/>
          <w:szCs w:val="32"/>
        </w:rPr>
      </w:pPr>
      <w:r>
        <w:rPr>
          <w:rFonts w:hint="eastAsia" w:ascii="仿宋" w:hAnsi="仿宋" w:eastAsia="仿宋" w:cs="黑体"/>
          <w:sz w:val="32"/>
          <w:szCs w:val="32"/>
        </w:rPr>
        <w:t>四、2018年度部门工作完成情况</w:t>
      </w:r>
    </w:p>
    <w:p w14:paraId="22BF0158">
      <w:pPr>
        <w:pBdr>
          <w:bottom w:val="single" w:color="FFFFFF" w:sz="4" w:space="31"/>
        </w:pBdr>
        <w:snapToGrid w:val="0"/>
        <w:spacing w:line="540" w:lineRule="exact"/>
        <w:ind w:firstLine="640" w:firstLineChars="200"/>
        <w:rPr>
          <w:rFonts w:ascii="仿宋" w:hAnsi="仿宋" w:eastAsia="仿宋" w:cs="楷体"/>
          <w:sz w:val="32"/>
          <w:szCs w:val="32"/>
        </w:rPr>
      </w:pPr>
      <w:r>
        <w:rPr>
          <w:rFonts w:hint="eastAsia" w:ascii="仿宋" w:hAnsi="仿宋" w:eastAsia="仿宋"/>
          <w:sz w:val="32"/>
          <w:szCs w:val="32"/>
        </w:rPr>
        <w:t>（一）抓投资、立项目，绘好经济发展图</w:t>
      </w:r>
    </w:p>
    <w:p w14:paraId="2F416A83">
      <w:pPr>
        <w:pBdr>
          <w:bottom w:val="single" w:color="FFFFFF" w:sz="4" w:space="31"/>
        </w:pBdr>
        <w:snapToGrid w:val="0"/>
        <w:spacing w:line="540" w:lineRule="exact"/>
        <w:ind w:firstLine="640" w:firstLineChars="200"/>
        <w:rPr>
          <w:rFonts w:ascii="仿宋" w:hAnsi="仿宋" w:eastAsia="仿宋" w:cs="楷体"/>
          <w:sz w:val="32"/>
          <w:szCs w:val="32"/>
        </w:rPr>
      </w:pPr>
      <w:r>
        <w:rPr>
          <w:rFonts w:hint="eastAsia" w:ascii="仿宋" w:hAnsi="仿宋" w:eastAsia="仿宋"/>
          <w:color w:val="000000"/>
          <w:sz w:val="32"/>
          <w:szCs w:val="32"/>
          <w:shd w:val="clear" w:color="auto" w:fill="FFFFFF"/>
        </w:rPr>
        <w:t>一是主要经济指标平稳增长。截止10月，全镇固定资产投资完成2.07亿元；规模以上工业增加值1.22亿元，增长9.6%；服务业增加值完成2.95亿元；全社会消费品零售额完成9500万元；农业增加值增长4.5%；多种经营产值增长3.2%；农村居民人均可支配收入增长9.1%。</w:t>
      </w:r>
    </w:p>
    <w:p w14:paraId="4A425355">
      <w:pPr>
        <w:pBdr>
          <w:bottom w:val="single" w:color="FFFFFF" w:sz="4" w:space="31"/>
        </w:pBdr>
        <w:snapToGrid w:val="0"/>
        <w:spacing w:line="540" w:lineRule="exact"/>
        <w:ind w:firstLine="640" w:firstLineChars="200"/>
        <w:rPr>
          <w:rFonts w:ascii="仿宋" w:hAnsi="仿宋" w:eastAsia="仿宋" w:cs="楷体"/>
          <w:sz w:val="32"/>
          <w:szCs w:val="32"/>
        </w:rPr>
      </w:pPr>
      <w:r>
        <w:rPr>
          <w:rFonts w:hint="eastAsia" w:ascii="仿宋" w:hAnsi="仿宋" w:eastAsia="仿宋"/>
          <w:color w:val="000000"/>
          <w:sz w:val="32"/>
          <w:szCs w:val="32"/>
          <w:shd w:val="clear" w:color="auto" w:fill="FFFFFF"/>
        </w:rPr>
        <w:t>预计2018年年底，固定资产投资完成2.2亿元；规模以上工业增加值增速达到9.6%；社会消费品零售额完成1.14亿元；服务业增加值完成2.97亿元；农业总产值增长4.5%；多种经营产值完成增长3%；农业增加值完成增长4.5%；农民居民人均可支配收入达到增长9%。</w:t>
      </w:r>
    </w:p>
    <w:p w14:paraId="3A6F49B3">
      <w:pPr>
        <w:pBdr>
          <w:bottom w:val="single" w:color="FFFFFF" w:sz="4" w:space="31"/>
        </w:pBdr>
        <w:snapToGrid w:val="0"/>
        <w:spacing w:line="540" w:lineRule="exact"/>
        <w:ind w:firstLine="640" w:firstLineChars="200"/>
        <w:rPr>
          <w:rFonts w:ascii="仿宋" w:hAnsi="仿宋" w:eastAsia="仿宋" w:cs="楷体"/>
          <w:sz w:val="32"/>
          <w:szCs w:val="32"/>
        </w:rPr>
      </w:pPr>
      <w:r>
        <w:rPr>
          <w:rFonts w:hint="eastAsia" w:ascii="仿宋" w:hAnsi="仿宋" w:eastAsia="仿宋"/>
          <w:color w:val="000000"/>
          <w:sz w:val="32"/>
          <w:szCs w:val="32"/>
          <w:shd w:val="clear" w:color="auto" w:fill="FFFFFF"/>
        </w:rPr>
        <w:t>二是重点项目建设进展顺利。</w:t>
      </w:r>
      <w:r>
        <w:rPr>
          <w:rFonts w:ascii="仿宋" w:hAnsi="仿宋" w:eastAsia="仿宋"/>
          <w:color w:val="000000"/>
          <w:sz w:val="32"/>
          <w:szCs w:val="32"/>
          <w:shd w:val="clear" w:color="auto" w:fill="FFFFFF"/>
        </w:rPr>
        <w:t>1</w:t>
      </w:r>
      <w:r>
        <w:rPr>
          <w:rFonts w:hint="eastAsia" w:ascii="仿宋" w:hAnsi="仿宋" w:eastAsia="仿宋"/>
          <w:color w:val="000000"/>
          <w:sz w:val="32"/>
          <w:szCs w:val="32"/>
          <w:shd w:val="clear" w:color="auto" w:fill="FFFFFF"/>
        </w:rPr>
        <w:t>3个区级重点项目，总投资达59100万元，</w:t>
      </w:r>
      <w:r>
        <w:rPr>
          <w:rFonts w:ascii="仿宋" w:hAnsi="仿宋" w:eastAsia="仿宋"/>
          <w:color w:val="000000"/>
          <w:sz w:val="32"/>
          <w:szCs w:val="32"/>
          <w:shd w:val="clear" w:color="auto" w:fill="FFFFFF"/>
        </w:rPr>
        <w:t>2018</w:t>
      </w:r>
      <w:r>
        <w:rPr>
          <w:rFonts w:hint="eastAsia" w:ascii="仿宋" w:hAnsi="仿宋" w:eastAsia="仿宋"/>
          <w:color w:val="000000"/>
          <w:sz w:val="32"/>
          <w:szCs w:val="32"/>
          <w:shd w:val="clear" w:color="auto" w:fill="FFFFFF"/>
        </w:rPr>
        <w:t>年全年计划投资28775万元。截止10月，已完成投资27288万元，完成目标任务的94.83%。</w:t>
      </w:r>
      <w:r>
        <w:rPr>
          <w:rFonts w:hint="eastAsia" w:ascii="仿宋" w:hAnsi="仿宋" w:eastAsia="仿宋"/>
          <w:sz w:val="32"/>
          <w:szCs w:val="32"/>
        </w:rPr>
        <w:t>预计2018年底，我镇13个重点项目将全部完成年度建设计划。</w:t>
      </w:r>
    </w:p>
    <w:p w14:paraId="251F7C9D">
      <w:pPr>
        <w:pBdr>
          <w:bottom w:val="single" w:color="FFFFFF" w:sz="4" w:space="31"/>
        </w:pBdr>
        <w:snapToGrid w:val="0"/>
        <w:spacing w:line="540" w:lineRule="exact"/>
        <w:ind w:firstLine="640" w:firstLineChars="200"/>
        <w:rPr>
          <w:rFonts w:ascii="仿宋" w:hAnsi="仿宋" w:eastAsia="仿宋" w:cs="楷体"/>
          <w:sz w:val="32"/>
          <w:szCs w:val="32"/>
        </w:rPr>
      </w:pPr>
      <w:r>
        <w:rPr>
          <w:rFonts w:hint="eastAsia" w:ascii="仿宋" w:hAnsi="仿宋" w:eastAsia="仿宋"/>
          <w:color w:val="000000"/>
          <w:sz w:val="32"/>
          <w:szCs w:val="32"/>
          <w:shd w:val="clear" w:color="auto" w:fill="FFFFFF"/>
        </w:rPr>
        <w:t>三是招商引资成效明显。镇主要领导带头，加大跑省、跑市力度，开展叩门招商、专题招商、以商招商活动，全年向上对接30余次，外出考察学习3次，策划招商引资项目6个，完成签约项目4个，总投资达</w:t>
      </w:r>
      <w:r>
        <w:rPr>
          <w:rFonts w:ascii="仿宋" w:hAnsi="仿宋" w:eastAsia="仿宋"/>
          <w:sz w:val="32"/>
          <w:szCs w:val="32"/>
        </w:rPr>
        <w:t>67400</w:t>
      </w:r>
      <w:r>
        <w:rPr>
          <w:rFonts w:hint="eastAsia" w:ascii="仿宋" w:hAnsi="仿宋" w:eastAsia="仿宋"/>
          <w:color w:val="000000"/>
          <w:sz w:val="32"/>
          <w:szCs w:val="32"/>
          <w:shd w:val="clear" w:color="auto" w:fill="FFFFFF"/>
        </w:rPr>
        <w:t>万元。</w:t>
      </w:r>
    </w:p>
    <w:p w14:paraId="3E7A4693">
      <w:pPr>
        <w:pBdr>
          <w:bottom w:val="single" w:color="FFFFFF" w:sz="4" w:space="31"/>
        </w:pBdr>
        <w:snapToGrid w:val="0"/>
        <w:spacing w:line="540" w:lineRule="exact"/>
        <w:ind w:firstLine="640" w:firstLineChars="200"/>
        <w:rPr>
          <w:rFonts w:ascii="仿宋" w:hAnsi="仿宋" w:eastAsia="仿宋" w:cs="楷体"/>
          <w:sz w:val="32"/>
          <w:szCs w:val="32"/>
        </w:rPr>
      </w:pPr>
      <w:r>
        <w:rPr>
          <w:rFonts w:hint="eastAsia" w:ascii="仿宋" w:hAnsi="仿宋" w:eastAsia="仿宋"/>
          <w:color w:val="000000"/>
          <w:sz w:val="32"/>
          <w:szCs w:val="32"/>
          <w:shd w:val="clear" w:color="auto" w:fill="FFFFFF"/>
        </w:rPr>
        <w:t>四是“两镇”建设稳步推进。建立市级重点镇、羊乳小镇建设周研判机制，定期梳理研究工作开展情况。截至目前，市级重点镇项目，完成投资17000万元，完成目标任务的105%；羊乳小镇建设项目，总体规划已基本完成，其子项目万吨智能配方羊乳粉生产线项目预计年内完工；</w:t>
      </w:r>
      <w:r>
        <w:rPr>
          <w:rFonts w:hint="eastAsia" w:ascii="仿宋" w:hAnsi="仿宋" w:eastAsia="仿宋"/>
          <w:color w:val="000000"/>
          <w:sz w:val="32"/>
          <w:szCs w:val="32"/>
        </w:rPr>
        <w:t>入口广场项目法、信广场建设已完成，正在制作法治文化宣传栏。</w:t>
      </w:r>
    </w:p>
    <w:p w14:paraId="7FFD547D">
      <w:pPr>
        <w:pBdr>
          <w:bottom w:val="single" w:color="FFFFFF" w:sz="4" w:space="31"/>
        </w:pBdr>
        <w:spacing w:line="540" w:lineRule="exact"/>
        <w:ind w:firstLine="640" w:firstLineChars="200"/>
        <w:rPr>
          <w:rFonts w:ascii="仿宋" w:hAnsi="仿宋" w:eastAsia="仿宋"/>
          <w:sz w:val="32"/>
          <w:szCs w:val="32"/>
        </w:rPr>
      </w:pPr>
      <w:r>
        <w:rPr>
          <w:rFonts w:hint="eastAsia" w:ascii="仿宋" w:hAnsi="仿宋" w:eastAsia="仿宋"/>
          <w:sz w:val="32"/>
          <w:szCs w:val="32"/>
        </w:rPr>
        <w:t>（二）优服务</w:t>
      </w:r>
      <w:r>
        <w:rPr>
          <w:rFonts w:hint="eastAsia" w:ascii="仿宋" w:hAnsi="仿宋" w:eastAsia="仿宋" w:cs="黑体"/>
          <w:sz w:val="32"/>
          <w:szCs w:val="32"/>
        </w:rPr>
        <w:t>、促保障，绘好民生管理图</w:t>
      </w:r>
    </w:p>
    <w:p w14:paraId="587A873D">
      <w:pPr>
        <w:pBdr>
          <w:bottom w:val="single" w:color="FFFFFF" w:sz="4" w:space="31"/>
        </w:pBdr>
        <w:snapToGrid w:val="0"/>
        <w:spacing w:line="540" w:lineRule="exact"/>
        <w:ind w:firstLine="480" w:firstLineChars="150"/>
        <w:rPr>
          <w:rFonts w:ascii="仿宋" w:hAnsi="仿宋" w:eastAsia="仿宋" w:cs="楷体"/>
          <w:sz w:val="32"/>
          <w:szCs w:val="32"/>
        </w:rPr>
      </w:pPr>
      <w:r>
        <w:rPr>
          <w:rFonts w:hint="eastAsia" w:ascii="仿宋" w:hAnsi="仿宋" w:eastAsia="仿宋" w:cs="仿宋"/>
          <w:sz w:val="32"/>
          <w:szCs w:val="32"/>
        </w:rPr>
        <w:t>一是社会指标全面完成。城镇累计净增就业、农村劳动力转移就业、小额贷款发放、城镇医保参保、新农合参合、</w:t>
      </w:r>
      <w:r>
        <w:rPr>
          <w:rFonts w:hint="eastAsia" w:ascii="仿宋" w:hAnsi="仿宋" w:eastAsia="仿宋"/>
          <w:sz w:val="32"/>
          <w:szCs w:val="32"/>
        </w:rPr>
        <w:t>孕前优生健康检查等各项指标均完成或超额完成年度目标任务。</w:t>
      </w:r>
      <w:r>
        <w:rPr>
          <w:rFonts w:hint="eastAsia" w:ascii="仿宋" w:hAnsi="仿宋" w:eastAsia="仿宋" w:cs="仿宋"/>
          <w:sz w:val="32"/>
          <w:szCs w:val="32"/>
        </w:rPr>
        <w:t>发放城镇低保、农村低保、孤儿救助、临时救助等各项补助资金，共计445.7万余元，</w:t>
      </w:r>
      <w:r>
        <w:rPr>
          <w:rFonts w:hint="eastAsia" w:ascii="仿宋" w:hAnsi="仿宋" w:eastAsia="仿宋"/>
          <w:sz w:val="32"/>
          <w:szCs w:val="32"/>
        </w:rPr>
        <w:t>实现了动态管理下的应保尽保。</w:t>
      </w:r>
      <w:r>
        <w:rPr>
          <w:rFonts w:hint="eastAsia" w:ascii="仿宋" w:hAnsi="仿宋" w:eastAsia="仿宋" w:cs="仿宋"/>
          <w:sz w:val="32"/>
          <w:szCs w:val="32"/>
        </w:rPr>
        <w:t>完成房村、广阳村幸福院建设。</w:t>
      </w:r>
    </w:p>
    <w:p w14:paraId="5E9F2134">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sz w:val="32"/>
          <w:szCs w:val="32"/>
        </w:rPr>
        <w:t>二是“效能革命”做优服务。以“四张清单一张网”和“最多跑一次”为抓手，扎实开展行政效能革命，公布“最多跑一次”事项26项，镇政府政务服务事项53项，提高为民办事效率和满意率。建立营商环境月例会制度，定期召开对接会10次，帮助企业解决运营或者项目建设中遇到的问题，切实增强企业发展信心。</w:t>
      </w:r>
    </w:p>
    <w:p w14:paraId="57A564CF">
      <w:pPr>
        <w:pBdr>
          <w:bottom w:val="single" w:color="FFFFFF" w:sz="4" w:space="31"/>
        </w:pBdr>
        <w:adjustRightInd w:val="0"/>
        <w:snapToGrid w:val="0"/>
        <w:spacing w:line="540" w:lineRule="exact"/>
        <w:ind w:firstLine="640" w:firstLineChars="200"/>
        <w:jc w:val="left"/>
        <w:rPr>
          <w:rFonts w:ascii="仿宋" w:hAnsi="仿宋" w:eastAsia="仿宋" w:cs="仿宋_GB2312"/>
          <w:sz w:val="32"/>
          <w:szCs w:val="32"/>
        </w:rPr>
      </w:pPr>
      <w:r>
        <w:rPr>
          <w:rFonts w:hint="eastAsia" w:ascii="仿宋" w:hAnsi="仿宋" w:eastAsia="仿宋"/>
          <w:sz w:val="32"/>
          <w:szCs w:val="32"/>
        </w:rPr>
        <w:t>三是脱贫攻坚扎实开展。</w:t>
      </w:r>
      <w:r>
        <w:rPr>
          <w:rFonts w:hint="eastAsia" w:ascii="仿宋" w:hAnsi="仿宋" w:eastAsia="仿宋" w:cs="仿宋"/>
          <w:sz w:val="32"/>
          <w:szCs w:val="32"/>
        </w:rPr>
        <w:t>严格落实精准扶贫要求，在做好基础性工作的同时，组织</w:t>
      </w:r>
      <w:r>
        <w:rPr>
          <w:rFonts w:hint="eastAsia" w:ascii="仿宋" w:hAnsi="仿宋" w:eastAsia="仿宋"/>
          <w:sz w:val="32"/>
          <w:szCs w:val="32"/>
        </w:rPr>
        <w:t>各村第一书记、支部书记赴安康市平利县实地学习脱贫攻坚、乡村振兴等先进经验、贫困家庭学生赴航空科技馆参观学习、扶智宣讲会、扶贫政策知识竞赛等活动，不断拓宽脱贫思路。创新村级扶贫业务骨干“以岗代训”工作机制，实现全镇脱贫攻坚档案资料规范化管理。推进“村两委+合作社+贫困户”的帮扶样板，</w:t>
      </w:r>
      <w:r>
        <w:rPr>
          <w:rFonts w:hint="eastAsia" w:ascii="仿宋" w:hAnsi="仿宋" w:eastAsia="仿宋" w:cs="仿宋_GB2312"/>
          <w:sz w:val="32"/>
          <w:szCs w:val="32"/>
        </w:rPr>
        <w:t>实现产业扶贫带动发展全覆盖，2018年度共计分红15.36万元。</w:t>
      </w:r>
    </w:p>
    <w:p w14:paraId="7D9CFE42">
      <w:pPr>
        <w:pBdr>
          <w:bottom w:val="single" w:color="FFFFFF" w:sz="4" w:space="31"/>
        </w:pBdr>
        <w:adjustRightInd w:val="0"/>
        <w:snapToGrid w:val="0"/>
        <w:spacing w:line="540" w:lineRule="exact"/>
        <w:ind w:firstLine="640" w:firstLineChars="200"/>
        <w:jc w:val="left"/>
        <w:rPr>
          <w:rFonts w:ascii="仿宋" w:hAnsi="仿宋" w:eastAsia="仿宋"/>
          <w:sz w:val="32"/>
          <w:szCs w:val="32"/>
        </w:rPr>
      </w:pPr>
      <w:r>
        <w:rPr>
          <w:rFonts w:hint="eastAsia" w:ascii="仿宋" w:hAnsi="仿宋" w:eastAsia="仿宋"/>
          <w:sz w:val="32"/>
          <w:szCs w:val="32"/>
        </w:rPr>
        <w:t>四是安全稳定常抓不懈。扎实做好全国、省市两会以及重大节日维稳信访安保工作，创新开展“党员+评理会”、</w:t>
      </w:r>
      <w:r>
        <w:rPr>
          <w:rFonts w:hint="eastAsia" w:ascii="仿宋" w:hAnsi="仿宋" w:eastAsia="仿宋"/>
          <w:bCs/>
          <w:sz w:val="32"/>
          <w:szCs w:val="32"/>
        </w:rPr>
        <w:t>“党员</w:t>
      </w:r>
      <w:r>
        <w:rPr>
          <w:rFonts w:ascii="仿宋" w:hAnsi="仿宋" w:eastAsia="仿宋"/>
          <w:bCs/>
          <w:sz w:val="32"/>
          <w:szCs w:val="32"/>
        </w:rPr>
        <w:t>+</w:t>
      </w:r>
      <w:r>
        <w:rPr>
          <w:rFonts w:hint="eastAsia" w:ascii="仿宋" w:hAnsi="仿宋" w:eastAsia="仿宋"/>
          <w:bCs/>
          <w:sz w:val="32"/>
          <w:szCs w:val="32"/>
        </w:rPr>
        <w:t>两代表一委员</w:t>
      </w:r>
      <w:r>
        <w:rPr>
          <w:rFonts w:ascii="仿宋" w:hAnsi="仿宋" w:eastAsia="仿宋"/>
          <w:bCs/>
          <w:sz w:val="32"/>
          <w:szCs w:val="32"/>
        </w:rPr>
        <w:t>+</w:t>
      </w:r>
      <w:r>
        <w:rPr>
          <w:rFonts w:hint="eastAsia" w:ascii="仿宋" w:hAnsi="仿宋" w:eastAsia="仿宋"/>
          <w:bCs/>
          <w:sz w:val="32"/>
          <w:szCs w:val="32"/>
        </w:rPr>
        <w:t>重点人”维稳信访机制，完善相应工作方案及制度</w:t>
      </w:r>
      <w:r>
        <w:rPr>
          <w:rFonts w:hint="eastAsia" w:ascii="仿宋" w:hAnsi="仿宋" w:eastAsia="仿宋"/>
          <w:sz w:val="32"/>
          <w:szCs w:val="32"/>
        </w:rPr>
        <w:t>。组织开展安全生产大检查6次，开展交通、建筑、危化品、公众聚集场所专项整治5次，发放安全生产宣传资料15000多份，全年无安全生产责任事故。</w:t>
      </w:r>
    </w:p>
    <w:p w14:paraId="26004D78">
      <w:pPr>
        <w:pBdr>
          <w:bottom w:val="single" w:color="FFFFFF" w:sz="4" w:space="31"/>
        </w:pBdr>
        <w:adjustRightInd w:val="0"/>
        <w:snapToGrid w:val="0"/>
        <w:spacing w:line="540" w:lineRule="exact"/>
        <w:ind w:firstLine="640" w:firstLineChars="200"/>
        <w:jc w:val="left"/>
        <w:rPr>
          <w:rFonts w:ascii="仿宋" w:hAnsi="仿宋" w:eastAsia="仿宋"/>
          <w:sz w:val="32"/>
          <w:szCs w:val="32"/>
        </w:rPr>
      </w:pPr>
      <w:r>
        <w:rPr>
          <w:rFonts w:hint="eastAsia" w:ascii="仿宋" w:hAnsi="仿宋" w:eastAsia="仿宋"/>
          <w:sz w:val="32"/>
          <w:szCs w:val="32"/>
        </w:rPr>
        <w:t>（三）建机制、强措施，绘好村镇管理图</w:t>
      </w:r>
    </w:p>
    <w:p w14:paraId="57A7AA4D">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sz w:val="32"/>
          <w:szCs w:val="32"/>
        </w:rPr>
        <w:t>一是注重长效管理。创新开展环境卫生整治示范推动、领导干部包抓主要路段、“党员、村民代表、村干部、示范户”承诺制、群众参与同心共建等工作机制，加强机制保障，动员全镇力量参与村镇管理。发挥考核“指挥棒”作用，结合机关内部考核、村级考核、环境卫生整治、治污减霾网格化管理、河长制等制定考核办法8个。</w:t>
      </w:r>
    </w:p>
    <w:p w14:paraId="115959CB">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sz w:val="32"/>
          <w:szCs w:val="32"/>
        </w:rPr>
        <w:t>二是生态环境持续改善。实施全域绿化，完成植绿增绿1015亩。打造生态水系，开工建设宏丰村、三合村、东孙村生态涝池；完成排水干渠生态修复工程招标和地面附着物统计；在沿清河</w:t>
      </w:r>
      <w:r>
        <w:rPr>
          <w:rFonts w:ascii="仿宋" w:hAnsi="仿宋" w:eastAsia="仿宋"/>
          <w:sz w:val="32"/>
          <w:szCs w:val="32"/>
        </w:rPr>
        <w:t>5</w:t>
      </w:r>
      <w:r>
        <w:rPr>
          <w:rFonts w:hint="eastAsia" w:ascii="仿宋" w:hAnsi="仿宋" w:eastAsia="仿宋"/>
          <w:sz w:val="32"/>
          <w:szCs w:val="32"/>
        </w:rPr>
        <w:t>村和沿排水干渠宏丰村等</w:t>
      </w:r>
      <w:r>
        <w:rPr>
          <w:rFonts w:ascii="仿宋" w:hAnsi="仿宋" w:eastAsia="仿宋"/>
          <w:sz w:val="32"/>
          <w:szCs w:val="32"/>
        </w:rPr>
        <w:t>5</w:t>
      </w:r>
      <w:r>
        <w:rPr>
          <w:rFonts w:hint="eastAsia" w:ascii="仿宋" w:hAnsi="仿宋" w:eastAsia="仿宋"/>
          <w:sz w:val="32"/>
          <w:szCs w:val="32"/>
        </w:rPr>
        <w:t>个村农村污水收集处理项目正在进行招标。创新垃圾规范化管理，以任张村为示范，在三合、东孙、沟王开展生产垃圾堆肥；启动老寨、三合村生活垃圾分类减量化处理试点工作。实施农村改厕，完成1400户的农村户厕改造任务。加强硬件设施配备，投资20万元在全镇主要交通干道两侧摆放垃圾箱30余个，共出动垃圾清理车辆2000多次。</w:t>
      </w:r>
    </w:p>
    <w:p w14:paraId="38359D99">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sz w:val="32"/>
          <w:szCs w:val="32"/>
        </w:rPr>
        <w:t>三是 “四长”工作常态化开展。持续推进路长制，制定领导班子成员包抓主要路段方案、示范村示范路打造方案。强化治污减霾网格化管理，由镇网格办与网格中队武屯中队组成巡查队，每天对14个村秸秆禁烧、垃圾焚烧、建筑工地、散煤治理等重点内容进行不间断巡查，发现问题立即整改。对全镇工地进行常态化巡查，自复工日起巡查工地40余次，下达整改通知书20余份，保障“六个到位”，助力铁腕治霾。打造</w:t>
      </w:r>
      <w:r>
        <w:rPr>
          <w:rFonts w:hint="eastAsia" w:ascii="仿宋" w:hAnsi="仿宋" w:eastAsia="仿宋"/>
          <w:bCs/>
          <w:sz w:val="32"/>
          <w:szCs w:val="32"/>
        </w:rPr>
        <w:t>河湖长铁军，</w:t>
      </w:r>
      <w:r>
        <w:rPr>
          <w:rFonts w:hint="eastAsia" w:ascii="仿宋" w:hAnsi="仿宋" w:eastAsia="仿宋"/>
          <w:sz w:val="32"/>
          <w:szCs w:val="32"/>
        </w:rPr>
        <w:t>制定 “党建</w:t>
      </w:r>
      <w:r>
        <w:rPr>
          <w:rFonts w:ascii="仿宋" w:hAnsi="仿宋" w:eastAsia="仿宋"/>
          <w:sz w:val="32"/>
          <w:szCs w:val="32"/>
        </w:rPr>
        <w:t>+</w:t>
      </w:r>
      <w:r>
        <w:rPr>
          <w:rFonts w:hint="eastAsia" w:ascii="仿宋" w:hAnsi="仿宋" w:eastAsia="仿宋"/>
          <w:sz w:val="32"/>
          <w:szCs w:val="32"/>
        </w:rPr>
        <w:t>河湖长”工作实施方案，确定了</w:t>
      </w:r>
      <w:r>
        <w:rPr>
          <w:rFonts w:ascii="仿宋" w:hAnsi="仿宋" w:eastAsia="仿宋"/>
          <w:sz w:val="32"/>
          <w:szCs w:val="32"/>
        </w:rPr>
        <w:t>6</w:t>
      </w:r>
      <w:r>
        <w:rPr>
          <w:rFonts w:hint="eastAsia" w:ascii="仿宋" w:hAnsi="仿宋" w:eastAsia="仿宋"/>
          <w:sz w:val="32"/>
          <w:szCs w:val="32"/>
        </w:rPr>
        <w:t>名沿河村庄的党员河湖长义务岗；加大巡查力度，保证河道无垃圾堆放、无漂浮物、无违章建筑、无污水直排。上半年共清理垃圾200余方。扎实推进“厕所革命”，定期巡查维护公厕设施。</w:t>
      </w:r>
    </w:p>
    <w:p w14:paraId="23CB6A3F">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sz w:val="32"/>
          <w:szCs w:val="32"/>
        </w:rPr>
        <w:t>（四）强队伍、聚合力，绘好乡村振兴图</w:t>
      </w:r>
    </w:p>
    <w:p w14:paraId="46E11D9D">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sz w:val="32"/>
          <w:szCs w:val="32"/>
        </w:rPr>
        <w:t>一是打造美丽党建。选优配强带头人。</w:t>
      </w:r>
      <w:r>
        <w:rPr>
          <w:rFonts w:hint="eastAsia" w:ascii="仿宋" w:hAnsi="仿宋" w:eastAsia="仿宋" w:cs="Arial"/>
          <w:color w:val="000000"/>
          <w:sz w:val="32"/>
          <w:szCs w:val="32"/>
          <w:shd w:val="clear" w:color="auto" w:fill="FFFFFF"/>
        </w:rPr>
        <w:t>坚持依法依规，精心组织，严格程序，完成了村党组织、第十届村委会班子换届选举，共选出村“两委”班子成员99人，平均年龄47.4岁。“党建10+”</w:t>
      </w:r>
      <w:r>
        <w:rPr>
          <w:rFonts w:hint="eastAsia" w:ascii="仿宋" w:hAnsi="仿宋" w:eastAsia="仿宋"/>
          <w:color w:val="000000"/>
          <w:sz w:val="32"/>
          <w:szCs w:val="32"/>
          <w:shd w:val="clear" w:color="auto" w:fill="FFFFFF"/>
        </w:rPr>
        <w:t>练队伍。</w:t>
      </w:r>
      <w:r>
        <w:rPr>
          <w:rFonts w:hint="eastAsia" w:ascii="仿宋" w:hAnsi="仿宋" w:eastAsia="仿宋"/>
          <w:sz w:val="32"/>
          <w:szCs w:val="32"/>
        </w:rPr>
        <w:t>开展“党建+项目”“党建+脱贫”“党建+环境卫生”“党建+产业发展”“党建+平安建设”“党建+志愿服务”等活动，把党员的作用发挥到农村建设的各方面。党校培训提素质。</w:t>
      </w:r>
      <w:r>
        <w:rPr>
          <w:rFonts w:hint="eastAsia" w:ascii="仿宋" w:hAnsi="仿宋" w:eastAsia="仿宋" w:cs="仿宋"/>
          <w:sz w:val="32"/>
          <w:szCs w:val="32"/>
        </w:rPr>
        <w:t>围绕学习贯彻</w:t>
      </w:r>
      <w:bookmarkStart w:id="0" w:name="_GoBack"/>
      <w:r>
        <w:rPr>
          <w:rFonts w:hint="eastAsia" w:ascii="仿宋" w:hAnsi="仿宋" w:eastAsia="仿宋" w:cs="Times New Roman"/>
          <w:sz w:val="32"/>
          <w:szCs w:val="32"/>
          <w:lang w:val="en-US" w:eastAsia="zh-CN"/>
        </w:rPr>
        <w:t>习近平新时代中国特色社会主义思想和党的十九大精神</w:t>
      </w:r>
      <w:bookmarkEnd w:id="0"/>
      <w:r>
        <w:rPr>
          <w:rFonts w:hint="eastAsia" w:ascii="仿宋" w:hAnsi="仿宋" w:eastAsia="仿宋" w:cs="Times New Roman"/>
          <w:sz w:val="32"/>
          <w:szCs w:val="32"/>
        </w:rPr>
        <w:t>这一个主题，</w:t>
      </w:r>
      <w:r>
        <w:rPr>
          <w:rFonts w:hint="eastAsia" w:ascii="仿宋" w:hAnsi="仿宋" w:eastAsia="仿宋" w:cs="仿宋"/>
          <w:sz w:val="32"/>
          <w:szCs w:val="32"/>
        </w:rPr>
        <w:t>开设7个专题班，4个常规班，3个轮训班，全面提升干部干事创业能力。</w:t>
      </w:r>
    </w:p>
    <w:p w14:paraId="0241B1B8">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cs="Arial"/>
          <w:color w:val="000000"/>
          <w:sz w:val="32"/>
          <w:szCs w:val="32"/>
          <w:shd w:val="clear" w:color="auto" w:fill="FFFFFF"/>
        </w:rPr>
        <w:t>二是打造美丽乡村。逐步实现社区“全覆盖”。全镇拟建设9个农村片区化中心社区建设，其中广阳、三合、东孙、宏丰、御宝、沟王、栎阳、西相8个片区化中心已建成运行。</w:t>
      </w:r>
      <w:r>
        <w:rPr>
          <w:rFonts w:hint="eastAsia" w:ascii="仿宋" w:hAnsi="仿宋" w:eastAsia="仿宋"/>
          <w:spacing w:val="-8"/>
          <w:sz w:val="32"/>
          <w:szCs w:val="32"/>
        </w:rPr>
        <w:t>2018年申报老寨农村片区化中心社区目前正在对接土地手续，年底之前完成主体建设。全域推进“美丽乡村”建设。</w:t>
      </w:r>
      <w:r>
        <w:rPr>
          <w:rFonts w:hint="eastAsia" w:ascii="仿宋" w:hAnsi="仿宋" w:eastAsia="仿宋"/>
          <w:sz w:val="32"/>
          <w:szCs w:val="32"/>
        </w:rPr>
        <w:t>制定《武屯镇乡村振兴示范村建设规范》，并根据老寨、三合、沟王、西相4村实际，制定了各村的建设方案。启动沟王美丽乡村建设，完成1700道路拓宽、480米道沿铺设、520米道路排水、铺设自来水主管网670米、自来水入户管道50户；申报老寨村成为省级清洁宜居村，正在进行省级评审。</w:t>
      </w:r>
    </w:p>
    <w:p w14:paraId="555A1784">
      <w:pPr>
        <w:pBdr>
          <w:bottom w:val="single" w:color="FFFFFF" w:sz="4" w:space="31"/>
        </w:pBdr>
        <w:snapToGrid w:val="0"/>
        <w:spacing w:line="540" w:lineRule="exact"/>
        <w:ind w:firstLine="608" w:firstLineChars="200"/>
        <w:rPr>
          <w:rFonts w:ascii="仿宋" w:hAnsi="仿宋" w:eastAsia="仿宋"/>
          <w:sz w:val="32"/>
          <w:szCs w:val="32"/>
        </w:rPr>
      </w:pPr>
      <w:r>
        <w:rPr>
          <w:rFonts w:hint="eastAsia" w:ascii="仿宋" w:hAnsi="仿宋" w:eastAsia="仿宋"/>
          <w:spacing w:val="-8"/>
          <w:sz w:val="32"/>
          <w:szCs w:val="32"/>
        </w:rPr>
        <w:t>三是打造美丽经济。</w:t>
      </w:r>
      <w:r>
        <w:rPr>
          <w:rFonts w:hint="eastAsia" w:ascii="仿宋" w:hAnsi="仿宋" w:eastAsia="仿宋"/>
          <w:sz w:val="32"/>
          <w:szCs w:val="32"/>
        </w:rPr>
        <w:t>以幸福新农村建设助推集体经济发展，打造老寨、三合“三变”改革示范村。成立老寨村集体经济组织，引入社会资本林苑公司，共流转土地500亩，建成油坊、电商、民宿、忆苦思甜农家饭等服务设施，年初人均分红1536.96元。建成门球场地7块，有效探索出了一条以“门球”产业为带动的三产融合发展新样板。10月25日全国十一省区56支队伍门球邀请赛将在老寨举行。</w:t>
      </w:r>
    </w:p>
    <w:p w14:paraId="4253862B">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sz w:val="32"/>
          <w:szCs w:val="32"/>
        </w:rPr>
        <w:t>四是打造美丽人家。坚持绿化美化整体推进，在老寨村开展试点，美化庭院170户，栽植各类苗木2000余株，在老寨、三合、西相共挂花625盆、摆花100盆，种植月季、黄杨、南天竹、红豆杉等苗木23000余株，种植草花冰岛虞美人、翠菊、宿尾草等600平方米。开展“最美庭院”评选活动，营造同心共建良好氛围。加强村民建房管理，健全村民建房管理制度，坚持杜绝未批先建、随意加盖等现象。</w:t>
      </w:r>
    </w:p>
    <w:p w14:paraId="47EFB9E1">
      <w:pPr>
        <w:pBdr>
          <w:bottom w:val="single" w:color="FFFFFF" w:sz="4" w:space="31"/>
        </w:pBdr>
        <w:snapToGrid w:val="0"/>
        <w:spacing w:line="540" w:lineRule="exact"/>
        <w:ind w:firstLine="640" w:firstLineChars="200"/>
        <w:rPr>
          <w:rFonts w:ascii="仿宋" w:hAnsi="仿宋" w:eastAsia="仿宋"/>
          <w:sz w:val="32"/>
          <w:szCs w:val="32"/>
        </w:rPr>
      </w:pPr>
      <w:r>
        <w:rPr>
          <w:rFonts w:hint="eastAsia" w:ascii="仿宋" w:hAnsi="仿宋" w:eastAsia="仿宋"/>
          <w:sz w:val="32"/>
          <w:szCs w:val="32"/>
        </w:rPr>
        <w:t>五是打造美丽乡风。</w:t>
      </w:r>
      <w:r>
        <w:rPr>
          <w:rFonts w:ascii="仿宋" w:hAnsi="仿宋" w:eastAsia="仿宋"/>
          <w:sz w:val="32"/>
          <w:szCs w:val="32"/>
        </w:rPr>
        <w:t>坚持以“</w:t>
      </w:r>
      <w:r>
        <w:rPr>
          <w:rFonts w:hint="eastAsia" w:ascii="仿宋" w:hAnsi="仿宋" w:eastAsia="仿宋"/>
          <w:sz w:val="32"/>
          <w:szCs w:val="32"/>
        </w:rPr>
        <w:t>三</w:t>
      </w:r>
      <w:r>
        <w:rPr>
          <w:rFonts w:ascii="仿宋" w:hAnsi="仿宋" w:eastAsia="仿宋"/>
          <w:sz w:val="32"/>
          <w:szCs w:val="32"/>
        </w:rPr>
        <w:t>会一约”（红白理事会、</w:t>
      </w:r>
      <w:r>
        <w:rPr>
          <w:rFonts w:hint="eastAsia" w:ascii="仿宋" w:hAnsi="仿宋" w:eastAsia="仿宋"/>
          <w:sz w:val="32"/>
          <w:szCs w:val="32"/>
        </w:rPr>
        <w:t>评理会、乡贤会</w:t>
      </w:r>
      <w:r>
        <w:rPr>
          <w:rFonts w:ascii="仿宋" w:hAnsi="仿宋" w:eastAsia="仿宋"/>
          <w:sz w:val="32"/>
          <w:szCs w:val="32"/>
        </w:rPr>
        <w:t>和村规民约）建设为载体，</w:t>
      </w:r>
      <w:r>
        <w:rPr>
          <w:rFonts w:hint="eastAsia" w:ascii="仿宋" w:hAnsi="仿宋" w:eastAsia="仿宋"/>
          <w:sz w:val="32"/>
          <w:szCs w:val="32"/>
        </w:rPr>
        <w:t>发挥“典型组织”带动作用，指导各村</w:t>
      </w:r>
      <w:r>
        <w:rPr>
          <w:rFonts w:ascii="仿宋" w:hAnsi="仿宋" w:eastAsia="仿宋"/>
          <w:sz w:val="32"/>
          <w:szCs w:val="32"/>
        </w:rPr>
        <w:t>扎实推进农村移风易俗工作。开展“我们的节日”</w:t>
      </w:r>
      <w:r>
        <w:rPr>
          <w:rFonts w:hint="eastAsia" w:ascii="仿宋" w:hAnsi="仿宋" w:eastAsia="仿宋"/>
          <w:sz w:val="32"/>
          <w:szCs w:val="32"/>
        </w:rPr>
        <w:t>系列</w:t>
      </w:r>
      <w:r>
        <w:rPr>
          <w:rFonts w:ascii="仿宋" w:hAnsi="仿宋" w:eastAsia="仿宋"/>
          <w:sz w:val="32"/>
          <w:szCs w:val="32"/>
        </w:rPr>
        <w:t>活动，</w:t>
      </w:r>
      <w:r>
        <w:rPr>
          <w:rFonts w:hint="eastAsia" w:ascii="仿宋" w:hAnsi="仿宋" w:eastAsia="仿宋"/>
          <w:sz w:val="32"/>
          <w:szCs w:val="32"/>
        </w:rPr>
        <w:t>通过“典型节日”弘扬优秀传统文化，丰富群众文化生活，</w:t>
      </w:r>
      <w:r>
        <w:rPr>
          <w:rFonts w:ascii="仿宋" w:hAnsi="仿宋" w:eastAsia="仿宋"/>
          <w:sz w:val="32"/>
          <w:szCs w:val="32"/>
        </w:rPr>
        <w:t>推动形成团结互助、</w:t>
      </w:r>
      <w:r>
        <w:rPr>
          <w:rFonts w:hint="eastAsia" w:ascii="仿宋" w:hAnsi="仿宋" w:eastAsia="仿宋"/>
          <w:sz w:val="32"/>
          <w:szCs w:val="32"/>
        </w:rPr>
        <w:t>文明和谐的社会风尚。开展“五好家庭”、“好媳妇”、“好婆婆”等评选活动，弘扬“典型模范”精神，发扬榜样力量。</w:t>
      </w:r>
    </w:p>
    <w:p w14:paraId="3FA243BF">
      <w:pPr>
        <w:pBdr>
          <w:bottom w:val="single" w:color="FFFFFF" w:sz="4" w:space="31"/>
        </w:pBdr>
        <w:snapToGrid w:val="0"/>
        <w:spacing w:line="540" w:lineRule="exact"/>
        <w:ind w:firstLine="640" w:firstLineChars="200"/>
        <w:rPr>
          <w:rFonts w:ascii="仿宋" w:hAnsi="仿宋" w:eastAsia="仿宋" w:cs="华文仿宋"/>
          <w:sz w:val="32"/>
          <w:szCs w:val="32"/>
        </w:rPr>
      </w:pPr>
      <w:r>
        <w:rPr>
          <w:rFonts w:hint="eastAsia" w:ascii="仿宋" w:hAnsi="仿宋" w:eastAsia="仿宋" w:cs="黑体"/>
          <w:sz w:val="32"/>
          <w:szCs w:val="32"/>
        </w:rPr>
        <w:t>五、部门决算收支情况说明</w:t>
      </w:r>
    </w:p>
    <w:p w14:paraId="39F01707">
      <w:pPr>
        <w:pBdr>
          <w:bottom w:val="single" w:color="FFFFFF" w:sz="4" w:space="31"/>
        </w:pBdr>
        <w:snapToGrid w:val="0"/>
        <w:spacing w:line="540" w:lineRule="exact"/>
        <w:ind w:firstLine="641" w:firstLineChars="200"/>
        <w:rPr>
          <w:rFonts w:ascii="仿宋" w:hAnsi="仿宋" w:eastAsia="仿宋" w:cs="楷体_GB2312"/>
          <w:b/>
          <w:bCs/>
          <w:sz w:val="32"/>
          <w:szCs w:val="32"/>
        </w:rPr>
      </w:pPr>
      <w:r>
        <w:rPr>
          <w:rFonts w:hint="eastAsia" w:ascii="仿宋" w:hAnsi="仿宋" w:eastAsia="仿宋" w:cs="楷体_GB2312"/>
          <w:b/>
          <w:bCs/>
          <w:sz w:val="32"/>
          <w:szCs w:val="32"/>
        </w:rPr>
        <w:t>（一）2018年度收入支出总体情况说明</w:t>
      </w:r>
    </w:p>
    <w:p w14:paraId="69C2ECEB">
      <w:pPr>
        <w:pBdr>
          <w:bottom w:val="single" w:color="FFFFFF" w:sz="4" w:space="31"/>
        </w:pBdr>
        <w:snapToGrid w:val="0"/>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1.本年度收入支出总体情况</w:t>
      </w:r>
    </w:p>
    <w:p w14:paraId="0FC8D153">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（1）2018年度本年收入合计2381.39万元，较上年减少272.63万元，主要原因是日常办公经费</w:t>
      </w:r>
      <w:r>
        <w:rPr>
          <w:rFonts w:hint="eastAsia" w:ascii="仿宋" w:hAnsi="仿宋" w:eastAsia="仿宋" w:cs="华文仿宋"/>
          <w:color w:val="000000"/>
          <w:sz w:val="32"/>
          <w:szCs w:val="32"/>
        </w:rPr>
        <w:t>压缩，小城镇基础设施建设项目资金减少，环境卫生整治项目资金减少，上年项目有结余资金480.6万</w:t>
      </w:r>
      <w:r>
        <w:rPr>
          <w:rFonts w:hint="eastAsia" w:ascii="仿宋" w:hAnsi="仿宋" w:eastAsia="仿宋" w:cs="华文仿宋"/>
          <w:sz w:val="32"/>
          <w:szCs w:val="32"/>
        </w:rPr>
        <w:t>。</w:t>
      </w:r>
    </w:p>
    <w:p w14:paraId="55B4BB57">
      <w:pPr>
        <w:pStyle w:val="7"/>
        <w:spacing w:before="0" w:beforeAutospacing="0" w:after="0" w:afterAutospacing="0" w:line="540" w:lineRule="exact"/>
        <w:ind w:firstLine="640" w:firstLineChars="200"/>
        <w:rPr>
          <w:rFonts w:hint="eastAsia" w:ascii="仿宋" w:hAnsi="仿宋" w:eastAsia="仿宋" w:cs="华文仿宋"/>
          <w:sz w:val="32"/>
          <w:szCs w:val="32"/>
        </w:rPr>
      </w:pPr>
      <w:r>
        <w:rPr>
          <w:rFonts w:hint="eastAsia" w:ascii="仿宋" w:hAnsi="仿宋" w:eastAsia="仿宋" w:cs="华文仿宋"/>
          <w:sz w:val="32"/>
          <w:szCs w:val="32"/>
        </w:rPr>
        <w:t>（2）2018年度本年支出合计1861.99万元，比上年减少311.43万元，主要原因是</w:t>
      </w:r>
      <w:r>
        <w:rPr>
          <w:rFonts w:hint="eastAsia" w:ascii="仿宋" w:hAnsi="仿宋" w:eastAsia="仿宋" w:cs="华文仿宋"/>
          <w:color w:val="000000"/>
          <w:sz w:val="32"/>
          <w:szCs w:val="32"/>
        </w:rPr>
        <w:t>城市基础设施配套基金结转至2019年，不计入本年支出</w:t>
      </w:r>
      <w:r>
        <w:rPr>
          <w:rFonts w:hint="eastAsia" w:ascii="仿宋" w:hAnsi="仿宋" w:eastAsia="仿宋" w:cs="华文仿宋"/>
          <w:sz w:val="32"/>
          <w:szCs w:val="32"/>
        </w:rPr>
        <w:t>。</w:t>
      </w:r>
    </w:p>
    <w:p w14:paraId="4BD00B7A">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r>
        <w:rPr>
          <w:rFonts w:hint="eastAsia" w:ascii="仿宋" w:hAnsi="仿宋" w:eastAsia="仿宋" w:cs="仿宋"/>
          <w:b/>
          <w:i w:val="0"/>
          <w:caps w:val="0"/>
          <w:color w:val="333333"/>
          <w:spacing w:val="0"/>
          <w:sz w:val="32"/>
          <w:szCs w:val="32"/>
          <w:shd w:val="clear" w:color="auto" w:fill="FFFFFF"/>
          <w:lang w:val="en-US" w:eastAsia="zh-CN"/>
        </w:rPr>
        <w:t>2017、2018年度收入支出总体情况表（万元）</w:t>
      </w:r>
    </w:p>
    <w:tbl>
      <w:tblPr>
        <w:tblStyle w:val="16"/>
        <w:tblW w:w="9150" w:type="dxa"/>
        <w:tblInd w:w="0" w:type="dxa"/>
        <w:tblLayout w:type="fixed"/>
        <w:tblCellMar>
          <w:top w:w="0" w:type="dxa"/>
          <w:left w:w="108" w:type="dxa"/>
          <w:bottom w:w="0" w:type="dxa"/>
          <w:right w:w="108" w:type="dxa"/>
        </w:tblCellMar>
      </w:tblPr>
      <w:tblGrid>
        <w:gridCol w:w="3011"/>
        <w:gridCol w:w="3334"/>
        <w:gridCol w:w="2805"/>
      </w:tblGrid>
      <w:tr w14:paraId="7E8D3CDF">
        <w:tblPrEx>
          <w:tblCellMar>
            <w:top w:w="0" w:type="dxa"/>
            <w:left w:w="108" w:type="dxa"/>
            <w:bottom w:w="0" w:type="dxa"/>
            <w:right w:w="108" w:type="dxa"/>
          </w:tblCellMar>
        </w:tblPrEx>
        <w:tc>
          <w:tcPr>
            <w:tcW w:w="3011" w:type="dxa"/>
            <w:tcBorders>
              <w:top w:val="single" w:color="auto" w:sz="12" w:space="0"/>
              <w:left w:val="nil"/>
              <w:bottom w:val="single" w:color="auto" w:sz="6" w:space="0"/>
              <w:right w:val="single" w:color="7F7F7F" w:sz="4" w:space="0"/>
            </w:tcBorders>
            <w:noWrap w:val="0"/>
            <w:vAlign w:val="center"/>
          </w:tcPr>
          <w:p w14:paraId="7816582D">
            <w:pPr>
              <w:jc w:val="center"/>
              <w:rPr>
                <w:rFonts w:hint="eastAsia" w:eastAsia="等线"/>
                <w:b/>
                <w:bCs/>
                <w:caps/>
                <w:kern w:val="0"/>
                <w:sz w:val="20"/>
                <w:szCs w:val="20"/>
                <w:lang w:eastAsia="zh-CN"/>
              </w:rPr>
            </w:pPr>
            <w:r>
              <w:rPr>
                <w:rFonts w:hint="eastAsia"/>
                <w:b/>
                <w:bCs/>
                <w:caps/>
                <w:kern w:val="0"/>
                <w:sz w:val="20"/>
                <w:szCs w:val="20"/>
                <w:lang w:eastAsia="zh-CN"/>
              </w:rPr>
              <w:t>年</w:t>
            </w:r>
            <w:r>
              <w:rPr>
                <w:rFonts w:hint="eastAsia"/>
                <w:b/>
                <w:bCs/>
                <w:caps/>
                <w:kern w:val="0"/>
                <w:sz w:val="20"/>
                <w:szCs w:val="20"/>
                <w:lang w:val="en-US" w:eastAsia="zh-CN"/>
              </w:rPr>
              <w:t xml:space="preserve">  </w:t>
            </w:r>
            <w:r>
              <w:rPr>
                <w:rFonts w:hint="eastAsia"/>
                <w:b/>
                <w:bCs/>
                <w:caps/>
                <w:kern w:val="0"/>
                <w:sz w:val="20"/>
                <w:szCs w:val="20"/>
                <w:lang w:eastAsia="zh-CN"/>
              </w:rPr>
              <w:t>份</w:t>
            </w:r>
          </w:p>
        </w:tc>
        <w:tc>
          <w:tcPr>
            <w:tcW w:w="3334" w:type="dxa"/>
            <w:tcBorders>
              <w:top w:val="single" w:color="auto" w:sz="12" w:space="0"/>
              <w:left w:val="nil"/>
              <w:bottom w:val="single" w:color="auto" w:sz="6" w:space="0"/>
              <w:right w:val="nil"/>
            </w:tcBorders>
            <w:noWrap w:val="0"/>
            <w:vAlign w:val="center"/>
          </w:tcPr>
          <w:p w14:paraId="67FFD828">
            <w:pPr>
              <w:jc w:val="center"/>
              <w:rPr>
                <w:rFonts w:hint="eastAsia" w:eastAsia="等线"/>
                <w:b/>
                <w:caps/>
                <w:kern w:val="0"/>
                <w:sz w:val="20"/>
                <w:szCs w:val="20"/>
                <w:lang w:eastAsia="zh-CN"/>
              </w:rPr>
            </w:pPr>
            <w:r>
              <w:rPr>
                <w:rFonts w:hint="eastAsia"/>
                <w:b/>
                <w:caps/>
                <w:kern w:val="0"/>
                <w:sz w:val="20"/>
                <w:szCs w:val="20"/>
                <w:lang w:eastAsia="zh-CN"/>
              </w:rPr>
              <w:t>收</w:t>
            </w:r>
            <w:r>
              <w:rPr>
                <w:rFonts w:hint="eastAsia"/>
                <w:b/>
                <w:caps/>
                <w:kern w:val="0"/>
                <w:sz w:val="20"/>
                <w:szCs w:val="20"/>
                <w:lang w:val="en-US" w:eastAsia="zh-CN"/>
              </w:rPr>
              <w:t xml:space="preserve">  </w:t>
            </w:r>
            <w:r>
              <w:rPr>
                <w:rFonts w:hint="eastAsia"/>
                <w:b/>
                <w:caps/>
                <w:kern w:val="0"/>
                <w:sz w:val="20"/>
                <w:szCs w:val="20"/>
                <w:lang w:eastAsia="zh-CN"/>
              </w:rPr>
              <w:t>入</w:t>
            </w:r>
          </w:p>
        </w:tc>
        <w:tc>
          <w:tcPr>
            <w:tcW w:w="2805" w:type="dxa"/>
            <w:tcBorders>
              <w:top w:val="single" w:color="auto" w:sz="12" w:space="0"/>
              <w:left w:val="nil"/>
              <w:bottom w:val="single" w:color="auto" w:sz="6" w:space="0"/>
              <w:right w:val="nil"/>
            </w:tcBorders>
            <w:noWrap w:val="0"/>
            <w:vAlign w:val="center"/>
          </w:tcPr>
          <w:p w14:paraId="3FDAFBF1">
            <w:pPr>
              <w:jc w:val="center"/>
              <w:rPr>
                <w:rFonts w:hint="eastAsia" w:eastAsia="等线"/>
                <w:b/>
                <w:caps/>
                <w:kern w:val="0"/>
                <w:sz w:val="20"/>
                <w:szCs w:val="20"/>
                <w:lang w:eastAsia="zh-CN"/>
              </w:rPr>
            </w:pPr>
            <w:r>
              <w:rPr>
                <w:rFonts w:hint="eastAsia"/>
                <w:b/>
                <w:caps/>
                <w:kern w:val="0"/>
                <w:sz w:val="20"/>
                <w:szCs w:val="20"/>
                <w:lang w:eastAsia="zh-CN"/>
              </w:rPr>
              <w:t>支</w:t>
            </w:r>
            <w:r>
              <w:rPr>
                <w:rFonts w:hint="eastAsia"/>
                <w:b/>
                <w:caps/>
                <w:kern w:val="0"/>
                <w:sz w:val="20"/>
                <w:szCs w:val="20"/>
                <w:lang w:val="en-US" w:eastAsia="zh-CN"/>
              </w:rPr>
              <w:t xml:space="preserve">  </w:t>
            </w:r>
            <w:r>
              <w:rPr>
                <w:rFonts w:hint="eastAsia"/>
                <w:b/>
                <w:caps/>
                <w:kern w:val="0"/>
                <w:sz w:val="20"/>
                <w:szCs w:val="20"/>
                <w:lang w:eastAsia="zh-CN"/>
              </w:rPr>
              <w:t>出</w:t>
            </w:r>
          </w:p>
        </w:tc>
      </w:tr>
      <w:tr w14:paraId="4DC16EE3">
        <w:tblPrEx>
          <w:tblCellMar>
            <w:top w:w="0" w:type="dxa"/>
            <w:left w:w="108" w:type="dxa"/>
            <w:bottom w:w="0" w:type="dxa"/>
            <w:right w:w="108" w:type="dxa"/>
          </w:tblCellMar>
        </w:tblPrEx>
        <w:tc>
          <w:tcPr>
            <w:tcW w:w="3011" w:type="dxa"/>
            <w:tcBorders>
              <w:top w:val="single" w:color="auto" w:sz="6" w:space="0"/>
              <w:left w:val="nil"/>
              <w:bottom w:val="nil"/>
              <w:right w:val="single" w:color="7F7F7F" w:sz="4" w:space="0"/>
            </w:tcBorders>
            <w:noWrap w:val="0"/>
            <w:vAlign w:val="center"/>
          </w:tcPr>
          <w:p w14:paraId="4A0BFC67">
            <w:pPr>
              <w:jc w:val="center"/>
              <w:rPr>
                <w:rFonts w:hint="default" w:eastAsia="等线"/>
                <w:b w:val="0"/>
                <w:bCs/>
                <w:caps w:val="0"/>
                <w:kern w:val="0"/>
                <w:sz w:val="20"/>
                <w:szCs w:val="20"/>
                <w:lang w:val="en-US" w:eastAsia="zh-CN"/>
              </w:rPr>
            </w:pPr>
            <w:r>
              <w:rPr>
                <w:rFonts w:hint="eastAsia" w:ascii="等线" w:hAnsi="等线" w:eastAsia="等线" w:cs="Times New Roman"/>
                <w:b/>
                <w:bCs/>
                <w:caps/>
                <w:kern w:val="0"/>
                <w:sz w:val="20"/>
                <w:szCs w:val="20"/>
                <w:lang w:val="en-US" w:eastAsia="zh-CN" w:bidi="ar"/>
              </w:rPr>
              <w:t>2017</w:t>
            </w:r>
          </w:p>
        </w:tc>
        <w:tc>
          <w:tcPr>
            <w:tcW w:w="3334" w:type="dxa"/>
            <w:tcBorders>
              <w:top w:val="single" w:color="auto" w:sz="6" w:space="0"/>
              <w:left w:val="nil"/>
              <w:bottom w:val="nil"/>
              <w:right w:val="nil"/>
            </w:tcBorders>
            <w:noWrap w:val="0"/>
            <w:vAlign w:val="center"/>
          </w:tcPr>
          <w:p w14:paraId="7FEECDE1">
            <w:pPr>
              <w:jc w:val="center"/>
              <w:rPr>
                <w:rFonts w:hint="default" w:eastAsia="等线"/>
                <w:kern w:val="0"/>
                <w:sz w:val="20"/>
                <w:szCs w:val="20"/>
                <w:lang w:val="en-US" w:eastAsia="zh-CN"/>
              </w:rPr>
            </w:pPr>
            <w:r>
              <w:rPr>
                <w:rFonts w:hint="eastAsia"/>
                <w:kern w:val="0"/>
                <w:sz w:val="20"/>
                <w:szCs w:val="20"/>
                <w:lang w:val="en-US" w:eastAsia="zh-CN"/>
              </w:rPr>
              <w:t>2654.02</w:t>
            </w:r>
          </w:p>
        </w:tc>
        <w:tc>
          <w:tcPr>
            <w:tcW w:w="2805" w:type="dxa"/>
            <w:tcBorders>
              <w:top w:val="single" w:color="auto" w:sz="6" w:space="0"/>
              <w:left w:val="nil"/>
              <w:bottom w:val="nil"/>
              <w:right w:val="nil"/>
            </w:tcBorders>
            <w:noWrap w:val="0"/>
            <w:vAlign w:val="center"/>
          </w:tcPr>
          <w:p w14:paraId="0D88C0A9">
            <w:pPr>
              <w:jc w:val="center"/>
              <w:rPr>
                <w:rFonts w:hint="default" w:eastAsia="等线"/>
                <w:kern w:val="0"/>
                <w:sz w:val="20"/>
                <w:szCs w:val="20"/>
                <w:lang w:val="en-US" w:eastAsia="zh-CN"/>
              </w:rPr>
            </w:pPr>
            <w:r>
              <w:rPr>
                <w:rFonts w:hint="eastAsia"/>
                <w:kern w:val="0"/>
                <w:sz w:val="20"/>
                <w:szCs w:val="20"/>
                <w:lang w:val="en-US" w:eastAsia="zh-CN"/>
              </w:rPr>
              <w:t>2173.42</w:t>
            </w:r>
          </w:p>
        </w:tc>
      </w:tr>
      <w:tr w14:paraId="6752A2E6">
        <w:tblPrEx>
          <w:tblCellMar>
            <w:top w:w="0" w:type="dxa"/>
            <w:left w:w="108" w:type="dxa"/>
            <w:bottom w:w="0" w:type="dxa"/>
            <w:right w:w="108" w:type="dxa"/>
          </w:tblCellMar>
        </w:tblPrEx>
        <w:tc>
          <w:tcPr>
            <w:tcW w:w="3011" w:type="dxa"/>
            <w:tcBorders>
              <w:top w:val="nil"/>
              <w:left w:val="nil"/>
              <w:bottom w:val="nil"/>
              <w:right w:val="single" w:color="7F7F7F" w:sz="4" w:space="0"/>
            </w:tcBorders>
            <w:noWrap w:val="0"/>
            <w:vAlign w:val="center"/>
          </w:tcPr>
          <w:p w14:paraId="587ADA10">
            <w:pPr>
              <w:jc w:val="center"/>
              <w:rPr>
                <w:rFonts w:hint="default"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2018</w:t>
            </w:r>
          </w:p>
        </w:tc>
        <w:tc>
          <w:tcPr>
            <w:tcW w:w="3334" w:type="dxa"/>
            <w:tcBorders>
              <w:top w:val="nil"/>
              <w:left w:val="nil"/>
              <w:bottom w:val="nil"/>
              <w:right w:val="nil"/>
            </w:tcBorders>
            <w:noWrap w:val="0"/>
            <w:vAlign w:val="center"/>
          </w:tcPr>
          <w:p w14:paraId="01F3CEF0">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2381.39</w:t>
            </w:r>
          </w:p>
        </w:tc>
        <w:tc>
          <w:tcPr>
            <w:tcW w:w="2805" w:type="dxa"/>
            <w:tcBorders>
              <w:top w:val="nil"/>
              <w:left w:val="nil"/>
              <w:bottom w:val="nil"/>
              <w:right w:val="nil"/>
            </w:tcBorders>
            <w:noWrap w:val="0"/>
            <w:vAlign w:val="center"/>
          </w:tcPr>
          <w:p w14:paraId="7D88EEA2">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1861.99</w:t>
            </w:r>
          </w:p>
        </w:tc>
      </w:tr>
      <w:tr w14:paraId="57E9EC62">
        <w:tblPrEx>
          <w:tblCellMar>
            <w:top w:w="0" w:type="dxa"/>
            <w:left w:w="108" w:type="dxa"/>
            <w:bottom w:w="0" w:type="dxa"/>
            <w:right w:w="108" w:type="dxa"/>
          </w:tblCellMar>
        </w:tblPrEx>
        <w:tc>
          <w:tcPr>
            <w:tcW w:w="3011" w:type="dxa"/>
            <w:tcBorders>
              <w:top w:val="nil"/>
              <w:left w:val="nil"/>
              <w:bottom w:val="single" w:color="auto" w:sz="12" w:space="0"/>
              <w:right w:val="single" w:color="7F7F7F" w:sz="4" w:space="0"/>
            </w:tcBorders>
            <w:noWrap w:val="0"/>
            <w:vAlign w:val="center"/>
          </w:tcPr>
          <w:p w14:paraId="290D19DE">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增幅</w:t>
            </w:r>
          </w:p>
        </w:tc>
        <w:tc>
          <w:tcPr>
            <w:tcW w:w="3334" w:type="dxa"/>
            <w:tcBorders>
              <w:top w:val="nil"/>
              <w:left w:val="nil"/>
              <w:bottom w:val="single" w:color="auto" w:sz="12" w:space="0"/>
              <w:right w:val="nil"/>
            </w:tcBorders>
            <w:noWrap w:val="0"/>
            <w:vAlign w:val="center"/>
          </w:tcPr>
          <w:p w14:paraId="1A006A15">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-272.63</w:t>
            </w:r>
          </w:p>
        </w:tc>
        <w:tc>
          <w:tcPr>
            <w:tcW w:w="2805" w:type="dxa"/>
            <w:tcBorders>
              <w:top w:val="nil"/>
              <w:left w:val="nil"/>
              <w:bottom w:val="single" w:color="auto" w:sz="12" w:space="0"/>
              <w:right w:val="nil"/>
            </w:tcBorders>
            <w:noWrap w:val="0"/>
            <w:vAlign w:val="center"/>
          </w:tcPr>
          <w:p w14:paraId="73E7D92B">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-311.43</w:t>
            </w:r>
          </w:p>
        </w:tc>
      </w:tr>
    </w:tbl>
    <w:p w14:paraId="253D5C73">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r>
        <w:rPr>
          <w:rFonts w:hint="eastAsia" w:ascii="仿宋" w:hAnsi="仿宋" w:eastAsia="仿宋" w:cs="仿宋"/>
          <w:b/>
          <w:i w:val="0"/>
          <w:caps w:val="0"/>
          <w:color w:val="333333"/>
          <w:spacing w:val="0"/>
          <w:sz w:val="32"/>
          <w:szCs w:val="32"/>
          <w:shd w:val="clear" w:color="auto" w:fill="FFFFFF"/>
          <w:lang w:val="en-US" w:eastAsia="zh-CN"/>
        </w:rPr>
        <w:t>2018年度收入支出年初预算数与决算数总体对比表（万元）</w:t>
      </w:r>
    </w:p>
    <w:tbl>
      <w:tblPr>
        <w:tblStyle w:val="16"/>
        <w:tblW w:w="9150" w:type="dxa"/>
        <w:tblInd w:w="0" w:type="dxa"/>
        <w:tblLayout w:type="fixed"/>
        <w:tblCellMar>
          <w:top w:w="0" w:type="dxa"/>
          <w:left w:w="108" w:type="dxa"/>
          <w:bottom w:w="0" w:type="dxa"/>
          <w:right w:w="108" w:type="dxa"/>
        </w:tblCellMar>
      </w:tblPr>
      <w:tblGrid>
        <w:gridCol w:w="2495"/>
        <w:gridCol w:w="2365"/>
        <w:gridCol w:w="2115"/>
        <w:gridCol w:w="2175"/>
      </w:tblGrid>
      <w:tr w14:paraId="095B7E27">
        <w:tblPrEx>
          <w:tblCellMar>
            <w:top w:w="0" w:type="dxa"/>
            <w:left w:w="108" w:type="dxa"/>
            <w:bottom w:w="0" w:type="dxa"/>
            <w:right w:w="108" w:type="dxa"/>
          </w:tblCellMar>
        </w:tblPrEx>
        <w:trPr>
          <w:trHeight w:val="370" w:hRule="atLeast"/>
        </w:trPr>
        <w:tc>
          <w:tcPr>
            <w:tcW w:w="2495" w:type="dxa"/>
            <w:tcBorders>
              <w:top w:val="single" w:color="auto" w:sz="12" w:space="0"/>
              <w:left w:val="nil"/>
              <w:bottom w:val="single" w:color="auto" w:sz="6" w:space="0"/>
              <w:right w:val="single" w:color="7F7F7F" w:sz="4" w:space="0"/>
            </w:tcBorders>
            <w:noWrap w:val="0"/>
            <w:vAlign w:val="center"/>
          </w:tcPr>
          <w:p w14:paraId="273B1BF7">
            <w:pPr>
              <w:jc w:val="center"/>
              <w:rPr>
                <w:rFonts w:hint="eastAsia" w:eastAsia="等线"/>
                <w:b/>
                <w:bCs/>
                <w:caps/>
                <w:kern w:val="0"/>
                <w:sz w:val="20"/>
                <w:szCs w:val="20"/>
                <w:lang w:eastAsia="zh-CN"/>
              </w:rPr>
            </w:pPr>
            <w:r>
              <w:rPr>
                <w:rFonts w:hint="eastAsia" w:eastAsia="等线"/>
                <w:b/>
                <w:bCs/>
                <w:caps/>
                <w:kern w:val="0"/>
                <w:sz w:val="20"/>
                <w:szCs w:val="20"/>
                <w:lang w:eastAsia="zh-CN"/>
              </w:rPr>
              <w:t>预决算</w:t>
            </w:r>
          </w:p>
        </w:tc>
        <w:tc>
          <w:tcPr>
            <w:tcW w:w="2365" w:type="dxa"/>
            <w:tcBorders>
              <w:top w:val="single" w:color="auto" w:sz="12" w:space="0"/>
              <w:left w:val="nil"/>
              <w:bottom w:val="single" w:color="auto" w:sz="6" w:space="0"/>
              <w:right w:val="nil"/>
            </w:tcBorders>
            <w:noWrap w:val="0"/>
            <w:vAlign w:val="center"/>
          </w:tcPr>
          <w:p w14:paraId="36FF4485">
            <w:pPr>
              <w:jc w:val="center"/>
              <w:rPr>
                <w:rFonts w:hint="eastAsia" w:eastAsia="等线"/>
                <w:b/>
                <w:caps/>
                <w:kern w:val="0"/>
                <w:sz w:val="20"/>
                <w:szCs w:val="20"/>
                <w:lang w:eastAsia="zh-CN"/>
              </w:rPr>
            </w:pPr>
            <w:r>
              <w:rPr>
                <w:rFonts w:hint="eastAsia"/>
                <w:b/>
                <w:caps/>
                <w:kern w:val="0"/>
                <w:sz w:val="20"/>
                <w:szCs w:val="20"/>
                <w:lang w:eastAsia="zh-CN"/>
              </w:rPr>
              <w:t>收</w:t>
            </w:r>
            <w:r>
              <w:rPr>
                <w:rFonts w:hint="eastAsia"/>
                <w:b/>
                <w:caps/>
                <w:kern w:val="0"/>
                <w:sz w:val="20"/>
                <w:szCs w:val="20"/>
                <w:lang w:val="en-US" w:eastAsia="zh-CN"/>
              </w:rPr>
              <w:t xml:space="preserve">  </w:t>
            </w:r>
            <w:r>
              <w:rPr>
                <w:rFonts w:hint="eastAsia"/>
                <w:b/>
                <w:caps/>
                <w:kern w:val="0"/>
                <w:sz w:val="20"/>
                <w:szCs w:val="20"/>
                <w:lang w:eastAsia="zh-CN"/>
              </w:rPr>
              <w:t>入</w:t>
            </w:r>
          </w:p>
        </w:tc>
        <w:tc>
          <w:tcPr>
            <w:tcW w:w="2115" w:type="dxa"/>
            <w:tcBorders>
              <w:top w:val="single" w:color="auto" w:sz="12" w:space="0"/>
              <w:left w:val="nil"/>
              <w:bottom w:val="single" w:color="auto" w:sz="6" w:space="0"/>
              <w:right w:val="nil"/>
            </w:tcBorders>
            <w:noWrap w:val="0"/>
            <w:vAlign w:val="center"/>
          </w:tcPr>
          <w:p w14:paraId="7A965745">
            <w:pPr>
              <w:jc w:val="center"/>
              <w:rPr>
                <w:rFonts w:hint="eastAsia" w:eastAsia="等线"/>
                <w:b/>
                <w:caps/>
                <w:kern w:val="0"/>
                <w:sz w:val="20"/>
                <w:szCs w:val="20"/>
                <w:lang w:eastAsia="zh-CN"/>
              </w:rPr>
            </w:pPr>
            <w:r>
              <w:rPr>
                <w:rFonts w:hint="eastAsia"/>
                <w:b/>
                <w:caps/>
                <w:kern w:val="0"/>
                <w:sz w:val="20"/>
                <w:szCs w:val="20"/>
                <w:lang w:eastAsia="zh-CN"/>
              </w:rPr>
              <w:t>支</w:t>
            </w:r>
            <w:r>
              <w:rPr>
                <w:rFonts w:hint="eastAsia"/>
                <w:b/>
                <w:caps/>
                <w:kern w:val="0"/>
                <w:sz w:val="20"/>
                <w:szCs w:val="20"/>
                <w:lang w:val="en-US" w:eastAsia="zh-CN"/>
              </w:rPr>
              <w:t xml:space="preserve">  </w:t>
            </w:r>
            <w:r>
              <w:rPr>
                <w:rFonts w:hint="eastAsia"/>
                <w:b/>
                <w:caps/>
                <w:kern w:val="0"/>
                <w:sz w:val="20"/>
                <w:szCs w:val="20"/>
                <w:lang w:eastAsia="zh-CN"/>
              </w:rPr>
              <w:t>出</w:t>
            </w:r>
          </w:p>
        </w:tc>
        <w:tc>
          <w:tcPr>
            <w:tcW w:w="2175" w:type="dxa"/>
            <w:tcBorders>
              <w:top w:val="single" w:color="auto" w:sz="12" w:space="0"/>
              <w:left w:val="nil"/>
              <w:bottom w:val="single" w:color="auto" w:sz="6" w:space="0"/>
              <w:right w:val="nil"/>
            </w:tcBorders>
            <w:noWrap w:val="0"/>
            <w:vAlign w:val="center"/>
          </w:tcPr>
          <w:p w14:paraId="03E2224D">
            <w:pPr>
              <w:jc w:val="center"/>
              <w:rPr>
                <w:rFonts w:hint="eastAsia"/>
                <w:b/>
                <w:caps/>
                <w:kern w:val="0"/>
                <w:sz w:val="20"/>
                <w:szCs w:val="20"/>
                <w:lang w:eastAsia="zh-CN"/>
              </w:rPr>
            </w:pPr>
            <w:r>
              <w:rPr>
                <w:rFonts w:hint="eastAsia"/>
                <w:b/>
                <w:caps/>
                <w:kern w:val="0"/>
                <w:sz w:val="20"/>
                <w:szCs w:val="20"/>
                <w:lang w:eastAsia="zh-CN"/>
              </w:rPr>
              <w:t>上年（本年）结转结余</w:t>
            </w:r>
          </w:p>
        </w:tc>
      </w:tr>
      <w:tr w14:paraId="55321818">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14:paraId="2B12DF49">
            <w:pPr>
              <w:jc w:val="center"/>
              <w:rPr>
                <w:rFonts w:hint="default"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年初预算数</w:t>
            </w:r>
          </w:p>
        </w:tc>
        <w:tc>
          <w:tcPr>
            <w:tcW w:w="2365" w:type="dxa"/>
            <w:tcBorders>
              <w:top w:val="nil"/>
              <w:left w:val="nil"/>
              <w:bottom w:val="nil"/>
              <w:right w:val="nil"/>
            </w:tcBorders>
            <w:noWrap w:val="0"/>
            <w:vAlign w:val="center"/>
          </w:tcPr>
          <w:p w14:paraId="47EF329D">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965.10</w:t>
            </w:r>
          </w:p>
        </w:tc>
        <w:tc>
          <w:tcPr>
            <w:tcW w:w="2115" w:type="dxa"/>
            <w:tcBorders>
              <w:top w:val="nil"/>
              <w:left w:val="nil"/>
              <w:bottom w:val="nil"/>
              <w:right w:val="nil"/>
            </w:tcBorders>
            <w:noWrap w:val="0"/>
            <w:vAlign w:val="center"/>
          </w:tcPr>
          <w:p w14:paraId="1C01081C">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1445.70</w:t>
            </w:r>
          </w:p>
        </w:tc>
        <w:tc>
          <w:tcPr>
            <w:tcW w:w="2175" w:type="dxa"/>
            <w:tcBorders>
              <w:top w:val="nil"/>
              <w:left w:val="nil"/>
              <w:bottom w:val="nil"/>
              <w:right w:val="nil"/>
            </w:tcBorders>
            <w:noWrap w:val="0"/>
            <w:vAlign w:val="center"/>
          </w:tcPr>
          <w:p w14:paraId="66857715">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480.6</w:t>
            </w:r>
          </w:p>
        </w:tc>
      </w:tr>
      <w:tr w14:paraId="68AC7794">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14:paraId="69962DA6">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调整预算数</w:t>
            </w:r>
          </w:p>
        </w:tc>
        <w:tc>
          <w:tcPr>
            <w:tcW w:w="2365" w:type="dxa"/>
            <w:tcBorders>
              <w:top w:val="nil"/>
              <w:left w:val="nil"/>
              <w:bottom w:val="nil"/>
              <w:right w:val="nil"/>
            </w:tcBorders>
            <w:noWrap w:val="0"/>
            <w:vAlign w:val="center"/>
          </w:tcPr>
          <w:p w14:paraId="6679BF3D">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2381.39</w:t>
            </w:r>
          </w:p>
        </w:tc>
        <w:tc>
          <w:tcPr>
            <w:tcW w:w="2115" w:type="dxa"/>
            <w:tcBorders>
              <w:top w:val="nil"/>
              <w:left w:val="nil"/>
              <w:bottom w:val="nil"/>
              <w:right w:val="nil"/>
            </w:tcBorders>
            <w:noWrap w:val="0"/>
            <w:vAlign w:val="center"/>
          </w:tcPr>
          <w:p w14:paraId="400A35FD">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2861.99</w:t>
            </w:r>
          </w:p>
        </w:tc>
        <w:tc>
          <w:tcPr>
            <w:tcW w:w="2175" w:type="dxa"/>
            <w:tcBorders>
              <w:top w:val="nil"/>
              <w:left w:val="nil"/>
              <w:bottom w:val="nil"/>
              <w:right w:val="nil"/>
            </w:tcBorders>
            <w:noWrap w:val="0"/>
            <w:vAlign w:val="center"/>
          </w:tcPr>
          <w:p w14:paraId="44BC2931">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480.6</w:t>
            </w:r>
          </w:p>
        </w:tc>
      </w:tr>
      <w:tr w14:paraId="3E6A9ED6">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14:paraId="6BA2A1E9">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决算数</w:t>
            </w:r>
          </w:p>
        </w:tc>
        <w:tc>
          <w:tcPr>
            <w:tcW w:w="2365" w:type="dxa"/>
            <w:tcBorders>
              <w:top w:val="nil"/>
              <w:left w:val="nil"/>
              <w:bottom w:val="nil"/>
              <w:right w:val="nil"/>
            </w:tcBorders>
            <w:noWrap w:val="0"/>
            <w:vAlign w:val="center"/>
          </w:tcPr>
          <w:p w14:paraId="712B507D">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2381.39</w:t>
            </w:r>
          </w:p>
        </w:tc>
        <w:tc>
          <w:tcPr>
            <w:tcW w:w="2115" w:type="dxa"/>
            <w:tcBorders>
              <w:top w:val="nil"/>
              <w:left w:val="nil"/>
              <w:bottom w:val="nil"/>
              <w:right w:val="nil"/>
            </w:tcBorders>
            <w:noWrap w:val="0"/>
            <w:vAlign w:val="center"/>
          </w:tcPr>
          <w:p w14:paraId="6DD8B8DC">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1861.99</w:t>
            </w:r>
          </w:p>
        </w:tc>
        <w:tc>
          <w:tcPr>
            <w:tcW w:w="2175" w:type="dxa"/>
            <w:tcBorders>
              <w:top w:val="nil"/>
              <w:left w:val="nil"/>
              <w:bottom w:val="nil"/>
              <w:right w:val="nil"/>
            </w:tcBorders>
            <w:noWrap w:val="0"/>
            <w:vAlign w:val="center"/>
          </w:tcPr>
          <w:p w14:paraId="2F01D4D4">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1000</w:t>
            </w:r>
          </w:p>
        </w:tc>
      </w:tr>
      <w:tr w14:paraId="3C6ACA36">
        <w:tblPrEx>
          <w:tblCellMar>
            <w:top w:w="0" w:type="dxa"/>
            <w:left w:w="108" w:type="dxa"/>
            <w:bottom w:w="0" w:type="dxa"/>
            <w:right w:w="108" w:type="dxa"/>
          </w:tblCellMar>
        </w:tblPrEx>
        <w:trPr>
          <w:trHeight w:val="370" w:hRule="atLeast"/>
        </w:trPr>
        <w:tc>
          <w:tcPr>
            <w:tcW w:w="2495" w:type="dxa"/>
            <w:tcBorders>
              <w:top w:val="nil"/>
              <w:left w:val="nil"/>
              <w:bottom w:val="single" w:color="auto" w:sz="12" w:space="0"/>
              <w:right w:val="single" w:color="7F7F7F" w:sz="4" w:space="0"/>
            </w:tcBorders>
            <w:noWrap w:val="0"/>
            <w:vAlign w:val="center"/>
          </w:tcPr>
          <w:p w14:paraId="5AF99DD2">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完成比率</w:t>
            </w:r>
          </w:p>
        </w:tc>
        <w:tc>
          <w:tcPr>
            <w:tcW w:w="2365" w:type="dxa"/>
            <w:tcBorders>
              <w:top w:val="nil"/>
              <w:left w:val="nil"/>
              <w:bottom w:val="single" w:color="auto" w:sz="12" w:space="0"/>
              <w:right w:val="nil"/>
            </w:tcBorders>
            <w:noWrap w:val="0"/>
            <w:vAlign w:val="center"/>
          </w:tcPr>
          <w:p w14:paraId="062B3C4B">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100%</w:t>
            </w:r>
          </w:p>
        </w:tc>
        <w:tc>
          <w:tcPr>
            <w:tcW w:w="2115" w:type="dxa"/>
            <w:tcBorders>
              <w:top w:val="nil"/>
              <w:left w:val="nil"/>
              <w:bottom w:val="single" w:color="auto" w:sz="12" w:space="0"/>
              <w:right w:val="nil"/>
            </w:tcBorders>
            <w:noWrap w:val="0"/>
            <w:vAlign w:val="center"/>
          </w:tcPr>
          <w:p w14:paraId="734612F3">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65.06%</w:t>
            </w:r>
          </w:p>
        </w:tc>
        <w:tc>
          <w:tcPr>
            <w:tcW w:w="2175" w:type="dxa"/>
            <w:tcBorders>
              <w:top w:val="nil"/>
              <w:left w:val="nil"/>
              <w:bottom w:val="single" w:color="auto" w:sz="12" w:space="0"/>
              <w:right w:val="nil"/>
            </w:tcBorders>
            <w:noWrap w:val="0"/>
            <w:vAlign w:val="center"/>
          </w:tcPr>
          <w:p w14:paraId="008B6EEE">
            <w:pPr>
              <w:jc w:val="center"/>
              <w:rPr>
                <w:rFonts w:hint="eastAsia" w:ascii="等线" w:hAnsi="等线" w:eastAsia="等线" w:cs="Times New Roman"/>
                <w:kern w:val="0"/>
                <w:sz w:val="20"/>
                <w:szCs w:val="20"/>
                <w:lang w:val="en-US" w:eastAsia="zh-CN" w:bidi="ar"/>
              </w:rPr>
            </w:pPr>
          </w:p>
        </w:tc>
      </w:tr>
    </w:tbl>
    <w:p w14:paraId="0A4BADF5">
      <w:pPr>
        <w:pStyle w:val="7"/>
        <w:spacing w:before="0" w:beforeAutospacing="0" w:after="0" w:afterAutospacing="0" w:line="540" w:lineRule="exact"/>
        <w:ind w:firstLine="640" w:firstLineChars="200"/>
        <w:rPr>
          <w:rFonts w:hint="eastAsia" w:ascii="仿宋" w:hAnsi="仿宋" w:eastAsia="仿宋" w:cs="华文仿宋"/>
          <w:sz w:val="32"/>
          <w:szCs w:val="32"/>
        </w:rPr>
      </w:pPr>
    </w:p>
    <w:p w14:paraId="51680659">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2.本年收入构成情况（并用图表进行辅助说明）</w:t>
      </w:r>
    </w:p>
    <w:p w14:paraId="41A0193A">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2018年本年收入合计2381.39万元。其中:</w:t>
      </w:r>
    </w:p>
    <w:p w14:paraId="3C8EC181">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财政拨款2381.39万元，占总收入的100%，包括一般公共预算财政拨款1381.39万元、政府性基金预算财政拨款1000万元。</w:t>
      </w:r>
    </w:p>
    <w:p w14:paraId="75AA6C7B">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事业收入0万元，是事业单位开展专业业务活动及其辅助活动取得的收入，占总收入的0%。</w:t>
      </w:r>
    </w:p>
    <w:p w14:paraId="4AE3EB5D">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经营收入0万元，是事业单位开展专业业务活动及其辅助活动之外开展非独立核算经营活动取得的收入，占总收入的0%。</w:t>
      </w:r>
    </w:p>
    <w:p w14:paraId="7E1D134F">
      <w:pPr>
        <w:pStyle w:val="7"/>
        <w:shd w:val="clear" w:color="auto" w:fill="FFFFFF"/>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其他收入0万元，是取得的除财政拨款收入等以外的各项收入，占总收入的0%。</w:t>
      </w:r>
    </w:p>
    <w:p w14:paraId="1FF1B722">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3.本年支出构成情况（并用图表进行辅助说明）</w:t>
      </w:r>
    </w:p>
    <w:p w14:paraId="0D8747AE">
      <w:pPr>
        <w:pStyle w:val="7"/>
        <w:spacing w:before="0" w:beforeAutospacing="0" w:after="0" w:afterAutospacing="0" w:line="540" w:lineRule="exact"/>
        <w:ind w:firstLine="800" w:firstLineChars="250"/>
        <w:rPr>
          <w:rFonts w:ascii="仿宋" w:hAnsi="仿宋" w:eastAsia="仿宋" w:cs="华文仿宋"/>
          <w:sz w:val="32"/>
          <w:szCs w:val="32"/>
        </w:rPr>
      </w:pPr>
      <w:r>
        <w:rPr>
          <w:rFonts w:hint="eastAsia" w:ascii="仿宋" w:hAnsi="仿宋" w:eastAsia="仿宋" w:cs="华文仿宋"/>
          <w:sz w:val="32"/>
          <w:szCs w:val="32"/>
        </w:rPr>
        <w:t>2018年本年支出合计1861.99万元。其中:</w:t>
      </w:r>
    </w:p>
    <w:p w14:paraId="31BCE54D">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（1）基本支出818.94万元，占总支出的43.98%，是为保障机构正常运转、完成日常工作任务而发生的各项支出，包括人员经费648.78万元和公用经费170.15万元。</w:t>
      </w:r>
    </w:p>
    <w:p w14:paraId="7BA1CD37">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（2）项目支出1043.06万元，占总支出的56.02%，是为完成特定的工作任务或事业发展目标，在基本支出之外发生的支出。主要包括一事一议项目860.6万元，环境卫生整治项目资金77.65万元。</w:t>
      </w:r>
    </w:p>
    <w:p w14:paraId="17476935">
      <w:pPr>
        <w:pStyle w:val="7"/>
        <w:spacing w:before="0" w:beforeAutospacing="0" w:after="0" w:afterAutospacing="0" w:line="540" w:lineRule="exact"/>
        <w:ind w:firstLine="480" w:firstLineChars="150"/>
        <w:rPr>
          <w:rFonts w:ascii="仿宋" w:hAnsi="仿宋" w:eastAsia="仿宋" w:cs="华文仿宋"/>
          <w:b/>
          <w:sz w:val="32"/>
          <w:szCs w:val="32"/>
        </w:rPr>
      </w:pPr>
      <w:r>
        <w:rPr>
          <w:rFonts w:hint="eastAsia" w:ascii="仿宋" w:hAnsi="仿宋" w:eastAsia="仿宋" w:cs="楷体_GB2312"/>
          <w:b/>
          <w:sz w:val="32"/>
          <w:szCs w:val="32"/>
        </w:rPr>
        <w:t>（二）2018年度财政拨款收入支出总体情况说明</w:t>
      </w:r>
    </w:p>
    <w:p w14:paraId="463308BD">
      <w:pPr>
        <w:pStyle w:val="7"/>
        <w:numPr>
          <w:ilvl w:val="0"/>
          <w:numId w:val="2"/>
        </w:numPr>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财政拨款收入支出总体情况</w:t>
      </w:r>
    </w:p>
    <w:p w14:paraId="153CFD93">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2018年财政拨款收入2381.39万元，比上年减少272.63万元，主要原因日常办公经费</w:t>
      </w:r>
      <w:r>
        <w:rPr>
          <w:rFonts w:hint="eastAsia" w:ascii="仿宋" w:hAnsi="仿宋" w:eastAsia="仿宋" w:cs="华文仿宋"/>
          <w:color w:val="000000"/>
          <w:sz w:val="32"/>
          <w:szCs w:val="32"/>
        </w:rPr>
        <w:t>压缩，小城镇基础设施建设项目资金减少，环境卫生整治项目资金减少，上年项目有结余资金480.6万</w:t>
      </w:r>
      <w:r>
        <w:rPr>
          <w:rFonts w:hint="eastAsia" w:ascii="仿宋" w:hAnsi="仿宋" w:eastAsia="仿宋" w:cs="华文仿宋"/>
          <w:sz w:val="32"/>
          <w:szCs w:val="32"/>
        </w:rPr>
        <w:t>。</w:t>
      </w:r>
    </w:p>
    <w:p w14:paraId="1E1EE37B">
      <w:pPr>
        <w:pStyle w:val="7"/>
        <w:spacing w:before="0" w:beforeAutospacing="0" w:after="0" w:afterAutospacing="0" w:line="540" w:lineRule="exact"/>
        <w:ind w:firstLine="640" w:firstLineChars="200"/>
        <w:rPr>
          <w:rFonts w:hint="eastAsia" w:ascii="仿宋" w:hAnsi="仿宋" w:eastAsia="仿宋" w:cs="华文仿宋"/>
          <w:sz w:val="32"/>
          <w:szCs w:val="32"/>
        </w:rPr>
      </w:pPr>
      <w:r>
        <w:rPr>
          <w:rFonts w:hint="eastAsia" w:ascii="仿宋" w:hAnsi="仿宋" w:eastAsia="仿宋" w:cs="华文仿宋"/>
          <w:sz w:val="32"/>
          <w:szCs w:val="32"/>
        </w:rPr>
        <w:t>2018年财政拨款支出1861.99万元，比上年减少311.43万元，主要原因是</w:t>
      </w:r>
      <w:r>
        <w:rPr>
          <w:rFonts w:hint="eastAsia" w:ascii="仿宋" w:hAnsi="仿宋" w:eastAsia="仿宋" w:cs="华文仿宋"/>
          <w:color w:val="000000"/>
          <w:sz w:val="32"/>
          <w:szCs w:val="32"/>
        </w:rPr>
        <w:t>城市基础设施配套基金结转至2019年，不计入本年支出</w:t>
      </w:r>
      <w:r>
        <w:rPr>
          <w:rFonts w:hint="eastAsia" w:ascii="仿宋" w:hAnsi="仿宋" w:eastAsia="仿宋" w:cs="华文仿宋"/>
          <w:sz w:val="32"/>
          <w:szCs w:val="32"/>
        </w:rPr>
        <w:t>。</w:t>
      </w:r>
    </w:p>
    <w:p w14:paraId="32B51369">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r>
        <w:rPr>
          <w:rFonts w:hint="eastAsia" w:ascii="仿宋" w:hAnsi="仿宋" w:eastAsia="仿宋" w:cs="仿宋"/>
          <w:b/>
          <w:i w:val="0"/>
          <w:caps w:val="0"/>
          <w:color w:val="333333"/>
          <w:spacing w:val="0"/>
          <w:sz w:val="32"/>
          <w:szCs w:val="32"/>
          <w:shd w:val="clear" w:color="auto" w:fill="FFFFFF"/>
          <w:lang w:val="en-US" w:eastAsia="zh-CN"/>
        </w:rPr>
        <w:t>2017、2018年度财政拨款收入支出总体情况表（万元）</w:t>
      </w:r>
    </w:p>
    <w:tbl>
      <w:tblPr>
        <w:tblStyle w:val="16"/>
        <w:tblW w:w="9150" w:type="dxa"/>
        <w:tblInd w:w="0" w:type="dxa"/>
        <w:tblLayout w:type="fixed"/>
        <w:tblCellMar>
          <w:top w:w="0" w:type="dxa"/>
          <w:left w:w="108" w:type="dxa"/>
          <w:bottom w:w="0" w:type="dxa"/>
          <w:right w:w="108" w:type="dxa"/>
        </w:tblCellMar>
      </w:tblPr>
      <w:tblGrid>
        <w:gridCol w:w="3011"/>
        <w:gridCol w:w="3334"/>
        <w:gridCol w:w="2805"/>
      </w:tblGrid>
      <w:tr w14:paraId="4C8EA800">
        <w:tblPrEx>
          <w:tblCellMar>
            <w:top w:w="0" w:type="dxa"/>
            <w:left w:w="108" w:type="dxa"/>
            <w:bottom w:w="0" w:type="dxa"/>
            <w:right w:w="108" w:type="dxa"/>
          </w:tblCellMar>
        </w:tblPrEx>
        <w:tc>
          <w:tcPr>
            <w:tcW w:w="3011" w:type="dxa"/>
            <w:tcBorders>
              <w:top w:val="single" w:color="auto" w:sz="12" w:space="0"/>
              <w:left w:val="nil"/>
              <w:bottom w:val="single" w:color="auto" w:sz="6" w:space="0"/>
              <w:right w:val="single" w:color="7F7F7F" w:sz="4" w:space="0"/>
            </w:tcBorders>
            <w:noWrap w:val="0"/>
            <w:vAlign w:val="center"/>
          </w:tcPr>
          <w:p w14:paraId="1DD96FCF">
            <w:pPr>
              <w:jc w:val="center"/>
              <w:rPr>
                <w:rFonts w:hint="eastAsia" w:eastAsia="等线"/>
                <w:b/>
                <w:bCs/>
                <w:caps/>
                <w:kern w:val="0"/>
                <w:sz w:val="20"/>
                <w:szCs w:val="20"/>
                <w:lang w:eastAsia="zh-CN"/>
              </w:rPr>
            </w:pPr>
            <w:r>
              <w:rPr>
                <w:rFonts w:hint="eastAsia"/>
                <w:b/>
                <w:bCs/>
                <w:caps/>
                <w:kern w:val="0"/>
                <w:sz w:val="20"/>
                <w:szCs w:val="20"/>
                <w:lang w:eastAsia="zh-CN"/>
              </w:rPr>
              <w:t>年</w:t>
            </w:r>
            <w:r>
              <w:rPr>
                <w:rFonts w:hint="eastAsia"/>
                <w:b/>
                <w:bCs/>
                <w:caps/>
                <w:kern w:val="0"/>
                <w:sz w:val="20"/>
                <w:szCs w:val="20"/>
                <w:lang w:val="en-US" w:eastAsia="zh-CN"/>
              </w:rPr>
              <w:t xml:space="preserve">  </w:t>
            </w:r>
            <w:r>
              <w:rPr>
                <w:rFonts w:hint="eastAsia"/>
                <w:b/>
                <w:bCs/>
                <w:caps/>
                <w:kern w:val="0"/>
                <w:sz w:val="20"/>
                <w:szCs w:val="20"/>
                <w:lang w:eastAsia="zh-CN"/>
              </w:rPr>
              <w:t>份</w:t>
            </w:r>
          </w:p>
        </w:tc>
        <w:tc>
          <w:tcPr>
            <w:tcW w:w="3334" w:type="dxa"/>
            <w:tcBorders>
              <w:top w:val="single" w:color="auto" w:sz="12" w:space="0"/>
              <w:left w:val="nil"/>
              <w:bottom w:val="single" w:color="auto" w:sz="6" w:space="0"/>
              <w:right w:val="nil"/>
            </w:tcBorders>
            <w:noWrap w:val="0"/>
            <w:vAlign w:val="center"/>
          </w:tcPr>
          <w:p w14:paraId="0106BDC5">
            <w:pPr>
              <w:jc w:val="center"/>
              <w:rPr>
                <w:rFonts w:hint="eastAsia" w:eastAsia="等线"/>
                <w:b/>
                <w:caps/>
                <w:kern w:val="0"/>
                <w:sz w:val="20"/>
                <w:szCs w:val="20"/>
                <w:lang w:eastAsia="zh-CN"/>
              </w:rPr>
            </w:pPr>
            <w:r>
              <w:rPr>
                <w:rFonts w:hint="eastAsia"/>
                <w:b/>
                <w:caps/>
                <w:kern w:val="0"/>
                <w:sz w:val="20"/>
                <w:szCs w:val="20"/>
                <w:lang w:eastAsia="zh-CN"/>
              </w:rPr>
              <w:t>收</w:t>
            </w:r>
            <w:r>
              <w:rPr>
                <w:rFonts w:hint="eastAsia"/>
                <w:b/>
                <w:caps/>
                <w:kern w:val="0"/>
                <w:sz w:val="20"/>
                <w:szCs w:val="20"/>
                <w:lang w:val="en-US" w:eastAsia="zh-CN"/>
              </w:rPr>
              <w:t xml:space="preserve">  </w:t>
            </w:r>
            <w:r>
              <w:rPr>
                <w:rFonts w:hint="eastAsia"/>
                <w:b/>
                <w:caps/>
                <w:kern w:val="0"/>
                <w:sz w:val="20"/>
                <w:szCs w:val="20"/>
                <w:lang w:eastAsia="zh-CN"/>
              </w:rPr>
              <w:t>入</w:t>
            </w:r>
          </w:p>
        </w:tc>
        <w:tc>
          <w:tcPr>
            <w:tcW w:w="2805" w:type="dxa"/>
            <w:tcBorders>
              <w:top w:val="single" w:color="auto" w:sz="12" w:space="0"/>
              <w:left w:val="nil"/>
              <w:bottom w:val="single" w:color="auto" w:sz="6" w:space="0"/>
              <w:right w:val="nil"/>
            </w:tcBorders>
            <w:noWrap w:val="0"/>
            <w:vAlign w:val="center"/>
          </w:tcPr>
          <w:p w14:paraId="349C7B85">
            <w:pPr>
              <w:jc w:val="center"/>
              <w:rPr>
                <w:rFonts w:hint="eastAsia" w:eastAsia="等线"/>
                <w:b/>
                <w:caps/>
                <w:kern w:val="0"/>
                <w:sz w:val="20"/>
                <w:szCs w:val="20"/>
                <w:lang w:eastAsia="zh-CN"/>
              </w:rPr>
            </w:pPr>
            <w:r>
              <w:rPr>
                <w:rFonts w:hint="eastAsia"/>
                <w:b/>
                <w:caps/>
                <w:kern w:val="0"/>
                <w:sz w:val="20"/>
                <w:szCs w:val="20"/>
                <w:lang w:eastAsia="zh-CN"/>
              </w:rPr>
              <w:t>支</w:t>
            </w:r>
            <w:r>
              <w:rPr>
                <w:rFonts w:hint="eastAsia"/>
                <w:b/>
                <w:caps/>
                <w:kern w:val="0"/>
                <w:sz w:val="20"/>
                <w:szCs w:val="20"/>
                <w:lang w:val="en-US" w:eastAsia="zh-CN"/>
              </w:rPr>
              <w:t xml:space="preserve">  </w:t>
            </w:r>
            <w:r>
              <w:rPr>
                <w:rFonts w:hint="eastAsia"/>
                <w:b/>
                <w:caps/>
                <w:kern w:val="0"/>
                <w:sz w:val="20"/>
                <w:szCs w:val="20"/>
                <w:lang w:eastAsia="zh-CN"/>
              </w:rPr>
              <w:t>出</w:t>
            </w:r>
          </w:p>
        </w:tc>
      </w:tr>
      <w:tr w14:paraId="67ACE968">
        <w:tblPrEx>
          <w:tblCellMar>
            <w:top w:w="0" w:type="dxa"/>
            <w:left w:w="108" w:type="dxa"/>
            <w:bottom w:w="0" w:type="dxa"/>
            <w:right w:w="108" w:type="dxa"/>
          </w:tblCellMar>
        </w:tblPrEx>
        <w:tc>
          <w:tcPr>
            <w:tcW w:w="3011" w:type="dxa"/>
            <w:tcBorders>
              <w:top w:val="single" w:color="auto" w:sz="6" w:space="0"/>
              <w:left w:val="nil"/>
              <w:bottom w:val="nil"/>
              <w:right w:val="single" w:color="7F7F7F" w:sz="4" w:space="0"/>
            </w:tcBorders>
            <w:noWrap w:val="0"/>
            <w:vAlign w:val="center"/>
          </w:tcPr>
          <w:p w14:paraId="1128D585">
            <w:pPr>
              <w:jc w:val="center"/>
              <w:rPr>
                <w:rFonts w:hint="default" w:eastAsia="等线"/>
                <w:b w:val="0"/>
                <w:bCs/>
                <w:caps w:val="0"/>
                <w:kern w:val="0"/>
                <w:sz w:val="20"/>
                <w:szCs w:val="20"/>
                <w:lang w:val="en-US" w:eastAsia="zh-CN"/>
              </w:rPr>
            </w:pPr>
            <w:r>
              <w:rPr>
                <w:rFonts w:hint="eastAsia" w:ascii="等线" w:hAnsi="等线" w:eastAsia="等线" w:cs="Times New Roman"/>
                <w:b/>
                <w:bCs/>
                <w:caps/>
                <w:kern w:val="0"/>
                <w:sz w:val="20"/>
                <w:szCs w:val="20"/>
                <w:lang w:val="en-US" w:eastAsia="zh-CN" w:bidi="ar"/>
              </w:rPr>
              <w:t>2017</w:t>
            </w:r>
          </w:p>
        </w:tc>
        <w:tc>
          <w:tcPr>
            <w:tcW w:w="3334" w:type="dxa"/>
            <w:tcBorders>
              <w:top w:val="single" w:color="auto" w:sz="6" w:space="0"/>
              <w:left w:val="nil"/>
              <w:bottom w:val="nil"/>
              <w:right w:val="nil"/>
            </w:tcBorders>
            <w:noWrap w:val="0"/>
            <w:vAlign w:val="center"/>
          </w:tcPr>
          <w:p w14:paraId="31F8F2DF">
            <w:pPr>
              <w:jc w:val="center"/>
              <w:rPr>
                <w:rFonts w:hint="default" w:eastAsia="等线"/>
                <w:kern w:val="0"/>
                <w:sz w:val="20"/>
                <w:szCs w:val="20"/>
                <w:lang w:val="en-US" w:eastAsia="zh-CN"/>
              </w:rPr>
            </w:pPr>
            <w:r>
              <w:rPr>
                <w:rFonts w:hint="eastAsia"/>
                <w:kern w:val="0"/>
                <w:sz w:val="20"/>
                <w:szCs w:val="20"/>
                <w:lang w:val="en-US" w:eastAsia="zh-CN"/>
              </w:rPr>
              <w:t>2654.02</w:t>
            </w:r>
          </w:p>
        </w:tc>
        <w:tc>
          <w:tcPr>
            <w:tcW w:w="2805" w:type="dxa"/>
            <w:tcBorders>
              <w:top w:val="single" w:color="auto" w:sz="6" w:space="0"/>
              <w:left w:val="nil"/>
              <w:bottom w:val="nil"/>
              <w:right w:val="nil"/>
            </w:tcBorders>
            <w:noWrap w:val="0"/>
            <w:vAlign w:val="center"/>
          </w:tcPr>
          <w:p w14:paraId="392F4361">
            <w:pPr>
              <w:jc w:val="center"/>
              <w:rPr>
                <w:rFonts w:hint="default" w:eastAsia="等线"/>
                <w:kern w:val="0"/>
                <w:sz w:val="20"/>
                <w:szCs w:val="20"/>
                <w:lang w:val="en-US" w:eastAsia="zh-CN"/>
              </w:rPr>
            </w:pPr>
            <w:r>
              <w:rPr>
                <w:rFonts w:hint="eastAsia"/>
                <w:kern w:val="0"/>
                <w:sz w:val="20"/>
                <w:szCs w:val="20"/>
                <w:lang w:val="en-US" w:eastAsia="zh-CN"/>
              </w:rPr>
              <w:t>2173.42</w:t>
            </w:r>
          </w:p>
        </w:tc>
      </w:tr>
      <w:tr w14:paraId="3A2E5B17">
        <w:tblPrEx>
          <w:tblCellMar>
            <w:top w:w="0" w:type="dxa"/>
            <w:left w:w="108" w:type="dxa"/>
            <w:bottom w:w="0" w:type="dxa"/>
            <w:right w:w="108" w:type="dxa"/>
          </w:tblCellMar>
        </w:tblPrEx>
        <w:tc>
          <w:tcPr>
            <w:tcW w:w="3011" w:type="dxa"/>
            <w:tcBorders>
              <w:top w:val="nil"/>
              <w:left w:val="nil"/>
              <w:bottom w:val="nil"/>
              <w:right w:val="single" w:color="7F7F7F" w:sz="4" w:space="0"/>
            </w:tcBorders>
            <w:noWrap w:val="0"/>
            <w:vAlign w:val="center"/>
          </w:tcPr>
          <w:p w14:paraId="40A12E64">
            <w:pPr>
              <w:jc w:val="center"/>
              <w:rPr>
                <w:rFonts w:hint="default"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2018</w:t>
            </w:r>
          </w:p>
        </w:tc>
        <w:tc>
          <w:tcPr>
            <w:tcW w:w="3334" w:type="dxa"/>
            <w:tcBorders>
              <w:top w:val="nil"/>
              <w:left w:val="nil"/>
              <w:bottom w:val="nil"/>
              <w:right w:val="nil"/>
            </w:tcBorders>
            <w:noWrap w:val="0"/>
            <w:vAlign w:val="center"/>
          </w:tcPr>
          <w:p w14:paraId="237100D8">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2381.39</w:t>
            </w:r>
          </w:p>
        </w:tc>
        <w:tc>
          <w:tcPr>
            <w:tcW w:w="2805" w:type="dxa"/>
            <w:tcBorders>
              <w:top w:val="nil"/>
              <w:left w:val="nil"/>
              <w:bottom w:val="nil"/>
              <w:right w:val="nil"/>
            </w:tcBorders>
            <w:noWrap w:val="0"/>
            <w:vAlign w:val="center"/>
          </w:tcPr>
          <w:p w14:paraId="3F23DAA1">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1861.99</w:t>
            </w:r>
          </w:p>
        </w:tc>
      </w:tr>
      <w:tr w14:paraId="2A371DBC">
        <w:tblPrEx>
          <w:tblCellMar>
            <w:top w:w="0" w:type="dxa"/>
            <w:left w:w="108" w:type="dxa"/>
            <w:bottom w:w="0" w:type="dxa"/>
            <w:right w:w="108" w:type="dxa"/>
          </w:tblCellMar>
        </w:tblPrEx>
        <w:tc>
          <w:tcPr>
            <w:tcW w:w="3011" w:type="dxa"/>
            <w:tcBorders>
              <w:top w:val="nil"/>
              <w:left w:val="nil"/>
              <w:bottom w:val="single" w:color="auto" w:sz="12" w:space="0"/>
              <w:right w:val="single" w:color="7F7F7F" w:sz="4" w:space="0"/>
            </w:tcBorders>
            <w:noWrap w:val="0"/>
            <w:vAlign w:val="center"/>
          </w:tcPr>
          <w:p w14:paraId="0FD5DA00">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增幅</w:t>
            </w:r>
          </w:p>
        </w:tc>
        <w:tc>
          <w:tcPr>
            <w:tcW w:w="3334" w:type="dxa"/>
            <w:tcBorders>
              <w:top w:val="nil"/>
              <w:left w:val="nil"/>
              <w:bottom w:val="single" w:color="auto" w:sz="12" w:space="0"/>
              <w:right w:val="nil"/>
            </w:tcBorders>
            <w:noWrap w:val="0"/>
            <w:vAlign w:val="center"/>
          </w:tcPr>
          <w:p w14:paraId="4B14512F">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-272.63</w:t>
            </w:r>
          </w:p>
        </w:tc>
        <w:tc>
          <w:tcPr>
            <w:tcW w:w="2805" w:type="dxa"/>
            <w:tcBorders>
              <w:top w:val="nil"/>
              <w:left w:val="nil"/>
              <w:bottom w:val="single" w:color="auto" w:sz="12" w:space="0"/>
              <w:right w:val="nil"/>
            </w:tcBorders>
            <w:noWrap w:val="0"/>
            <w:vAlign w:val="center"/>
          </w:tcPr>
          <w:p w14:paraId="50701E3B">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-311.43</w:t>
            </w:r>
          </w:p>
        </w:tc>
      </w:tr>
    </w:tbl>
    <w:p w14:paraId="6275BFF0">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r>
        <w:rPr>
          <w:rFonts w:hint="eastAsia" w:ascii="仿宋" w:hAnsi="仿宋" w:eastAsia="仿宋" w:cs="仿宋"/>
          <w:b/>
          <w:i w:val="0"/>
          <w:caps w:val="0"/>
          <w:color w:val="333333"/>
          <w:spacing w:val="0"/>
          <w:sz w:val="32"/>
          <w:szCs w:val="32"/>
          <w:shd w:val="clear" w:color="auto" w:fill="FFFFFF"/>
          <w:lang w:val="en-US" w:eastAsia="zh-CN"/>
        </w:rPr>
        <w:t>2018年度财政拨款收入支出年初预算数与决算数总体对比表</w:t>
      </w:r>
    </w:p>
    <w:tbl>
      <w:tblPr>
        <w:tblStyle w:val="16"/>
        <w:tblW w:w="9150" w:type="dxa"/>
        <w:tblInd w:w="0" w:type="dxa"/>
        <w:tblLayout w:type="fixed"/>
        <w:tblCellMar>
          <w:top w:w="0" w:type="dxa"/>
          <w:left w:w="108" w:type="dxa"/>
          <w:bottom w:w="0" w:type="dxa"/>
          <w:right w:w="108" w:type="dxa"/>
        </w:tblCellMar>
      </w:tblPr>
      <w:tblGrid>
        <w:gridCol w:w="2495"/>
        <w:gridCol w:w="2365"/>
        <w:gridCol w:w="2115"/>
        <w:gridCol w:w="2175"/>
      </w:tblGrid>
      <w:tr w14:paraId="3F8AA019">
        <w:tblPrEx>
          <w:tblCellMar>
            <w:top w:w="0" w:type="dxa"/>
            <w:left w:w="108" w:type="dxa"/>
            <w:bottom w:w="0" w:type="dxa"/>
            <w:right w:w="108" w:type="dxa"/>
          </w:tblCellMar>
        </w:tblPrEx>
        <w:trPr>
          <w:trHeight w:val="370" w:hRule="atLeast"/>
        </w:trPr>
        <w:tc>
          <w:tcPr>
            <w:tcW w:w="2495" w:type="dxa"/>
            <w:tcBorders>
              <w:top w:val="single" w:color="auto" w:sz="12" w:space="0"/>
              <w:left w:val="nil"/>
              <w:bottom w:val="single" w:color="auto" w:sz="6" w:space="0"/>
              <w:right w:val="single" w:color="7F7F7F" w:sz="4" w:space="0"/>
            </w:tcBorders>
            <w:noWrap w:val="0"/>
            <w:vAlign w:val="center"/>
          </w:tcPr>
          <w:p w14:paraId="69EF481E">
            <w:pPr>
              <w:jc w:val="center"/>
              <w:rPr>
                <w:rFonts w:hint="eastAsia" w:eastAsia="等线"/>
                <w:b/>
                <w:bCs/>
                <w:caps/>
                <w:kern w:val="0"/>
                <w:sz w:val="20"/>
                <w:szCs w:val="20"/>
                <w:lang w:eastAsia="zh-CN"/>
              </w:rPr>
            </w:pPr>
            <w:r>
              <w:rPr>
                <w:rFonts w:hint="eastAsia" w:eastAsia="等线"/>
                <w:b/>
                <w:bCs/>
                <w:caps/>
                <w:kern w:val="0"/>
                <w:sz w:val="20"/>
                <w:szCs w:val="20"/>
                <w:lang w:eastAsia="zh-CN"/>
              </w:rPr>
              <w:t>预决算</w:t>
            </w:r>
          </w:p>
        </w:tc>
        <w:tc>
          <w:tcPr>
            <w:tcW w:w="2365" w:type="dxa"/>
            <w:tcBorders>
              <w:top w:val="single" w:color="auto" w:sz="12" w:space="0"/>
              <w:left w:val="nil"/>
              <w:bottom w:val="single" w:color="auto" w:sz="6" w:space="0"/>
              <w:right w:val="nil"/>
            </w:tcBorders>
            <w:noWrap w:val="0"/>
            <w:vAlign w:val="center"/>
          </w:tcPr>
          <w:p w14:paraId="7486E706">
            <w:pPr>
              <w:jc w:val="center"/>
              <w:rPr>
                <w:rFonts w:hint="eastAsia" w:eastAsia="等线"/>
                <w:b/>
                <w:caps/>
                <w:kern w:val="0"/>
                <w:sz w:val="20"/>
                <w:szCs w:val="20"/>
                <w:lang w:eastAsia="zh-CN"/>
              </w:rPr>
            </w:pPr>
            <w:r>
              <w:rPr>
                <w:rFonts w:hint="eastAsia"/>
                <w:b/>
                <w:caps/>
                <w:kern w:val="0"/>
                <w:sz w:val="20"/>
                <w:szCs w:val="20"/>
                <w:lang w:eastAsia="zh-CN"/>
              </w:rPr>
              <w:t>收</w:t>
            </w:r>
            <w:r>
              <w:rPr>
                <w:rFonts w:hint="eastAsia"/>
                <w:b/>
                <w:caps/>
                <w:kern w:val="0"/>
                <w:sz w:val="20"/>
                <w:szCs w:val="20"/>
                <w:lang w:val="en-US" w:eastAsia="zh-CN"/>
              </w:rPr>
              <w:t xml:space="preserve">  </w:t>
            </w:r>
            <w:r>
              <w:rPr>
                <w:rFonts w:hint="eastAsia"/>
                <w:b/>
                <w:caps/>
                <w:kern w:val="0"/>
                <w:sz w:val="20"/>
                <w:szCs w:val="20"/>
                <w:lang w:eastAsia="zh-CN"/>
              </w:rPr>
              <w:t>入</w:t>
            </w:r>
          </w:p>
        </w:tc>
        <w:tc>
          <w:tcPr>
            <w:tcW w:w="2115" w:type="dxa"/>
            <w:tcBorders>
              <w:top w:val="single" w:color="auto" w:sz="12" w:space="0"/>
              <w:left w:val="nil"/>
              <w:bottom w:val="single" w:color="auto" w:sz="6" w:space="0"/>
              <w:right w:val="nil"/>
            </w:tcBorders>
            <w:noWrap w:val="0"/>
            <w:vAlign w:val="center"/>
          </w:tcPr>
          <w:p w14:paraId="3A799DF6">
            <w:pPr>
              <w:jc w:val="center"/>
              <w:rPr>
                <w:rFonts w:hint="eastAsia" w:eastAsia="等线"/>
                <w:b/>
                <w:caps/>
                <w:kern w:val="0"/>
                <w:sz w:val="20"/>
                <w:szCs w:val="20"/>
                <w:lang w:eastAsia="zh-CN"/>
              </w:rPr>
            </w:pPr>
            <w:r>
              <w:rPr>
                <w:rFonts w:hint="eastAsia"/>
                <w:b/>
                <w:caps/>
                <w:kern w:val="0"/>
                <w:sz w:val="20"/>
                <w:szCs w:val="20"/>
                <w:lang w:eastAsia="zh-CN"/>
              </w:rPr>
              <w:t>支</w:t>
            </w:r>
            <w:r>
              <w:rPr>
                <w:rFonts w:hint="eastAsia"/>
                <w:b/>
                <w:caps/>
                <w:kern w:val="0"/>
                <w:sz w:val="20"/>
                <w:szCs w:val="20"/>
                <w:lang w:val="en-US" w:eastAsia="zh-CN"/>
              </w:rPr>
              <w:t xml:space="preserve">  </w:t>
            </w:r>
            <w:r>
              <w:rPr>
                <w:rFonts w:hint="eastAsia"/>
                <w:b/>
                <w:caps/>
                <w:kern w:val="0"/>
                <w:sz w:val="20"/>
                <w:szCs w:val="20"/>
                <w:lang w:eastAsia="zh-CN"/>
              </w:rPr>
              <w:t>出</w:t>
            </w:r>
          </w:p>
        </w:tc>
        <w:tc>
          <w:tcPr>
            <w:tcW w:w="2175" w:type="dxa"/>
            <w:tcBorders>
              <w:top w:val="single" w:color="auto" w:sz="12" w:space="0"/>
              <w:left w:val="nil"/>
              <w:bottom w:val="single" w:color="auto" w:sz="6" w:space="0"/>
              <w:right w:val="nil"/>
            </w:tcBorders>
            <w:noWrap w:val="0"/>
            <w:vAlign w:val="center"/>
          </w:tcPr>
          <w:p w14:paraId="152BF1B0">
            <w:pPr>
              <w:jc w:val="center"/>
              <w:rPr>
                <w:rFonts w:hint="eastAsia"/>
                <w:b/>
                <w:caps/>
                <w:kern w:val="0"/>
                <w:sz w:val="20"/>
                <w:szCs w:val="20"/>
                <w:lang w:eastAsia="zh-CN"/>
              </w:rPr>
            </w:pPr>
            <w:r>
              <w:rPr>
                <w:rFonts w:hint="eastAsia"/>
                <w:b/>
                <w:caps/>
                <w:kern w:val="0"/>
                <w:sz w:val="20"/>
                <w:szCs w:val="20"/>
                <w:lang w:eastAsia="zh-CN"/>
              </w:rPr>
              <w:t>上年（本年）结转结余</w:t>
            </w:r>
          </w:p>
        </w:tc>
      </w:tr>
      <w:tr w14:paraId="64ADCFB5">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14:paraId="619933A6">
            <w:pPr>
              <w:jc w:val="center"/>
              <w:rPr>
                <w:rFonts w:hint="default"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年初预算数</w:t>
            </w:r>
          </w:p>
        </w:tc>
        <w:tc>
          <w:tcPr>
            <w:tcW w:w="2365" w:type="dxa"/>
            <w:tcBorders>
              <w:top w:val="nil"/>
              <w:left w:val="nil"/>
              <w:bottom w:val="nil"/>
              <w:right w:val="nil"/>
            </w:tcBorders>
            <w:noWrap w:val="0"/>
            <w:vAlign w:val="center"/>
          </w:tcPr>
          <w:p w14:paraId="3461FE13">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965.10</w:t>
            </w:r>
          </w:p>
        </w:tc>
        <w:tc>
          <w:tcPr>
            <w:tcW w:w="2115" w:type="dxa"/>
            <w:tcBorders>
              <w:top w:val="nil"/>
              <w:left w:val="nil"/>
              <w:bottom w:val="nil"/>
              <w:right w:val="nil"/>
            </w:tcBorders>
            <w:noWrap w:val="0"/>
            <w:vAlign w:val="center"/>
          </w:tcPr>
          <w:p w14:paraId="4EFF6EB7">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1445.70</w:t>
            </w:r>
          </w:p>
        </w:tc>
        <w:tc>
          <w:tcPr>
            <w:tcW w:w="2175" w:type="dxa"/>
            <w:tcBorders>
              <w:top w:val="nil"/>
              <w:left w:val="nil"/>
              <w:bottom w:val="nil"/>
              <w:right w:val="nil"/>
            </w:tcBorders>
            <w:noWrap w:val="0"/>
            <w:vAlign w:val="center"/>
          </w:tcPr>
          <w:p w14:paraId="474234EB">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480.6</w:t>
            </w:r>
          </w:p>
        </w:tc>
      </w:tr>
      <w:tr w14:paraId="346F5843">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14:paraId="65251F30">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调整预算数</w:t>
            </w:r>
          </w:p>
        </w:tc>
        <w:tc>
          <w:tcPr>
            <w:tcW w:w="2365" w:type="dxa"/>
            <w:tcBorders>
              <w:top w:val="nil"/>
              <w:left w:val="nil"/>
              <w:bottom w:val="nil"/>
              <w:right w:val="nil"/>
            </w:tcBorders>
            <w:noWrap w:val="0"/>
            <w:vAlign w:val="center"/>
          </w:tcPr>
          <w:p w14:paraId="421D8D84">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2381.39</w:t>
            </w:r>
          </w:p>
        </w:tc>
        <w:tc>
          <w:tcPr>
            <w:tcW w:w="2115" w:type="dxa"/>
            <w:tcBorders>
              <w:top w:val="nil"/>
              <w:left w:val="nil"/>
              <w:bottom w:val="nil"/>
              <w:right w:val="nil"/>
            </w:tcBorders>
            <w:noWrap w:val="0"/>
            <w:vAlign w:val="center"/>
          </w:tcPr>
          <w:p w14:paraId="0B41E372">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2861.99</w:t>
            </w:r>
          </w:p>
        </w:tc>
        <w:tc>
          <w:tcPr>
            <w:tcW w:w="2175" w:type="dxa"/>
            <w:tcBorders>
              <w:top w:val="nil"/>
              <w:left w:val="nil"/>
              <w:bottom w:val="nil"/>
              <w:right w:val="nil"/>
            </w:tcBorders>
            <w:noWrap w:val="0"/>
            <w:vAlign w:val="center"/>
          </w:tcPr>
          <w:p w14:paraId="37571FB5">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480.6</w:t>
            </w:r>
          </w:p>
        </w:tc>
      </w:tr>
      <w:tr w14:paraId="61DDA517">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14:paraId="12033313">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决算数</w:t>
            </w:r>
          </w:p>
        </w:tc>
        <w:tc>
          <w:tcPr>
            <w:tcW w:w="2365" w:type="dxa"/>
            <w:tcBorders>
              <w:top w:val="nil"/>
              <w:left w:val="nil"/>
              <w:bottom w:val="nil"/>
              <w:right w:val="nil"/>
            </w:tcBorders>
            <w:noWrap w:val="0"/>
            <w:vAlign w:val="center"/>
          </w:tcPr>
          <w:p w14:paraId="3EB551A7">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2381.39</w:t>
            </w:r>
          </w:p>
        </w:tc>
        <w:tc>
          <w:tcPr>
            <w:tcW w:w="2115" w:type="dxa"/>
            <w:tcBorders>
              <w:top w:val="nil"/>
              <w:left w:val="nil"/>
              <w:bottom w:val="nil"/>
              <w:right w:val="nil"/>
            </w:tcBorders>
            <w:noWrap w:val="0"/>
            <w:vAlign w:val="center"/>
          </w:tcPr>
          <w:p w14:paraId="73E18D08">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1861.99</w:t>
            </w:r>
          </w:p>
        </w:tc>
        <w:tc>
          <w:tcPr>
            <w:tcW w:w="2175" w:type="dxa"/>
            <w:tcBorders>
              <w:top w:val="nil"/>
              <w:left w:val="nil"/>
              <w:bottom w:val="nil"/>
              <w:right w:val="nil"/>
            </w:tcBorders>
            <w:noWrap w:val="0"/>
            <w:vAlign w:val="center"/>
          </w:tcPr>
          <w:p w14:paraId="4E6F7F8A">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1000</w:t>
            </w:r>
          </w:p>
        </w:tc>
      </w:tr>
      <w:tr w14:paraId="78709399">
        <w:tblPrEx>
          <w:tblCellMar>
            <w:top w:w="0" w:type="dxa"/>
            <w:left w:w="108" w:type="dxa"/>
            <w:bottom w:w="0" w:type="dxa"/>
            <w:right w:w="108" w:type="dxa"/>
          </w:tblCellMar>
        </w:tblPrEx>
        <w:trPr>
          <w:trHeight w:val="370" w:hRule="atLeast"/>
        </w:trPr>
        <w:tc>
          <w:tcPr>
            <w:tcW w:w="2495" w:type="dxa"/>
            <w:tcBorders>
              <w:top w:val="nil"/>
              <w:left w:val="nil"/>
              <w:bottom w:val="single" w:color="auto" w:sz="12" w:space="0"/>
              <w:right w:val="single" w:color="7F7F7F" w:sz="4" w:space="0"/>
            </w:tcBorders>
            <w:noWrap w:val="0"/>
            <w:vAlign w:val="center"/>
          </w:tcPr>
          <w:p w14:paraId="149BFD59">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完成比率</w:t>
            </w:r>
          </w:p>
        </w:tc>
        <w:tc>
          <w:tcPr>
            <w:tcW w:w="2365" w:type="dxa"/>
            <w:tcBorders>
              <w:top w:val="nil"/>
              <w:left w:val="nil"/>
              <w:bottom w:val="single" w:color="auto" w:sz="12" w:space="0"/>
              <w:right w:val="nil"/>
            </w:tcBorders>
            <w:noWrap w:val="0"/>
            <w:vAlign w:val="center"/>
          </w:tcPr>
          <w:p w14:paraId="2E949920">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100%</w:t>
            </w:r>
          </w:p>
        </w:tc>
        <w:tc>
          <w:tcPr>
            <w:tcW w:w="2115" w:type="dxa"/>
            <w:tcBorders>
              <w:top w:val="nil"/>
              <w:left w:val="nil"/>
              <w:bottom w:val="single" w:color="auto" w:sz="12" w:space="0"/>
              <w:right w:val="nil"/>
            </w:tcBorders>
            <w:noWrap w:val="0"/>
            <w:vAlign w:val="center"/>
          </w:tcPr>
          <w:p w14:paraId="612AA29E">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65.06%</w:t>
            </w:r>
          </w:p>
        </w:tc>
        <w:tc>
          <w:tcPr>
            <w:tcW w:w="2175" w:type="dxa"/>
            <w:tcBorders>
              <w:top w:val="nil"/>
              <w:left w:val="nil"/>
              <w:bottom w:val="single" w:color="auto" w:sz="12" w:space="0"/>
              <w:right w:val="nil"/>
            </w:tcBorders>
            <w:noWrap w:val="0"/>
            <w:vAlign w:val="center"/>
          </w:tcPr>
          <w:p w14:paraId="00380101">
            <w:pPr>
              <w:jc w:val="center"/>
              <w:rPr>
                <w:rFonts w:hint="eastAsia" w:ascii="等线" w:hAnsi="等线" w:eastAsia="等线" w:cs="Times New Roman"/>
                <w:kern w:val="0"/>
                <w:sz w:val="20"/>
                <w:szCs w:val="20"/>
                <w:lang w:val="en-US" w:eastAsia="zh-CN" w:bidi="ar"/>
              </w:rPr>
            </w:pPr>
          </w:p>
        </w:tc>
      </w:tr>
    </w:tbl>
    <w:p w14:paraId="4AF2A19E">
      <w:pPr>
        <w:pStyle w:val="7"/>
        <w:spacing w:before="0" w:beforeAutospacing="0" w:after="0" w:afterAutospacing="0" w:line="540" w:lineRule="exact"/>
        <w:ind w:firstLine="640" w:firstLineChars="200"/>
        <w:rPr>
          <w:rFonts w:hint="eastAsia" w:ascii="仿宋" w:hAnsi="仿宋" w:eastAsia="仿宋" w:cs="华文仿宋"/>
          <w:sz w:val="32"/>
          <w:szCs w:val="32"/>
        </w:rPr>
      </w:pPr>
    </w:p>
    <w:p w14:paraId="5E41388F">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2.一般公共预算财政拨款支出情况（按政府功能分类科目细化到项级科目并说明支出具体内容）</w:t>
      </w:r>
    </w:p>
    <w:p w14:paraId="2B49F000">
      <w:pPr>
        <w:pStyle w:val="7"/>
        <w:spacing w:before="0" w:beforeAutospacing="0" w:after="0" w:afterAutospacing="0" w:line="540" w:lineRule="exact"/>
        <w:ind w:left="315" w:leftChars="150"/>
        <w:rPr>
          <w:rFonts w:ascii="仿宋" w:hAnsi="仿宋" w:eastAsia="仿宋" w:cs="华文仿宋"/>
          <w:sz w:val="32"/>
          <w:szCs w:val="32"/>
        </w:rPr>
      </w:pPr>
      <w:r>
        <w:rPr>
          <w:rFonts w:hint="eastAsia" w:ascii="仿宋" w:hAnsi="仿宋" w:eastAsia="仿宋" w:cs="华文仿宋"/>
          <w:sz w:val="32"/>
          <w:szCs w:val="32"/>
        </w:rPr>
        <w:t>2018年度一般公共预算财政拨款支出1861.99万元，按支出功能科目分，包括:</w:t>
      </w:r>
    </w:p>
    <w:p w14:paraId="6633527C">
      <w:pPr>
        <w:pStyle w:val="7"/>
        <w:shd w:val="clear" w:color="auto" w:fill="FFFFFF"/>
        <w:spacing w:before="0" w:beforeAutospacing="0" w:after="0" w:afterAutospacing="0" w:line="540" w:lineRule="exact"/>
        <w:ind w:firstLine="640"/>
        <w:rPr>
          <w:rFonts w:ascii="仿宋" w:hAnsi="仿宋" w:eastAsia="仿宋" w:cs="华文仿宋"/>
          <w:sz w:val="32"/>
          <w:szCs w:val="32"/>
        </w:rPr>
      </w:pPr>
      <w:r>
        <w:rPr>
          <w:rFonts w:hint="eastAsia" w:ascii="仿宋" w:hAnsi="仿宋" w:eastAsia="仿宋" w:cs="华文仿宋"/>
          <w:sz w:val="32"/>
          <w:szCs w:val="32"/>
        </w:rPr>
        <w:t>（</w:t>
      </w:r>
      <w:r>
        <w:rPr>
          <w:rFonts w:ascii="仿宋" w:hAnsi="仿宋" w:eastAsia="仿宋" w:cs="华文仿宋"/>
          <w:sz w:val="32"/>
          <w:szCs w:val="32"/>
        </w:rPr>
        <w:t>1</w:t>
      </w:r>
      <w:r>
        <w:rPr>
          <w:rFonts w:hint="eastAsia" w:ascii="仿宋" w:hAnsi="仿宋" w:eastAsia="仿宋" w:cs="华文仿宋"/>
          <w:sz w:val="32"/>
          <w:szCs w:val="32"/>
        </w:rPr>
        <w:t>）一般公共服</w:t>
      </w:r>
      <w:r>
        <w:rPr>
          <w:rFonts w:hint="eastAsia" w:ascii="仿宋" w:hAnsi="仿宋" w:eastAsia="仿宋"/>
          <w:sz w:val="32"/>
          <w:szCs w:val="32"/>
        </w:rPr>
        <w:t>务</w:t>
      </w:r>
      <w:r>
        <w:rPr>
          <w:rFonts w:hint="eastAsia" w:ascii="仿宋" w:hAnsi="仿宋" w:eastAsia="仿宋" w:cs="Batang"/>
          <w:sz w:val="32"/>
          <w:szCs w:val="32"/>
        </w:rPr>
        <w:t>支出</w:t>
      </w:r>
      <w:r>
        <w:rPr>
          <w:rFonts w:hint="eastAsia" w:ascii="仿宋" w:hAnsi="仿宋" w:eastAsia="仿宋" w:cs="华文仿宋"/>
          <w:sz w:val="32"/>
          <w:szCs w:val="32"/>
        </w:rPr>
        <w:t>634.09万元。其中：人</w:t>
      </w:r>
      <w:r>
        <w:rPr>
          <w:rFonts w:hint="eastAsia" w:ascii="仿宋" w:hAnsi="仿宋" w:eastAsia="仿宋"/>
          <w:sz w:val="32"/>
          <w:szCs w:val="32"/>
        </w:rPr>
        <w:t>员经费</w:t>
      </w:r>
      <w:r>
        <w:rPr>
          <w:rFonts w:hint="eastAsia" w:ascii="仿宋" w:hAnsi="仿宋" w:eastAsia="仿宋" w:cs="华文仿宋"/>
          <w:sz w:val="32"/>
          <w:szCs w:val="32"/>
        </w:rPr>
        <w:t>365.78万元，公用</w:t>
      </w:r>
      <w:r>
        <w:rPr>
          <w:rFonts w:hint="eastAsia" w:ascii="仿宋" w:hAnsi="仿宋" w:eastAsia="仿宋"/>
          <w:sz w:val="32"/>
          <w:szCs w:val="32"/>
        </w:rPr>
        <w:t>经费</w:t>
      </w:r>
      <w:r>
        <w:rPr>
          <w:rFonts w:hint="eastAsia" w:ascii="仿宋" w:hAnsi="仿宋" w:eastAsia="仿宋" w:cs="华文仿宋"/>
          <w:sz w:val="32"/>
          <w:szCs w:val="32"/>
        </w:rPr>
        <w:t>94.75万元，</w:t>
      </w:r>
      <w:r>
        <w:rPr>
          <w:rFonts w:hint="eastAsia" w:ascii="仿宋" w:hAnsi="仿宋" w:eastAsia="仿宋"/>
          <w:sz w:val="32"/>
          <w:szCs w:val="32"/>
        </w:rPr>
        <w:t>项</w:t>
      </w:r>
      <w:r>
        <w:rPr>
          <w:rFonts w:hint="eastAsia" w:ascii="仿宋" w:hAnsi="仿宋" w:eastAsia="仿宋" w:cs="Batang"/>
          <w:sz w:val="32"/>
          <w:szCs w:val="32"/>
        </w:rPr>
        <w:t>目支出</w:t>
      </w:r>
      <w:r>
        <w:rPr>
          <w:rFonts w:hint="eastAsia" w:ascii="仿宋" w:hAnsi="仿宋" w:eastAsia="仿宋" w:cs="华文仿宋"/>
          <w:sz w:val="32"/>
          <w:szCs w:val="32"/>
        </w:rPr>
        <w:t>173.56万元。</w:t>
      </w:r>
    </w:p>
    <w:p w14:paraId="5344943B">
      <w:pPr>
        <w:pStyle w:val="7"/>
        <w:shd w:val="clear" w:color="auto" w:fill="FFFFFF"/>
        <w:spacing w:before="0" w:beforeAutospacing="0" w:after="0" w:afterAutospacing="0" w:line="540" w:lineRule="exact"/>
        <w:ind w:firstLine="585"/>
        <w:rPr>
          <w:rFonts w:ascii="仿宋" w:hAnsi="仿宋" w:eastAsia="仿宋" w:cs="华文仿宋"/>
          <w:sz w:val="32"/>
          <w:szCs w:val="32"/>
        </w:rPr>
      </w:pPr>
      <w:r>
        <w:rPr>
          <w:rFonts w:hint="eastAsia" w:ascii="仿宋" w:hAnsi="仿宋" w:eastAsia="仿宋" w:cs="华文仿宋"/>
          <w:sz w:val="32"/>
          <w:szCs w:val="32"/>
        </w:rPr>
        <w:t>（</w:t>
      </w:r>
      <w:r>
        <w:rPr>
          <w:rFonts w:ascii="仿宋" w:hAnsi="仿宋" w:eastAsia="仿宋" w:cs="华文仿宋"/>
          <w:sz w:val="32"/>
          <w:szCs w:val="32"/>
        </w:rPr>
        <w:t>2</w:t>
      </w:r>
      <w:r>
        <w:rPr>
          <w:rFonts w:hint="eastAsia" w:ascii="仿宋" w:hAnsi="仿宋" w:eastAsia="仿宋" w:cs="华文仿宋"/>
          <w:sz w:val="32"/>
          <w:szCs w:val="32"/>
        </w:rPr>
        <w:t>）文化体育</w:t>
      </w:r>
      <w:r>
        <w:rPr>
          <w:rFonts w:hint="eastAsia" w:ascii="仿宋" w:hAnsi="仿宋" w:eastAsia="仿宋"/>
          <w:sz w:val="32"/>
          <w:szCs w:val="32"/>
        </w:rPr>
        <w:t>与传</w:t>
      </w:r>
      <w:r>
        <w:rPr>
          <w:rFonts w:hint="eastAsia" w:ascii="仿宋" w:hAnsi="仿宋" w:eastAsia="仿宋" w:cs="Batang"/>
          <w:sz w:val="32"/>
          <w:szCs w:val="32"/>
        </w:rPr>
        <w:t>媒支出</w:t>
      </w:r>
      <w:r>
        <w:rPr>
          <w:rFonts w:hint="eastAsia" w:ascii="仿宋" w:hAnsi="仿宋" w:eastAsia="仿宋" w:cs="华文仿宋"/>
          <w:sz w:val="32"/>
          <w:szCs w:val="32"/>
        </w:rPr>
        <w:t>31.89万元，其中：人</w:t>
      </w:r>
      <w:r>
        <w:rPr>
          <w:rFonts w:hint="eastAsia" w:ascii="仿宋" w:hAnsi="仿宋" w:eastAsia="仿宋"/>
          <w:sz w:val="32"/>
          <w:szCs w:val="32"/>
        </w:rPr>
        <w:t>员经费</w:t>
      </w:r>
      <w:r>
        <w:rPr>
          <w:rFonts w:hint="eastAsia" w:ascii="仿宋" w:hAnsi="仿宋" w:eastAsia="仿宋" w:cs="华文仿宋"/>
          <w:sz w:val="32"/>
          <w:szCs w:val="32"/>
        </w:rPr>
        <w:t>29.79万元，公用</w:t>
      </w:r>
      <w:r>
        <w:rPr>
          <w:rFonts w:hint="eastAsia" w:ascii="仿宋" w:hAnsi="仿宋" w:eastAsia="仿宋"/>
          <w:sz w:val="32"/>
          <w:szCs w:val="32"/>
        </w:rPr>
        <w:t>经费</w:t>
      </w:r>
      <w:r>
        <w:rPr>
          <w:rFonts w:hint="eastAsia" w:ascii="仿宋" w:hAnsi="仿宋" w:eastAsia="仿宋" w:cs="华文仿宋"/>
          <w:sz w:val="32"/>
          <w:szCs w:val="32"/>
        </w:rPr>
        <w:t>2.1万元。</w:t>
      </w:r>
    </w:p>
    <w:p w14:paraId="11E52F23">
      <w:pPr>
        <w:pStyle w:val="7"/>
        <w:shd w:val="clear" w:color="auto" w:fill="FFFFFF"/>
        <w:spacing w:before="0" w:beforeAutospacing="0" w:after="0" w:afterAutospacing="0" w:line="540" w:lineRule="exact"/>
        <w:ind w:firstLine="585"/>
        <w:rPr>
          <w:rFonts w:ascii="仿宋" w:hAnsi="仿宋" w:eastAsia="仿宋" w:cs="华文仿宋"/>
          <w:sz w:val="32"/>
          <w:szCs w:val="32"/>
        </w:rPr>
      </w:pPr>
      <w:r>
        <w:rPr>
          <w:rFonts w:hint="eastAsia" w:ascii="仿宋" w:hAnsi="仿宋" w:eastAsia="仿宋" w:cs="华文仿宋"/>
          <w:sz w:val="32"/>
          <w:szCs w:val="32"/>
        </w:rPr>
        <w:t>（</w:t>
      </w:r>
      <w:r>
        <w:rPr>
          <w:rFonts w:ascii="仿宋" w:hAnsi="仿宋" w:eastAsia="仿宋" w:cs="华文仿宋"/>
          <w:sz w:val="32"/>
          <w:szCs w:val="32"/>
        </w:rPr>
        <w:t>3</w:t>
      </w:r>
      <w:r>
        <w:rPr>
          <w:rFonts w:hint="eastAsia" w:ascii="仿宋" w:hAnsi="仿宋" w:eastAsia="仿宋" w:cs="华文仿宋"/>
          <w:sz w:val="32"/>
          <w:szCs w:val="32"/>
        </w:rPr>
        <w:t>）社</w:t>
      </w:r>
      <w:r>
        <w:rPr>
          <w:rFonts w:hint="eastAsia" w:ascii="仿宋" w:hAnsi="仿宋" w:eastAsia="仿宋"/>
          <w:sz w:val="32"/>
          <w:szCs w:val="32"/>
        </w:rPr>
        <w:t>会</w:t>
      </w:r>
      <w:r>
        <w:rPr>
          <w:rFonts w:hint="eastAsia" w:ascii="仿宋" w:hAnsi="仿宋" w:eastAsia="仿宋" w:cs="华文仿宋"/>
          <w:sz w:val="32"/>
          <w:szCs w:val="32"/>
        </w:rPr>
        <w:t>保障和就</w:t>
      </w:r>
      <w:r>
        <w:rPr>
          <w:rFonts w:hint="eastAsia" w:ascii="仿宋" w:hAnsi="仿宋" w:eastAsia="仿宋"/>
          <w:sz w:val="32"/>
          <w:szCs w:val="32"/>
        </w:rPr>
        <w:t>业</w:t>
      </w:r>
      <w:r>
        <w:rPr>
          <w:rFonts w:hint="eastAsia" w:ascii="仿宋" w:hAnsi="仿宋" w:eastAsia="仿宋" w:cs="Batang"/>
          <w:sz w:val="32"/>
          <w:szCs w:val="32"/>
        </w:rPr>
        <w:t>支出</w:t>
      </w:r>
      <w:r>
        <w:rPr>
          <w:rFonts w:hint="eastAsia" w:ascii="仿宋" w:hAnsi="仿宋" w:eastAsia="仿宋" w:cs="华文仿宋"/>
          <w:sz w:val="32"/>
          <w:szCs w:val="32"/>
        </w:rPr>
        <w:t>84.85万元。其中：人</w:t>
      </w:r>
      <w:r>
        <w:rPr>
          <w:rFonts w:hint="eastAsia" w:ascii="仿宋" w:hAnsi="仿宋" w:eastAsia="仿宋"/>
          <w:sz w:val="32"/>
          <w:szCs w:val="32"/>
        </w:rPr>
        <w:t>员经费</w:t>
      </w:r>
      <w:r>
        <w:rPr>
          <w:rFonts w:hint="eastAsia" w:ascii="仿宋" w:hAnsi="仿宋" w:eastAsia="仿宋" w:cs="华文仿宋"/>
          <w:sz w:val="32"/>
          <w:szCs w:val="32"/>
        </w:rPr>
        <w:t>74.48万元，公用</w:t>
      </w:r>
      <w:r>
        <w:rPr>
          <w:rFonts w:hint="eastAsia" w:ascii="仿宋" w:hAnsi="仿宋" w:eastAsia="仿宋"/>
          <w:sz w:val="32"/>
          <w:szCs w:val="32"/>
        </w:rPr>
        <w:t>经费</w:t>
      </w:r>
      <w:r>
        <w:rPr>
          <w:rFonts w:hint="eastAsia" w:ascii="仿宋" w:hAnsi="仿宋" w:eastAsia="仿宋" w:cs="华文仿宋"/>
          <w:sz w:val="32"/>
          <w:szCs w:val="32"/>
        </w:rPr>
        <w:t>10.37万元。</w:t>
      </w:r>
    </w:p>
    <w:p w14:paraId="1EFE9C58">
      <w:pPr>
        <w:pStyle w:val="7"/>
        <w:shd w:val="clear" w:color="auto" w:fill="FFFFFF"/>
        <w:spacing w:before="0" w:beforeAutospacing="0" w:after="0" w:afterAutospacing="0" w:line="540" w:lineRule="exact"/>
        <w:ind w:firstLine="585"/>
        <w:rPr>
          <w:rFonts w:ascii="仿宋" w:hAnsi="仿宋" w:eastAsia="仿宋" w:cs="华文仿宋"/>
          <w:sz w:val="32"/>
          <w:szCs w:val="32"/>
        </w:rPr>
      </w:pPr>
      <w:r>
        <w:rPr>
          <w:rFonts w:hint="eastAsia" w:ascii="仿宋" w:hAnsi="仿宋" w:eastAsia="仿宋" w:cs="华文仿宋"/>
          <w:sz w:val="32"/>
          <w:szCs w:val="32"/>
        </w:rPr>
        <w:t>（</w:t>
      </w:r>
      <w:r>
        <w:rPr>
          <w:rFonts w:ascii="仿宋" w:hAnsi="仿宋" w:eastAsia="仿宋" w:cs="华文仿宋"/>
          <w:sz w:val="32"/>
          <w:szCs w:val="32"/>
        </w:rPr>
        <w:t>4</w:t>
      </w:r>
      <w:r>
        <w:rPr>
          <w:rFonts w:hint="eastAsia" w:ascii="仿宋" w:hAnsi="仿宋" w:eastAsia="仿宋" w:cs="华文仿宋"/>
          <w:sz w:val="32"/>
          <w:szCs w:val="32"/>
        </w:rPr>
        <w:t>）</w:t>
      </w:r>
      <w:r>
        <w:rPr>
          <w:rFonts w:hint="eastAsia" w:ascii="仿宋" w:hAnsi="仿宋" w:eastAsia="仿宋"/>
          <w:sz w:val="32"/>
          <w:szCs w:val="32"/>
        </w:rPr>
        <w:t>医疗卫</w:t>
      </w:r>
      <w:r>
        <w:rPr>
          <w:rFonts w:hint="eastAsia" w:ascii="仿宋" w:hAnsi="仿宋" w:eastAsia="仿宋" w:cs="Batang"/>
          <w:sz w:val="32"/>
          <w:szCs w:val="32"/>
        </w:rPr>
        <w:t>生</w:t>
      </w:r>
      <w:r>
        <w:rPr>
          <w:rFonts w:hint="eastAsia" w:ascii="仿宋" w:hAnsi="仿宋" w:eastAsia="仿宋"/>
          <w:sz w:val="32"/>
          <w:szCs w:val="32"/>
        </w:rPr>
        <w:t>与计划</w:t>
      </w:r>
      <w:r>
        <w:rPr>
          <w:rFonts w:hint="eastAsia" w:ascii="仿宋" w:hAnsi="仿宋" w:eastAsia="仿宋" w:cs="Batang"/>
          <w:sz w:val="32"/>
          <w:szCs w:val="32"/>
        </w:rPr>
        <w:t>生育支出</w:t>
      </w:r>
      <w:r>
        <w:rPr>
          <w:rFonts w:hint="eastAsia" w:ascii="仿宋" w:hAnsi="仿宋" w:eastAsia="仿宋" w:cs="华文仿宋"/>
          <w:sz w:val="32"/>
          <w:szCs w:val="32"/>
        </w:rPr>
        <w:t>47.84万元。其中：人</w:t>
      </w:r>
      <w:r>
        <w:rPr>
          <w:rFonts w:hint="eastAsia" w:ascii="仿宋" w:hAnsi="仿宋" w:eastAsia="仿宋"/>
          <w:sz w:val="32"/>
          <w:szCs w:val="32"/>
        </w:rPr>
        <w:t>员经费</w:t>
      </w:r>
      <w:r>
        <w:rPr>
          <w:rFonts w:ascii="仿宋" w:hAnsi="仿宋" w:eastAsia="仿宋" w:cs="华文仿宋"/>
          <w:sz w:val="32"/>
          <w:szCs w:val="32"/>
        </w:rPr>
        <w:t>44.</w:t>
      </w:r>
      <w:r>
        <w:rPr>
          <w:rFonts w:hint="eastAsia" w:ascii="仿宋" w:hAnsi="仿宋" w:eastAsia="仿宋" w:cs="华文仿宋"/>
          <w:sz w:val="32"/>
          <w:szCs w:val="32"/>
        </w:rPr>
        <w:t>68万元，公用</w:t>
      </w:r>
      <w:r>
        <w:rPr>
          <w:rFonts w:hint="eastAsia" w:ascii="仿宋" w:hAnsi="仿宋" w:eastAsia="仿宋"/>
          <w:sz w:val="32"/>
          <w:szCs w:val="32"/>
        </w:rPr>
        <w:t>经费</w:t>
      </w:r>
      <w:r>
        <w:rPr>
          <w:rFonts w:hint="eastAsia" w:ascii="仿宋" w:hAnsi="仿宋" w:eastAsia="仿宋" w:cs="华文仿宋"/>
          <w:sz w:val="32"/>
          <w:szCs w:val="32"/>
        </w:rPr>
        <w:t>3.16万元。</w:t>
      </w:r>
    </w:p>
    <w:p w14:paraId="5C8D89D1">
      <w:pPr>
        <w:pStyle w:val="7"/>
        <w:shd w:val="clear" w:color="auto" w:fill="FFFFFF"/>
        <w:spacing w:before="0" w:beforeAutospacing="0" w:after="0" w:afterAutospacing="0" w:line="540" w:lineRule="exact"/>
        <w:ind w:firstLine="585"/>
        <w:rPr>
          <w:rFonts w:ascii="仿宋" w:hAnsi="仿宋" w:eastAsia="仿宋" w:cs="华文仿宋"/>
          <w:sz w:val="32"/>
          <w:szCs w:val="32"/>
        </w:rPr>
      </w:pPr>
      <w:r>
        <w:rPr>
          <w:rFonts w:hint="eastAsia" w:ascii="仿宋" w:hAnsi="仿宋" w:eastAsia="仿宋" w:cs="华文仿宋"/>
          <w:sz w:val="32"/>
          <w:szCs w:val="32"/>
        </w:rPr>
        <w:t>（</w:t>
      </w:r>
      <w:r>
        <w:rPr>
          <w:rFonts w:ascii="仿宋" w:hAnsi="仿宋" w:eastAsia="仿宋" w:cs="华文仿宋"/>
          <w:sz w:val="32"/>
          <w:szCs w:val="32"/>
        </w:rPr>
        <w:t>5</w:t>
      </w:r>
      <w:r>
        <w:rPr>
          <w:rFonts w:hint="eastAsia" w:ascii="仿宋" w:hAnsi="仿宋" w:eastAsia="仿宋" w:cs="华文仿宋"/>
          <w:sz w:val="32"/>
          <w:szCs w:val="32"/>
        </w:rPr>
        <w:t>）城</w:t>
      </w:r>
      <w:r>
        <w:rPr>
          <w:rFonts w:hint="eastAsia" w:ascii="仿宋" w:hAnsi="仿宋" w:eastAsia="仿宋"/>
          <w:sz w:val="32"/>
          <w:szCs w:val="32"/>
        </w:rPr>
        <w:t>乡</w:t>
      </w:r>
      <w:r>
        <w:rPr>
          <w:rFonts w:hint="eastAsia" w:ascii="仿宋" w:hAnsi="仿宋" w:eastAsia="仿宋" w:cs="Batang"/>
          <w:sz w:val="32"/>
          <w:szCs w:val="32"/>
        </w:rPr>
        <w:t>社</w:t>
      </w:r>
      <w:r>
        <w:rPr>
          <w:rFonts w:hint="eastAsia" w:ascii="仿宋" w:hAnsi="仿宋" w:eastAsia="仿宋"/>
          <w:sz w:val="32"/>
          <w:szCs w:val="32"/>
        </w:rPr>
        <w:t>区</w:t>
      </w:r>
      <w:r>
        <w:rPr>
          <w:rFonts w:hint="eastAsia" w:ascii="仿宋" w:hAnsi="仿宋" w:eastAsia="仿宋" w:cs="Batang"/>
          <w:sz w:val="32"/>
          <w:szCs w:val="32"/>
        </w:rPr>
        <w:t>支出</w:t>
      </w:r>
      <w:r>
        <w:rPr>
          <w:rFonts w:hint="eastAsia" w:ascii="仿宋" w:hAnsi="仿宋" w:eastAsia="仿宋" w:cs="华文仿宋"/>
          <w:sz w:val="32"/>
          <w:szCs w:val="32"/>
        </w:rPr>
        <w:t>178.81万元。其中：人</w:t>
      </w:r>
      <w:r>
        <w:rPr>
          <w:rFonts w:hint="eastAsia" w:ascii="仿宋" w:hAnsi="仿宋" w:eastAsia="仿宋"/>
          <w:sz w:val="32"/>
          <w:szCs w:val="32"/>
        </w:rPr>
        <w:t>员经费</w:t>
      </w:r>
      <w:r>
        <w:rPr>
          <w:rFonts w:hint="eastAsia" w:ascii="仿宋" w:hAnsi="仿宋" w:eastAsia="仿宋" w:cs="华文仿宋"/>
          <w:sz w:val="32"/>
          <w:szCs w:val="32"/>
        </w:rPr>
        <w:t>29.79万元，公用</w:t>
      </w:r>
      <w:r>
        <w:rPr>
          <w:rFonts w:hint="eastAsia" w:ascii="仿宋" w:hAnsi="仿宋" w:eastAsia="仿宋"/>
          <w:sz w:val="32"/>
          <w:szCs w:val="32"/>
        </w:rPr>
        <w:t>经费</w:t>
      </w:r>
      <w:r>
        <w:rPr>
          <w:rFonts w:hint="eastAsia" w:ascii="仿宋" w:hAnsi="仿宋" w:eastAsia="仿宋" w:cs="华文仿宋"/>
          <w:sz w:val="32"/>
          <w:szCs w:val="32"/>
        </w:rPr>
        <w:t>52.13万元，项目支出96.89。</w:t>
      </w:r>
    </w:p>
    <w:p w14:paraId="06952B41">
      <w:pPr>
        <w:pStyle w:val="7"/>
        <w:shd w:val="clear" w:color="auto" w:fill="FFFFFF"/>
        <w:spacing w:before="0" w:beforeAutospacing="0" w:after="0" w:afterAutospacing="0" w:line="540" w:lineRule="exact"/>
        <w:ind w:firstLine="585"/>
        <w:rPr>
          <w:rFonts w:ascii="仿宋" w:hAnsi="仿宋" w:eastAsia="仿宋" w:cs="华文仿宋"/>
          <w:sz w:val="32"/>
          <w:szCs w:val="32"/>
        </w:rPr>
      </w:pPr>
      <w:r>
        <w:rPr>
          <w:rFonts w:hint="eastAsia" w:ascii="仿宋" w:hAnsi="仿宋" w:eastAsia="仿宋" w:cs="华文仿宋"/>
          <w:sz w:val="32"/>
          <w:szCs w:val="32"/>
        </w:rPr>
        <w:t>（</w:t>
      </w:r>
      <w:r>
        <w:rPr>
          <w:rFonts w:ascii="仿宋" w:hAnsi="仿宋" w:eastAsia="仿宋" w:cs="华文仿宋"/>
          <w:sz w:val="32"/>
          <w:szCs w:val="32"/>
        </w:rPr>
        <w:t>6</w:t>
      </w:r>
      <w:r>
        <w:rPr>
          <w:rFonts w:hint="eastAsia" w:ascii="仿宋" w:hAnsi="仿宋" w:eastAsia="仿宋" w:cs="华文仿宋"/>
          <w:sz w:val="32"/>
          <w:szCs w:val="32"/>
        </w:rPr>
        <w:t>）</w:t>
      </w:r>
      <w:r>
        <w:rPr>
          <w:rFonts w:hint="eastAsia" w:ascii="仿宋" w:hAnsi="仿宋" w:eastAsia="仿宋"/>
          <w:sz w:val="32"/>
          <w:szCs w:val="32"/>
        </w:rPr>
        <w:t>农</w:t>
      </w:r>
      <w:r>
        <w:rPr>
          <w:rFonts w:hint="eastAsia" w:ascii="仿宋" w:hAnsi="仿宋" w:eastAsia="仿宋" w:cs="Batang"/>
          <w:sz w:val="32"/>
          <w:szCs w:val="32"/>
        </w:rPr>
        <w:t>林水支出</w:t>
      </w:r>
      <w:r>
        <w:rPr>
          <w:rFonts w:hint="eastAsia" w:ascii="仿宋" w:hAnsi="仿宋" w:eastAsia="仿宋" w:cs="华文仿宋"/>
          <w:sz w:val="32"/>
          <w:szCs w:val="32"/>
        </w:rPr>
        <w:t>884.51万元。其中：人</w:t>
      </w:r>
      <w:r>
        <w:rPr>
          <w:rFonts w:hint="eastAsia" w:ascii="仿宋" w:hAnsi="仿宋" w:eastAsia="仿宋"/>
          <w:sz w:val="32"/>
          <w:szCs w:val="32"/>
        </w:rPr>
        <w:t>员经费</w:t>
      </w:r>
      <w:r>
        <w:rPr>
          <w:rFonts w:ascii="仿宋" w:hAnsi="仿宋" w:eastAsia="仿宋" w:cs="华文仿宋"/>
          <w:sz w:val="32"/>
          <w:szCs w:val="32"/>
        </w:rPr>
        <w:t>22.55</w:t>
      </w:r>
      <w:r>
        <w:rPr>
          <w:rFonts w:hint="eastAsia" w:ascii="仿宋" w:hAnsi="仿宋" w:eastAsia="仿宋" w:cs="华文仿宋"/>
          <w:sz w:val="32"/>
          <w:szCs w:val="32"/>
        </w:rPr>
        <w:t>万元，公用</w:t>
      </w:r>
      <w:r>
        <w:rPr>
          <w:rFonts w:hint="eastAsia" w:ascii="仿宋" w:hAnsi="仿宋" w:eastAsia="仿宋"/>
          <w:sz w:val="32"/>
          <w:szCs w:val="32"/>
        </w:rPr>
        <w:t>经费</w:t>
      </w:r>
      <w:r>
        <w:rPr>
          <w:rFonts w:ascii="仿宋" w:hAnsi="仿宋" w:eastAsia="仿宋" w:cs="华文仿宋"/>
          <w:sz w:val="32"/>
          <w:szCs w:val="32"/>
        </w:rPr>
        <w:t>1.</w:t>
      </w:r>
      <w:r>
        <w:rPr>
          <w:rFonts w:hint="eastAsia" w:ascii="仿宋" w:hAnsi="仿宋" w:eastAsia="仿宋" w:cs="华文仿宋"/>
          <w:sz w:val="32"/>
          <w:szCs w:val="32"/>
        </w:rPr>
        <w:t>36万元，</w:t>
      </w:r>
      <w:r>
        <w:rPr>
          <w:rFonts w:hint="eastAsia" w:ascii="仿宋" w:hAnsi="仿宋" w:eastAsia="仿宋"/>
          <w:sz w:val="32"/>
          <w:szCs w:val="32"/>
        </w:rPr>
        <w:t>项</w:t>
      </w:r>
      <w:r>
        <w:rPr>
          <w:rFonts w:hint="eastAsia" w:ascii="仿宋" w:hAnsi="仿宋" w:eastAsia="仿宋" w:cs="Batang"/>
          <w:sz w:val="32"/>
          <w:szCs w:val="32"/>
        </w:rPr>
        <w:t>目支出</w:t>
      </w:r>
      <w:r>
        <w:rPr>
          <w:rFonts w:hint="eastAsia" w:ascii="仿宋" w:hAnsi="仿宋" w:eastAsia="仿宋" w:cs="华文仿宋"/>
          <w:sz w:val="32"/>
          <w:szCs w:val="32"/>
        </w:rPr>
        <w:t>860.6万元。</w:t>
      </w:r>
    </w:p>
    <w:p w14:paraId="400CFC54">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3.一般公共预算财政拨款基本支出决算情况</w:t>
      </w:r>
    </w:p>
    <w:p w14:paraId="77F583F0">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2018年度一般公共预算财政拨款基本支出1861.99万元，其中：人员经费648.78万元，公用经费170.15万元，项目支出1043.06万元，用于保障机构正常运转和日常工作需要。</w:t>
      </w:r>
    </w:p>
    <w:p w14:paraId="15E632DA">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4.政府性基金财政拨款收支情况</w:t>
      </w:r>
    </w:p>
    <w:p w14:paraId="4F538982">
      <w:pPr>
        <w:pStyle w:val="7"/>
        <w:spacing w:before="0" w:beforeAutospacing="0" w:after="0" w:afterAutospacing="0" w:line="540" w:lineRule="exact"/>
        <w:ind w:firstLine="640" w:firstLineChars="200"/>
        <w:rPr>
          <w:rFonts w:ascii="仿宋" w:hAnsi="仿宋" w:eastAsia="仿宋" w:cs="华文仿宋"/>
          <w:color w:val="000000"/>
          <w:sz w:val="32"/>
          <w:szCs w:val="32"/>
        </w:rPr>
      </w:pPr>
      <w:r>
        <w:rPr>
          <w:rFonts w:hint="eastAsia" w:ascii="仿宋" w:hAnsi="仿宋" w:eastAsia="仿宋" w:cs="华文仿宋"/>
          <w:color w:val="000000"/>
          <w:sz w:val="32"/>
          <w:szCs w:val="32"/>
        </w:rPr>
        <w:t>2018年政府性基金财政拨款收入1000万元，与上年相比增加1000万元，主要原因为</w:t>
      </w:r>
      <w:r>
        <w:rPr>
          <w:rFonts w:hint="eastAsia" w:ascii="仿宋" w:hAnsi="仿宋" w:eastAsia="仿宋" w:cs="华文仿宋"/>
          <w:sz w:val="32"/>
          <w:szCs w:val="32"/>
        </w:rPr>
        <w:t>小城镇基础设施配套资金</w:t>
      </w:r>
      <w:r>
        <w:rPr>
          <w:rFonts w:hint="eastAsia" w:ascii="仿宋" w:hAnsi="仿宋" w:eastAsia="仿宋" w:cs="华文仿宋"/>
          <w:color w:val="000000"/>
          <w:sz w:val="32"/>
          <w:szCs w:val="32"/>
        </w:rPr>
        <w:t>支出1000万元，结转结余至2019年1000万元。</w:t>
      </w:r>
    </w:p>
    <w:p w14:paraId="139C3E5D">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5.国有资本经营财政拨款收支情况</w:t>
      </w:r>
    </w:p>
    <w:p w14:paraId="00E3EDAA">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本部门无国有资本经营决算拨款收支。</w:t>
      </w:r>
    </w:p>
    <w:p w14:paraId="5A957576">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6.政府采购支出情况</w:t>
      </w:r>
    </w:p>
    <w:p w14:paraId="17988386">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本部门2018年无政府采购支出。</w:t>
      </w:r>
    </w:p>
    <w:p w14:paraId="6B5E130B">
      <w:pPr>
        <w:spacing w:line="540" w:lineRule="exact"/>
        <w:ind w:firstLine="641" w:firstLineChars="200"/>
        <w:rPr>
          <w:rFonts w:ascii="仿宋" w:hAnsi="仿宋" w:eastAsia="仿宋" w:cs="楷体_GB2312"/>
          <w:b/>
          <w:sz w:val="32"/>
          <w:szCs w:val="32"/>
        </w:rPr>
      </w:pPr>
      <w:r>
        <w:rPr>
          <w:rFonts w:hint="eastAsia" w:ascii="仿宋" w:hAnsi="仿宋" w:eastAsia="仿宋" w:cs="楷体_GB2312"/>
          <w:b/>
          <w:sz w:val="32"/>
          <w:szCs w:val="32"/>
        </w:rPr>
        <w:t>(三)2018年“三公”经费、培训费及会议费支出情况</w:t>
      </w:r>
    </w:p>
    <w:p w14:paraId="19734727">
      <w:pPr>
        <w:pStyle w:val="7"/>
        <w:spacing w:before="0" w:beforeAutospacing="0" w:after="0" w:afterAutospacing="0" w:line="540" w:lineRule="exact"/>
        <w:ind w:firstLine="640" w:firstLineChars="200"/>
        <w:rPr>
          <w:rFonts w:ascii="仿宋" w:hAnsi="仿宋" w:eastAsia="仿宋" w:cs="楷体_GB2312"/>
          <w:sz w:val="32"/>
          <w:szCs w:val="32"/>
        </w:rPr>
      </w:pPr>
      <w:r>
        <w:rPr>
          <w:rFonts w:hint="eastAsia" w:ascii="仿宋" w:hAnsi="仿宋" w:eastAsia="仿宋" w:cs="楷体_GB2312"/>
          <w:sz w:val="32"/>
          <w:szCs w:val="32"/>
        </w:rPr>
        <w:t>1.“三公”经费财政拨款支出总体情况说明</w:t>
      </w:r>
    </w:p>
    <w:p w14:paraId="226AE30E">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2018年度一般公共预算财政拨款安排的“三公”经费支出7.10万元，其中：因公出国（境）费支出0万元，占“三公”经费的0%；公务接待费支出1.47万元，占“三公”经费的20.7%；公务用车购置及运行费支出5.63万元，占“三公”经费的79.3%。2018年度“三公”经费支出比上年减少1.39万元，下降16%，具体情况如下：</w:t>
      </w:r>
    </w:p>
    <w:p w14:paraId="374F683B">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因公出国（境）费支出0万元，比上年决算相同，上下年无变化。</w:t>
      </w:r>
    </w:p>
    <w:p w14:paraId="4F449947">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公务接待费支1.47万元。其中：</w:t>
      </w:r>
    </w:p>
    <w:p w14:paraId="1B849109">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国内公务接待支出1.47万元，比上年决算减少1.34万元，主要原因为充分利用机关廉政灶房，减少外出接待全年使用一般公共预算财政拨款安排的国内公务接待37批次，294人次。</w:t>
      </w:r>
    </w:p>
    <w:p w14:paraId="6F7BA80D">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公务用车购置及运行费支出5.36万元。其中：</w:t>
      </w:r>
    </w:p>
    <w:p w14:paraId="6E6EE4F2">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公务用车购置支出0万元，上下年相同。公务用车运行维护费支出5.36万元，比上年决算减少0.03万元，原因为调整公车使用范围，降低公车使用频率，提高使用效率。2018年使用一般公共预算财政拨款开支维护费的公务用车保有量2辆。</w:t>
      </w:r>
    </w:p>
    <w:p w14:paraId="51BA541B">
      <w:pPr>
        <w:pStyle w:val="7"/>
        <w:spacing w:before="0" w:beforeAutospacing="0" w:after="0" w:afterAutospacing="0" w:line="540" w:lineRule="exact"/>
        <w:ind w:firstLine="640" w:firstLineChars="200"/>
        <w:rPr>
          <w:rFonts w:ascii="仿宋" w:hAnsi="仿宋" w:eastAsia="仿宋" w:cs="楷体_GB2312"/>
          <w:sz w:val="32"/>
          <w:szCs w:val="32"/>
        </w:rPr>
      </w:pPr>
      <w:r>
        <w:rPr>
          <w:rFonts w:hint="eastAsia" w:ascii="仿宋" w:hAnsi="仿宋" w:eastAsia="仿宋" w:cs="楷体_GB2312"/>
          <w:color w:val="000000"/>
          <w:sz w:val="32"/>
          <w:szCs w:val="32"/>
        </w:rPr>
        <w:t>2.</w:t>
      </w:r>
      <w:r>
        <w:rPr>
          <w:rFonts w:hint="eastAsia" w:ascii="仿宋" w:hAnsi="仿宋" w:eastAsia="仿宋" w:cs="楷体_GB2312"/>
          <w:sz w:val="32"/>
          <w:szCs w:val="32"/>
        </w:rPr>
        <w:t>培训费支出决算情况</w:t>
      </w:r>
    </w:p>
    <w:p w14:paraId="384ACC82">
      <w:pPr>
        <w:pStyle w:val="7"/>
        <w:shd w:val="clear" w:color="auto" w:fill="FFFFFF"/>
        <w:spacing w:before="0" w:beforeAutospacing="0" w:after="0" w:afterAutospacing="0" w:line="540" w:lineRule="exact"/>
        <w:ind w:firstLine="600"/>
        <w:rPr>
          <w:rFonts w:ascii="仿宋" w:hAnsi="仿宋" w:eastAsia="仿宋" w:cs="华文仿宋"/>
          <w:color w:val="000000"/>
          <w:sz w:val="32"/>
          <w:szCs w:val="32"/>
        </w:rPr>
      </w:pPr>
      <w:r>
        <w:rPr>
          <w:rFonts w:hint="eastAsia" w:ascii="仿宋" w:hAnsi="仿宋" w:eastAsia="仿宋" w:cs="华文仿宋"/>
          <w:sz w:val="32"/>
          <w:szCs w:val="32"/>
        </w:rPr>
        <w:t>培训费支出0.87万元，主要是单位内部业务培训支出，较2017年减少1.05万元，下降54.6%，</w:t>
      </w:r>
      <w:r>
        <w:rPr>
          <w:rFonts w:hint="eastAsia" w:ascii="仿宋" w:hAnsi="仿宋" w:eastAsia="仿宋" w:cs="华文仿宋"/>
          <w:color w:val="000000"/>
          <w:sz w:val="32"/>
          <w:szCs w:val="32"/>
        </w:rPr>
        <w:t>原因业务科室培训内容较2017年减少。</w:t>
      </w:r>
    </w:p>
    <w:p w14:paraId="76125FAB">
      <w:pPr>
        <w:pStyle w:val="7"/>
        <w:spacing w:before="0" w:beforeAutospacing="0" w:after="0" w:afterAutospacing="0" w:line="540" w:lineRule="exact"/>
        <w:ind w:firstLine="640" w:firstLineChars="200"/>
        <w:rPr>
          <w:rFonts w:ascii="仿宋" w:hAnsi="仿宋" w:eastAsia="仿宋" w:cs="楷体_GB2312"/>
          <w:b/>
          <w:bCs/>
          <w:sz w:val="32"/>
          <w:szCs w:val="32"/>
        </w:rPr>
      </w:pPr>
      <w:r>
        <w:rPr>
          <w:rFonts w:hint="eastAsia" w:ascii="仿宋" w:hAnsi="仿宋" w:eastAsia="仿宋" w:cs="楷体_GB2312"/>
          <w:sz w:val="32"/>
          <w:szCs w:val="32"/>
        </w:rPr>
        <w:t>3.会议费支出决算情况</w:t>
      </w:r>
    </w:p>
    <w:p w14:paraId="10B3843A">
      <w:pPr>
        <w:spacing w:line="540" w:lineRule="exact"/>
        <w:ind w:firstLine="640" w:firstLineChars="200"/>
        <w:rPr>
          <w:rFonts w:ascii="仿宋" w:hAnsi="仿宋" w:eastAsia="仿宋" w:cs="华文仿宋"/>
          <w:kern w:val="0"/>
          <w:sz w:val="32"/>
          <w:szCs w:val="32"/>
        </w:rPr>
      </w:pPr>
      <w:r>
        <w:rPr>
          <w:rFonts w:hint="eastAsia" w:ascii="仿宋" w:hAnsi="仿宋" w:eastAsia="仿宋" w:cs="华文仿宋"/>
          <w:kern w:val="0"/>
          <w:sz w:val="32"/>
          <w:szCs w:val="32"/>
        </w:rPr>
        <w:t>会议费支出1.22万元，主要是单位各部门安排的工作会议支出，较2017年增加0.26万元，上升27.5%,原因是根据行政效能工作安排，事项增多。</w:t>
      </w:r>
    </w:p>
    <w:p w14:paraId="24925774">
      <w:pPr>
        <w:spacing w:line="540" w:lineRule="exact"/>
        <w:ind w:firstLine="640" w:firstLineChars="200"/>
        <w:rPr>
          <w:rFonts w:ascii="仿宋" w:hAnsi="仿宋" w:eastAsia="仿宋" w:cs="黑体"/>
          <w:sz w:val="32"/>
          <w:szCs w:val="32"/>
        </w:rPr>
      </w:pPr>
      <w:r>
        <w:rPr>
          <w:rFonts w:hint="eastAsia" w:ascii="仿宋" w:hAnsi="仿宋" w:eastAsia="仿宋" w:cs="黑体"/>
          <w:sz w:val="32"/>
          <w:szCs w:val="32"/>
        </w:rPr>
        <w:t>六、2018年度部门绩效管理情况说明</w:t>
      </w:r>
    </w:p>
    <w:p w14:paraId="0BE83F70">
      <w:pPr>
        <w:spacing w:line="540" w:lineRule="exact"/>
        <w:ind w:firstLine="640" w:firstLineChars="200"/>
        <w:rPr>
          <w:rFonts w:hint="eastAsia" w:ascii="仿宋" w:hAnsi="仿宋" w:eastAsia="仿宋" w:cs="华文仿宋"/>
          <w:sz w:val="32"/>
          <w:szCs w:val="32"/>
        </w:rPr>
      </w:pPr>
      <w:r>
        <w:rPr>
          <w:rFonts w:hint="eastAsia" w:ascii="仿宋" w:hAnsi="仿宋" w:eastAsia="仿宋" w:cs="华文仿宋"/>
          <w:sz w:val="32"/>
          <w:szCs w:val="32"/>
        </w:rPr>
        <w:t>2018年本部门对城镇配套设施资金、一事一议等专项业务经费项目开展了绩效自评，涉及一般公共预算当年拨款1043.06万元，占一般公共预算项目支出总额的56.02%。</w:t>
      </w:r>
    </w:p>
    <w:p w14:paraId="7A9E93DC">
      <w:pPr>
        <w:spacing w:line="540" w:lineRule="exact"/>
        <w:ind w:firstLine="640" w:firstLineChars="200"/>
        <w:rPr>
          <w:rFonts w:hint="eastAsia" w:ascii="仿宋" w:hAnsi="仿宋" w:eastAsia="仿宋" w:cs="华文仿宋"/>
          <w:sz w:val="32"/>
          <w:szCs w:val="32"/>
        </w:rPr>
      </w:pPr>
      <w:r>
        <w:rPr>
          <w:rFonts w:hint="eastAsia" w:ascii="仿宋" w:hAnsi="仿宋" w:eastAsia="仿宋" w:cs="华文仿宋"/>
          <w:sz w:val="32"/>
          <w:szCs w:val="32"/>
        </w:rPr>
        <w:t>2018年西安市</w:t>
      </w:r>
      <w:r>
        <w:rPr>
          <w:rFonts w:hint="eastAsia" w:ascii="仿宋" w:hAnsi="仿宋" w:eastAsia="仿宋" w:cs="华文仿宋"/>
          <w:sz w:val="32"/>
          <w:szCs w:val="32"/>
          <w:lang w:eastAsia="zh-CN"/>
        </w:rPr>
        <w:t>阎良区武屯街道办事处</w:t>
      </w:r>
      <w:r>
        <w:rPr>
          <w:rFonts w:hint="eastAsia" w:ascii="仿宋" w:hAnsi="仿宋" w:eastAsia="仿宋" w:cs="华文仿宋"/>
          <w:sz w:val="32"/>
          <w:szCs w:val="32"/>
        </w:rPr>
        <w:t>部门整体支出绩效评价得9</w:t>
      </w:r>
      <w:r>
        <w:rPr>
          <w:rFonts w:hint="eastAsia" w:ascii="仿宋" w:hAnsi="仿宋" w:eastAsia="仿宋" w:cs="华文仿宋"/>
          <w:sz w:val="32"/>
          <w:szCs w:val="32"/>
          <w:lang w:val="en-US" w:eastAsia="zh-CN"/>
        </w:rPr>
        <w:t>0</w:t>
      </w:r>
      <w:r>
        <w:rPr>
          <w:rFonts w:hint="eastAsia" w:ascii="仿宋" w:hAnsi="仿宋" w:eastAsia="仿宋" w:cs="华文仿宋"/>
          <w:sz w:val="32"/>
          <w:szCs w:val="32"/>
          <w:lang w:eastAsia="zh-CN"/>
        </w:rPr>
        <w:t>分</w:t>
      </w:r>
      <w:r>
        <w:rPr>
          <w:rFonts w:hint="eastAsia" w:ascii="仿宋" w:hAnsi="仿宋" w:eastAsia="仿宋" w:cs="华文仿宋"/>
          <w:sz w:val="32"/>
          <w:szCs w:val="32"/>
        </w:rPr>
        <w:t>，结果为优。</w:t>
      </w:r>
    </w:p>
    <w:p w14:paraId="25F0D956">
      <w:pPr>
        <w:spacing w:line="540" w:lineRule="exact"/>
        <w:ind w:firstLine="640" w:firstLineChars="200"/>
        <w:rPr>
          <w:rFonts w:hint="default" w:ascii="仿宋" w:hAnsi="仿宋" w:eastAsia="仿宋" w:cs="华文仿宋"/>
          <w:sz w:val="32"/>
          <w:szCs w:val="32"/>
        </w:rPr>
      </w:pPr>
      <w:r>
        <w:rPr>
          <w:rFonts w:hint="eastAsia" w:ascii="仿宋" w:hAnsi="仿宋" w:eastAsia="仿宋" w:cs="华文仿宋"/>
          <w:sz w:val="32"/>
          <w:szCs w:val="32"/>
        </w:rPr>
        <w:t>四大类指标具体得分如下：</w:t>
      </w:r>
    </w:p>
    <w:p w14:paraId="3E9A0A2A">
      <w:pPr>
        <w:spacing w:line="540" w:lineRule="exact"/>
        <w:jc w:val="center"/>
        <w:rPr>
          <w:rFonts w:ascii="仿宋" w:hAnsi="仿宋" w:eastAsia="仿宋" w:cs="仿宋"/>
          <w:b/>
          <w:i w:val="0"/>
          <w:caps w:val="0"/>
          <w:color w:val="333333"/>
          <w:spacing w:val="0"/>
          <w:sz w:val="32"/>
          <w:szCs w:val="32"/>
          <w:shd w:val="clear" w:color="auto" w:fill="FFFFFF"/>
        </w:rPr>
      </w:pPr>
      <w:r>
        <w:rPr>
          <w:rFonts w:ascii="仿宋" w:hAnsi="仿宋" w:eastAsia="仿宋" w:cs="仿宋"/>
          <w:b/>
          <w:i w:val="0"/>
          <w:caps w:val="0"/>
          <w:color w:val="333333"/>
          <w:spacing w:val="0"/>
          <w:sz w:val="32"/>
          <w:szCs w:val="32"/>
          <w:shd w:val="clear" w:color="auto" w:fill="FFFFFF"/>
        </w:rPr>
        <w:t>部门整体评价得分表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20"/>
        <w:gridCol w:w="3020"/>
        <w:gridCol w:w="3020"/>
      </w:tblGrid>
      <w:tr w14:paraId="68050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14:paraId="2F20C7B4">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b/>
                <w:i w:val="0"/>
                <w:caps w:val="0"/>
                <w:color w:val="333333"/>
                <w:spacing w:val="0"/>
                <w:sz w:val="32"/>
                <w:szCs w:val="32"/>
                <w:shd w:val="clear" w:color="auto" w:fill="FFFFFF"/>
              </w:rPr>
              <w:t>项</w:t>
            </w:r>
            <w:r>
              <w:rPr>
                <w:rFonts w:hint="eastAsia" w:ascii="仿宋" w:hAnsi="仿宋" w:eastAsia="仿宋" w:cs="仿宋"/>
                <w:b/>
                <w:i w:val="0"/>
                <w:caps w:val="0"/>
                <w:color w:val="333333"/>
                <w:spacing w:val="0"/>
                <w:sz w:val="32"/>
                <w:szCs w:val="32"/>
                <w:shd w:val="clear" w:color="auto" w:fill="FFFFFF"/>
              </w:rPr>
              <w:t>    目</w:t>
            </w:r>
          </w:p>
        </w:tc>
        <w:tc>
          <w:tcPr>
            <w:tcW w:w="3020" w:type="dxa"/>
            <w:noWrap w:val="0"/>
            <w:vAlign w:val="top"/>
          </w:tcPr>
          <w:p w14:paraId="38683D0C">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b/>
                <w:i w:val="0"/>
                <w:caps w:val="0"/>
                <w:color w:val="333333"/>
                <w:spacing w:val="0"/>
                <w:sz w:val="32"/>
                <w:szCs w:val="32"/>
                <w:shd w:val="clear" w:color="auto" w:fill="FFFFFF"/>
              </w:rPr>
              <w:t>标准分值</w:t>
            </w:r>
          </w:p>
        </w:tc>
        <w:tc>
          <w:tcPr>
            <w:tcW w:w="3020" w:type="dxa"/>
            <w:noWrap w:val="0"/>
            <w:vAlign w:val="top"/>
          </w:tcPr>
          <w:p w14:paraId="2FB4A235">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b/>
                <w:i w:val="0"/>
                <w:caps w:val="0"/>
                <w:color w:val="333333"/>
                <w:spacing w:val="0"/>
                <w:sz w:val="32"/>
                <w:szCs w:val="32"/>
                <w:shd w:val="clear" w:color="auto" w:fill="FFFFFF"/>
              </w:rPr>
              <w:t>项目得分</w:t>
            </w:r>
          </w:p>
        </w:tc>
      </w:tr>
      <w:tr w14:paraId="14507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14:paraId="4447683C">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i w:val="0"/>
                <w:caps w:val="0"/>
                <w:color w:val="333333"/>
                <w:spacing w:val="0"/>
                <w:sz w:val="32"/>
                <w:szCs w:val="32"/>
                <w:shd w:val="clear" w:color="auto" w:fill="FFFFFF"/>
              </w:rPr>
              <w:t>一、投入类</w:t>
            </w:r>
          </w:p>
        </w:tc>
        <w:tc>
          <w:tcPr>
            <w:tcW w:w="3020" w:type="dxa"/>
            <w:noWrap w:val="0"/>
            <w:vAlign w:val="top"/>
          </w:tcPr>
          <w:p w14:paraId="05CC4F01">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15</w:t>
            </w:r>
          </w:p>
        </w:tc>
        <w:tc>
          <w:tcPr>
            <w:tcW w:w="3020" w:type="dxa"/>
            <w:noWrap w:val="0"/>
            <w:vAlign w:val="top"/>
          </w:tcPr>
          <w:p w14:paraId="00076110">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15</w:t>
            </w:r>
          </w:p>
        </w:tc>
      </w:tr>
      <w:tr w14:paraId="01432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14:paraId="63A2196A">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i w:val="0"/>
                <w:caps w:val="0"/>
                <w:color w:val="333333"/>
                <w:spacing w:val="0"/>
                <w:sz w:val="32"/>
                <w:szCs w:val="32"/>
                <w:shd w:val="clear" w:color="auto" w:fill="FFFFFF"/>
              </w:rPr>
              <w:t>二、过程类</w:t>
            </w:r>
          </w:p>
        </w:tc>
        <w:tc>
          <w:tcPr>
            <w:tcW w:w="3020" w:type="dxa"/>
            <w:noWrap w:val="0"/>
            <w:vAlign w:val="top"/>
          </w:tcPr>
          <w:p w14:paraId="577AC1F0">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50</w:t>
            </w:r>
          </w:p>
        </w:tc>
        <w:tc>
          <w:tcPr>
            <w:tcW w:w="3020" w:type="dxa"/>
            <w:noWrap w:val="0"/>
            <w:vAlign w:val="top"/>
          </w:tcPr>
          <w:p w14:paraId="1002A1B2">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40</w:t>
            </w:r>
          </w:p>
        </w:tc>
      </w:tr>
      <w:tr w14:paraId="1E71A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14:paraId="63195A3B">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i w:val="0"/>
                <w:caps w:val="0"/>
                <w:color w:val="333333"/>
                <w:spacing w:val="0"/>
                <w:sz w:val="32"/>
                <w:szCs w:val="32"/>
                <w:shd w:val="clear" w:color="auto" w:fill="FFFFFF"/>
              </w:rPr>
              <w:t>三、产出类</w:t>
            </w:r>
          </w:p>
        </w:tc>
        <w:tc>
          <w:tcPr>
            <w:tcW w:w="3020" w:type="dxa"/>
            <w:noWrap w:val="0"/>
            <w:vAlign w:val="top"/>
          </w:tcPr>
          <w:p w14:paraId="3AEA9826">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25</w:t>
            </w:r>
          </w:p>
        </w:tc>
        <w:tc>
          <w:tcPr>
            <w:tcW w:w="3020" w:type="dxa"/>
            <w:noWrap w:val="0"/>
            <w:vAlign w:val="top"/>
          </w:tcPr>
          <w:p w14:paraId="31D7CEBA">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25</w:t>
            </w:r>
          </w:p>
        </w:tc>
      </w:tr>
      <w:tr w14:paraId="75F1B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14:paraId="59C2C9DA">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i w:val="0"/>
                <w:caps w:val="0"/>
                <w:color w:val="333333"/>
                <w:spacing w:val="0"/>
                <w:sz w:val="32"/>
                <w:szCs w:val="32"/>
                <w:shd w:val="clear" w:color="auto" w:fill="FFFFFF"/>
              </w:rPr>
              <w:t>四、效果类</w:t>
            </w:r>
          </w:p>
        </w:tc>
        <w:tc>
          <w:tcPr>
            <w:tcW w:w="3020" w:type="dxa"/>
            <w:noWrap w:val="0"/>
            <w:vAlign w:val="top"/>
          </w:tcPr>
          <w:p w14:paraId="15D26A13">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10</w:t>
            </w:r>
          </w:p>
        </w:tc>
        <w:tc>
          <w:tcPr>
            <w:tcW w:w="3020" w:type="dxa"/>
            <w:noWrap w:val="0"/>
            <w:vAlign w:val="top"/>
          </w:tcPr>
          <w:p w14:paraId="1C403C4F">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10</w:t>
            </w:r>
          </w:p>
        </w:tc>
      </w:tr>
      <w:tr w14:paraId="7FF83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14:paraId="7D211FF6">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b/>
                <w:i w:val="0"/>
                <w:caps w:val="0"/>
                <w:color w:val="333333"/>
                <w:spacing w:val="0"/>
                <w:sz w:val="32"/>
                <w:szCs w:val="32"/>
                <w:shd w:val="clear" w:color="auto" w:fill="FFFFFF"/>
              </w:rPr>
              <w:t>合</w:t>
            </w:r>
            <w:r>
              <w:rPr>
                <w:rFonts w:hint="eastAsia" w:ascii="仿宋" w:hAnsi="仿宋" w:eastAsia="仿宋" w:cs="仿宋"/>
                <w:b/>
                <w:i w:val="0"/>
                <w:caps w:val="0"/>
                <w:color w:val="333333"/>
                <w:spacing w:val="0"/>
                <w:sz w:val="32"/>
                <w:szCs w:val="32"/>
                <w:shd w:val="clear" w:color="auto" w:fill="FFFFFF"/>
              </w:rPr>
              <w:t>    计</w:t>
            </w:r>
          </w:p>
        </w:tc>
        <w:tc>
          <w:tcPr>
            <w:tcW w:w="3020" w:type="dxa"/>
            <w:noWrap w:val="0"/>
            <w:vAlign w:val="top"/>
          </w:tcPr>
          <w:p w14:paraId="6B791681">
            <w:pPr>
              <w:spacing w:line="540" w:lineRule="exact"/>
              <w:jc w:val="center"/>
              <w:rPr>
                <w:rFonts w:hint="default" w:ascii="仿宋" w:hAnsi="仿宋" w:eastAsia="仿宋" w:cs="仿宋"/>
                <w:b/>
                <w:i w:val="0"/>
                <w:caps w:val="0"/>
                <w:color w:val="333333"/>
                <w:spacing w:val="0"/>
                <w:sz w:val="32"/>
                <w:szCs w:val="32"/>
                <w:shd w:val="clear" w:color="auto" w:fill="FFFFFF"/>
                <w:vertAlign w:val="baseline"/>
                <w:lang w:val="en-US" w:eastAsia="zh-CN"/>
              </w:rPr>
            </w:pPr>
            <w:r>
              <w:rPr>
                <w:rFonts w:hint="eastAsia" w:ascii="仿宋" w:hAnsi="仿宋" w:eastAsia="仿宋" w:cs="仿宋"/>
                <w:b/>
                <w:i w:val="0"/>
                <w:caps w:val="0"/>
                <w:color w:val="333333"/>
                <w:spacing w:val="0"/>
                <w:sz w:val="32"/>
                <w:szCs w:val="32"/>
                <w:shd w:val="clear" w:color="auto" w:fill="FFFFFF"/>
                <w:vertAlign w:val="baseline"/>
                <w:lang w:val="en-US" w:eastAsia="zh-CN"/>
              </w:rPr>
              <w:t>100</w:t>
            </w:r>
          </w:p>
        </w:tc>
        <w:tc>
          <w:tcPr>
            <w:tcW w:w="3020" w:type="dxa"/>
            <w:noWrap w:val="0"/>
            <w:vAlign w:val="top"/>
          </w:tcPr>
          <w:p w14:paraId="64F70EE3">
            <w:pPr>
              <w:spacing w:line="540" w:lineRule="exact"/>
              <w:jc w:val="center"/>
              <w:rPr>
                <w:rFonts w:hint="default" w:ascii="仿宋" w:hAnsi="仿宋" w:eastAsia="仿宋" w:cs="仿宋"/>
                <w:b/>
                <w:i w:val="0"/>
                <w:caps w:val="0"/>
                <w:color w:val="333333"/>
                <w:spacing w:val="0"/>
                <w:sz w:val="32"/>
                <w:szCs w:val="32"/>
                <w:shd w:val="clear" w:color="auto" w:fill="FFFFFF"/>
                <w:vertAlign w:val="baseline"/>
                <w:lang w:val="en-US" w:eastAsia="zh-CN"/>
              </w:rPr>
            </w:pPr>
            <w:r>
              <w:rPr>
                <w:rFonts w:hint="eastAsia" w:ascii="仿宋" w:hAnsi="仿宋" w:eastAsia="仿宋" w:cs="仿宋"/>
                <w:b/>
                <w:i w:val="0"/>
                <w:caps w:val="0"/>
                <w:color w:val="333333"/>
                <w:spacing w:val="0"/>
                <w:sz w:val="32"/>
                <w:szCs w:val="32"/>
                <w:shd w:val="clear" w:color="auto" w:fill="FFFFFF"/>
                <w:vertAlign w:val="baseline"/>
                <w:lang w:val="en-US" w:eastAsia="zh-CN"/>
              </w:rPr>
              <w:t>90</w:t>
            </w:r>
          </w:p>
        </w:tc>
      </w:tr>
    </w:tbl>
    <w:p w14:paraId="36D01E09">
      <w:pPr>
        <w:spacing w:line="540" w:lineRule="exact"/>
        <w:ind w:firstLine="640" w:firstLineChars="200"/>
        <w:rPr>
          <w:rFonts w:hint="eastAsia" w:ascii="仿宋" w:hAnsi="仿宋" w:eastAsia="仿宋" w:cs="华文仿宋"/>
          <w:sz w:val="32"/>
          <w:szCs w:val="32"/>
        </w:rPr>
      </w:pPr>
    </w:p>
    <w:p w14:paraId="25358409">
      <w:pPr>
        <w:spacing w:line="540" w:lineRule="exact"/>
        <w:ind w:firstLine="640" w:firstLineChars="200"/>
        <w:rPr>
          <w:rFonts w:ascii="仿宋" w:hAnsi="仿宋" w:eastAsia="仿宋" w:cs="黑体"/>
          <w:sz w:val="32"/>
          <w:szCs w:val="32"/>
        </w:rPr>
      </w:pPr>
      <w:r>
        <w:rPr>
          <w:rFonts w:hint="eastAsia" w:ascii="仿宋" w:hAnsi="仿宋" w:eastAsia="仿宋" w:cs="黑体"/>
          <w:sz w:val="32"/>
          <w:szCs w:val="32"/>
        </w:rPr>
        <w:t>七、2018年其他重要事项情况说明</w:t>
      </w:r>
    </w:p>
    <w:p w14:paraId="46632334">
      <w:pPr>
        <w:pStyle w:val="7"/>
        <w:spacing w:before="0" w:beforeAutospacing="0" w:after="0" w:afterAutospacing="0" w:line="540" w:lineRule="exact"/>
        <w:ind w:firstLine="641" w:firstLineChars="200"/>
        <w:rPr>
          <w:rFonts w:ascii="仿宋" w:hAnsi="仿宋" w:eastAsia="仿宋" w:cs="楷体_GB2312"/>
          <w:b/>
          <w:bCs/>
          <w:sz w:val="32"/>
          <w:szCs w:val="32"/>
        </w:rPr>
      </w:pPr>
      <w:r>
        <w:rPr>
          <w:rFonts w:hint="eastAsia" w:ascii="仿宋" w:hAnsi="仿宋" w:eastAsia="仿宋" w:cs="楷体_GB2312"/>
          <w:b/>
          <w:bCs/>
          <w:sz w:val="32"/>
          <w:szCs w:val="32"/>
        </w:rPr>
        <w:t>（一）机关运行经费支出情况</w:t>
      </w:r>
    </w:p>
    <w:p w14:paraId="29726E34">
      <w:pPr>
        <w:pStyle w:val="7"/>
        <w:spacing w:before="0" w:beforeAutospacing="0" w:after="0" w:afterAutospacing="0"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2018年本部门机关运行经费支出124.99万元，用于维持机关日常运转所必需的公用支出。其中：行政单位3户，合计124.99万元，占机关运行经费的100%。2018年机关运行经费支出比2017年同口径增加50.06万元，增长66.81%，主要原因是人员增加，人员经费增加，日常公用经费增加。</w:t>
      </w:r>
    </w:p>
    <w:p w14:paraId="1C38933E">
      <w:pPr>
        <w:spacing w:line="540" w:lineRule="exact"/>
        <w:ind w:firstLine="641" w:firstLineChars="200"/>
        <w:rPr>
          <w:rFonts w:ascii="仿宋" w:hAnsi="仿宋" w:eastAsia="仿宋" w:cs="楷体_GB2312"/>
          <w:b/>
          <w:bCs/>
          <w:sz w:val="32"/>
          <w:szCs w:val="32"/>
        </w:rPr>
      </w:pPr>
      <w:r>
        <w:rPr>
          <w:rFonts w:hint="eastAsia" w:ascii="仿宋" w:hAnsi="仿宋" w:eastAsia="仿宋" w:cs="楷体_GB2312"/>
          <w:b/>
          <w:bCs/>
          <w:sz w:val="32"/>
          <w:szCs w:val="32"/>
        </w:rPr>
        <w:t>（二）国有资产占用及购置情况说明</w:t>
      </w:r>
    </w:p>
    <w:p w14:paraId="2280D21E">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截至2018年末，本部门共有车辆3辆，其中，一般公务用车2辆、一般执法执勤用车0辆、特种专业技术用车0辆、其他用车1辆，其他用车主要是城乡环境卫生摆臂车；单价50万元以上的通用设备0台（套）；单价100万元以上的通用设备0台（套）。2018年当年购置环卫车辆3辆；购置单价50万元以上的设备0台（套）；购置单价100万元以上的通用设备0台（套）。</w:t>
      </w:r>
    </w:p>
    <w:p w14:paraId="1C6E8E50">
      <w:pPr>
        <w:spacing w:line="540" w:lineRule="exact"/>
        <w:ind w:firstLine="640" w:firstLineChars="200"/>
        <w:rPr>
          <w:rFonts w:ascii="仿宋" w:hAnsi="仿宋" w:eastAsia="仿宋" w:cs="黑体"/>
          <w:sz w:val="32"/>
          <w:szCs w:val="32"/>
        </w:rPr>
      </w:pPr>
      <w:r>
        <w:rPr>
          <w:rFonts w:hint="eastAsia" w:ascii="仿宋" w:hAnsi="仿宋" w:eastAsia="仿宋" w:cs="黑体"/>
          <w:sz w:val="32"/>
          <w:szCs w:val="32"/>
        </w:rPr>
        <w:t>八、专业名词解释</w:t>
      </w:r>
    </w:p>
    <w:p w14:paraId="6C7B66F3">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1．基本支出：指为保障机构正常运转、完成日常工作任务而发生的各项支出。</w:t>
      </w:r>
    </w:p>
    <w:p w14:paraId="35E88BCD">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2．项目支出：指单位为完成特定的行政工作任务或事业发展目标所发生的各项支出。</w:t>
      </w:r>
    </w:p>
    <w:p w14:paraId="552994E8">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3．“三公”经费：指部门使用一般公共预算财政拨款安排的因公出国（境）费、公务用车购置及运行费和公务接待费支出。</w:t>
      </w:r>
    </w:p>
    <w:p w14:paraId="3411DD53">
      <w:pPr>
        <w:spacing w:line="540" w:lineRule="exact"/>
        <w:ind w:firstLine="640" w:firstLineChars="200"/>
        <w:rPr>
          <w:rFonts w:ascii="仿宋" w:hAnsi="仿宋" w:eastAsia="仿宋" w:cs="华文仿宋"/>
          <w:sz w:val="32"/>
          <w:szCs w:val="32"/>
        </w:rPr>
      </w:pPr>
      <w:r>
        <w:rPr>
          <w:rFonts w:hint="eastAsia" w:ascii="仿宋" w:hAnsi="仿宋" w:eastAsia="仿宋" w:cs="华文仿宋"/>
          <w:sz w:val="32"/>
          <w:szCs w:val="32"/>
        </w:rPr>
        <w:t>4．机关运行经费：指行政单位和参照公务员法管理的事业单位使用一般公共预算财政拨款安排的日常公用经费支出。</w:t>
      </w:r>
    </w:p>
    <w:p w14:paraId="71EA9E2F">
      <w:pPr>
        <w:spacing w:line="540" w:lineRule="exact"/>
        <w:ind w:firstLine="640" w:firstLineChars="200"/>
        <w:rPr>
          <w:rFonts w:hint="eastAsia" w:ascii="仿宋" w:hAnsi="仿宋" w:eastAsia="仿宋"/>
          <w:bCs/>
          <w:sz w:val="32"/>
          <w:szCs w:val="32"/>
        </w:rPr>
      </w:pPr>
      <w:r>
        <w:rPr>
          <w:rFonts w:hint="eastAsia" w:ascii="仿宋" w:hAnsi="仿宋" w:eastAsia="仿宋"/>
          <w:bCs/>
          <w:sz w:val="32"/>
          <w:szCs w:val="32"/>
        </w:rPr>
        <w:t>九、2018年部门决算公开报表</w:t>
      </w:r>
    </w:p>
    <w:p w14:paraId="10E5FF12">
      <w:pPr>
        <w:spacing w:line="540" w:lineRule="exact"/>
        <w:ind w:firstLine="640" w:firstLineChars="200"/>
        <w:rPr>
          <w:rFonts w:hint="eastAsia" w:ascii="仿宋" w:hAnsi="仿宋" w:eastAsia="仿宋"/>
          <w:bCs/>
          <w:sz w:val="32"/>
          <w:szCs w:val="32"/>
          <w:lang w:eastAsia="zh-CN"/>
        </w:rPr>
      </w:pPr>
      <w:r>
        <w:rPr>
          <w:rFonts w:hint="eastAsia" w:ascii="仿宋" w:hAnsi="仿宋" w:eastAsia="仿宋"/>
          <w:bCs/>
          <w:sz w:val="32"/>
          <w:szCs w:val="32"/>
          <w:lang w:eastAsia="zh-CN"/>
        </w:rPr>
        <w:t>十、2018年部门整体支出绩效评价指标体系表</w:t>
      </w:r>
    </w:p>
    <w:p w14:paraId="0DA9493A">
      <w:pPr>
        <w:spacing w:line="540" w:lineRule="exact"/>
        <w:ind w:firstLine="640" w:firstLineChars="200"/>
        <w:rPr>
          <w:rFonts w:hint="eastAsia" w:ascii="仿宋" w:hAnsi="仿宋" w:eastAsia="仿宋"/>
          <w:bCs/>
          <w:sz w:val="32"/>
          <w:szCs w:val="32"/>
        </w:rPr>
      </w:pPr>
    </w:p>
    <w:sectPr>
      <w:footerReference r:id="rId3" w:type="default"/>
      <w:footerReference r:id="rId4" w:type="even"/>
      <w:pgSz w:w="11906" w:h="16838"/>
      <w:pgMar w:top="1134" w:right="1134" w:bottom="1134" w:left="1134" w:header="851" w:footer="567" w:gutter="0"/>
      <w:cols w:space="425" w:num="1"/>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Batang">
    <w:altName w:val="Malgun Gothic"/>
    <w:panose1 w:val="02030600000101010101"/>
    <w:charset w:val="81"/>
    <w:family w:val="roman"/>
    <w:pitch w:val="default"/>
    <w:sig w:usb0="00000000" w:usb1="00000000" w:usb2="00000030" w:usb3="00000000" w:csb0="4008009F" w:csb1="DFD7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BE3AE">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EA607">
    <w:pPr>
      <w:pStyle w:val="5"/>
      <w:framePr w:w="2368" w:wrap="around" w:vAnchor="text" w:hAnchor="margin" w:xAlign="outside" w:y="2"/>
      <w:ind w:left="294" w:leftChars="140"/>
      <w:rPr>
        <w:rStyle w:val="12"/>
        <w:rFonts w:ascii="宋体" w:hAnsi="宋体"/>
        <w:sz w:val="28"/>
        <w:szCs w:val="28"/>
      </w:rPr>
    </w:pP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12</w:t>
    </w:r>
    <w:r>
      <w:rPr>
        <w:rStyle w:val="12"/>
        <w:rFonts w:ascii="宋体" w:hAnsi="宋体"/>
        <w:sz w:val="28"/>
        <w:szCs w:val="28"/>
      </w:rPr>
      <w:fldChar w:fldCharType="end"/>
    </w:r>
    <w:r>
      <w:rPr>
        <w:rStyle w:val="12"/>
        <w:rFonts w:hint="eastAsia" w:ascii="宋体" w:hAnsi="宋体"/>
        <w:sz w:val="28"/>
        <w:szCs w:val="28"/>
      </w:rPr>
      <w:t xml:space="preserve"> —</w:t>
    </w:r>
  </w:p>
  <w:p w14:paraId="1E480A6F">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DA7668"/>
    <w:multiLevelType w:val="singleLevel"/>
    <w:tmpl w:val="F0DA7668"/>
    <w:lvl w:ilvl="0" w:tentative="0">
      <w:start w:val="1"/>
      <w:numFmt w:val="decimal"/>
      <w:suff w:val="nothing"/>
      <w:lvlText w:val="%1．"/>
      <w:lvlJc w:val="left"/>
    </w:lvl>
  </w:abstractNum>
  <w:abstractNum w:abstractNumId="1">
    <w:nsid w:val="09A11EED"/>
    <w:multiLevelType w:val="multilevel"/>
    <w:tmpl w:val="09A11EED"/>
    <w:lvl w:ilvl="0" w:tentative="0">
      <w:start w:val="1"/>
      <w:numFmt w:val="japaneseCounting"/>
      <w:lvlText w:val="%1、"/>
      <w:lvlJc w:val="left"/>
      <w:pPr>
        <w:ind w:left="1361" w:hanging="720"/>
      </w:pPr>
      <w:rPr>
        <w:rFonts w:hint="default"/>
        <w:b/>
      </w:rPr>
    </w:lvl>
    <w:lvl w:ilvl="1" w:tentative="0">
      <w:start w:val="1"/>
      <w:numFmt w:val="lowerLetter"/>
      <w:lvlText w:val="%2)"/>
      <w:lvlJc w:val="left"/>
      <w:pPr>
        <w:ind w:left="1481" w:hanging="420"/>
      </w:pPr>
    </w:lvl>
    <w:lvl w:ilvl="2" w:tentative="0">
      <w:start w:val="1"/>
      <w:numFmt w:val="lowerRoman"/>
      <w:lvlText w:val="%3."/>
      <w:lvlJc w:val="right"/>
      <w:pPr>
        <w:ind w:left="1901" w:hanging="420"/>
      </w:pPr>
    </w:lvl>
    <w:lvl w:ilvl="3" w:tentative="0">
      <w:start w:val="1"/>
      <w:numFmt w:val="decimal"/>
      <w:lvlText w:val="%4."/>
      <w:lvlJc w:val="left"/>
      <w:pPr>
        <w:ind w:left="2321" w:hanging="420"/>
      </w:pPr>
    </w:lvl>
    <w:lvl w:ilvl="4" w:tentative="0">
      <w:start w:val="1"/>
      <w:numFmt w:val="lowerLetter"/>
      <w:lvlText w:val="%5)"/>
      <w:lvlJc w:val="left"/>
      <w:pPr>
        <w:ind w:left="2741" w:hanging="420"/>
      </w:pPr>
    </w:lvl>
    <w:lvl w:ilvl="5" w:tentative="0">
      <w:start w:val="1"/>
      <w:numFmt w:val="lowerRoman"/>
      <w:lvlText w:val="%6."/>
      <w:lvlJc w:val="right"/>
      <w:pPr>
        <w:ind w:left="3161" w:hanging="420"/>
      </w:pPr>
    </w:lvl>
    <w:lvl w:ilvl="6" w:tentative="0">
      <w:start w:val="1"/>
      <w:numFmt w:val="decimal"/>
      <w:lvlText w:val="%7."/>
      <w:lvlJc w:val="left"/>
      <w:pPr>
        <w:ind w:left="3581" w:hanging="420"/>
      </w:pPr>
    </w:lvl>
    <w:lvl w:ilvl="7" w:tentative="0">
      <w:start w:val="1"/>
      <w:numFmt w:val="lowerLetter"/>
      <w:lvlText w:val="%8)"/>
      <w:lvlJc w:val="left"/>
      <w:pPr>
        <w:ind w:left="4001" w:hanging="420"/>
      </w:pPr>
    </w:lvl>
    <w:lvl w:ilvl="8" w:tentative="0">
      <w:start w:val="1"/>
      <w:numFmt w:val="lowerRoman"/>
      <w:lvlText w:val="%9."/>
      <w:lvlJc w:val="right"/>
      <w:pPr>
        <w:ind w:left="4421"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documentProtection w:enforcement="0"/>
  <w:defaultTabStop w:val="425"/>
  <w:evenAndOddHeaders w:val="1"/>
  <w:drawingGridHorizontalSpacing w:val="103"/>
  <w:drawingGridVerticalSpacing w:val="579"/>
  <w:displayHorizontalDrawingGridEvery w:val="0"/>
  <w:characterSpacingControl w:val="compressPunctuation"/>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M3NmI3ZTE1ZTYyNTljN2NjOTVmNGFiZmYyMDkyMWEifQ=="/>
  </w:docVars>
  <w:rsids>
    <w:rsidRoot w:val="004E1A0C"/>
    <w:rsid w:val="00003CB8"/>
    <w:rsid w:val="00017D50"/>
    <w:rsid w:val="00033A93"/>
    <w:rsid w:val="000A35E2"/>
    <w:rsid w:val="000E1754"/>
    <w:rsid w:val="00114621"/>
    <w:rsid w:val="00155DE9"/>
    <w:rsid w:val="00157951"/>
    <w:rsid w:val="001F5EF3"/>
    <w:rsid w:val="0022212A"/>
    <w:rsid w:val="00250E4A"/>
    <w:rsid w:val="002534FE"/>
    <w:rsid w:val="002D7FF4"/>
    <w:rsid w:val="0035123F"/>
    <w:rsid w:val="00377030"/>
    <w:rsid w:val="003873AC"/>
    <w:rsid w:val="00402D2A"/>
    <w:rsid w:val="00404317"/>
    <w:rsid w:val="004273DB"/>
    <w:rsid w:val="00457C1B"/>
    <w:rsid w:val="00463B0B"/>
    <w:rsid w:val="00472515"/>
    <w:rsid w:val="004D1EC0"/>
    <w:rsid w:val="004D7953"/>
    <w:rsid w:val="004E17FB"/>
    <w:rsid w:val="004E1A0C"/>
    <w:rsid w:val="004E505E"/>
    <w:rsid w:val="00514E7B"/>
    <w:rsid w:val="005F073E"/>
    <w:rsid w:val="00606537"/>
    <w:rsid w:val="006177FC"/>
    <w:rsid w:val="006302D5"/>
    <w:rsid w:val="00631C89"/>
    <w:rsid w:val="0068433D"/>
    <w:rsid w:val="006961AE"/>
    <w:rsid w:val="006A7F4B"/>
    <w:rsid w:val="006B7B63"/>
    <w:rsid w:val="006C4930"/>
    <w:rsid w:val="007447C3"/>
    <w:rsid w:val="007619AD"/>
    <w:rsid w:val="007D4804"/>
    <w:rsid w:val="008667E5"/>
    <w:rsid w:val="008B0CC3"/>
    <w:rsid w:val="008F4A96"/>
    <w:rsid w:val="0092216F"/>
    <w:rsid w:val="00963799"/>
    <w:rsid w:val="00983226"/>
    <w:rsid w:val="009A6403"/>
    <w:rsid w:val="009A6C1E"/>
    <w:rsid w:val="009F4C7B"/>
    <w:rsid w:val="00A43CC7"/>
    <w:rsid w:val="00A613BF"/>
    <w:rsid w:val="00A715DD"/>
    <w:rsid w:val="00A96E02"/>
    <w:rsid w:val="00AC5C54"/>
    <w:rsid w:val="00B30491"/>
    <w:rsid w:val="00B556C1"/>
    <w:rsid w:val="00B5606C"/>
    <w:rsid w:val="00B76B53"/>
    <w:rsid w:val="00B961D2"/>
    <w:rsid w:val="00BC5185"/>
    <w:rsid w:val="00BD7513"/>
    <w:rsid w:val="00BF66ED"/>
    <w:rsid w:val="00C77F97"/>
    <w:rsid w:val="00CA1EC5"/>
    <w:rsid w:val="00CB1E79"/>
    <w:rsid w:val="00CF1331"/>
    <w:rsid w:val="00D15737"/>
    <w:rsid w:val="00D857B6"/>
    <w:rsid w:val="00DA13A5"/>
    <w:rsid w:val="00DD7E7B"/>
    <w:rsid w:val="00DE26C5"/>
    <w:rsid w:val="00DE466C"/>
    <w:rsid w:val="00E12969"/>
    <w:rsid w:val="00F14079"/>
    <w:rsid w:val="00F77ED8"/>
    <w:rsid w:val="041356D0"/>
    <w:rsid w:val="1AB93C72"/>
    <w:rsid w:val="21B80C45"/>
    <w:rsid w:val="2AF53755"/>
    <w:rsid w:val="3C1B2164"/>
    <w:rsid w:val="49821C8B"/>
    <w:rsid w:val="542F3B74"/>
    <w:rsid w:val="6BFD20D7"/>
    <w:rsid w:val="75F120FE"/>
    <w:rsid w:val="760F23A3"/>
    <w:rsid w:val="7B920DAE"/>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624" w:firstLineChars="200"/>
    </w:pPr>
    <w:rPr>
      <w:rFonts w:ascii="方正仿宋简体"/>
      <w:spacing w:val="30"/>
      <w:w w:val="80"/>
    </w:rPr>
  </w:style>
  <w:style w:type="paragraph" w:styleId="3">
    <w:name w:val="Plain Text"/>
    <w:basedOn w:val="1"/>
    <w:qFormat/>
    <w:uiPriority w:val="0"/>
    <w:rPr>
      <w:rFonts w:ascii="宋体" w:hAnsi="Courier New"/>
    </w:rPr>
  </w:style>
  <w:style w:type="paragraph" w:styleId="4">
    <w:name w:val="Body Text Indent 2"/>
    <w:basedOn w:val="1"/>
    <w:uiPriority w:val="0"/>
    <w:pPr>
      <w:ind w:firstLine="632" w:firstLineChars="2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99"/>
    <w:rPr>
      <w:b/>
      <w:bCs/>
    </w:rPr>
  </w:style>
  <w:style w:type="character" w:styleId="12">
    <w:name w:val="page number"/>
    <w:basedOn w:val="10"/>
    <w:qFormat/>
    <w:uiPriority w:val="0"/>
  </w:style>
  <w:style w:type="paragraph" w:customStyle="1" w:styleId="13">
    <w:name w:val="Char"/>
    <w:basedOn w:val="1"/>
    <w:qFormat/>
    <w:uiPriority w:val="0"/>
    <w:pPr>
      <w:spacing w:line="360" w:lineRule="auto"/>
    </w:pPr>
    <w:rPr>
      <w:rFonts w:ascii="仿宋_GB2312" w:eastAsia="仿宋_GB2312"/>
      <w:b/>
      <w:sz w:val="32"/>
      <w:szCs w:val="32"/>
    </w:rPr>
  </w:style>
  <w:style w:type="paragraph" w:customStyle="1" w:styleId="14">
    <w:name w:val="默认段落字体 Para Char Char Char Char Char Char Char"/>
    <w:basedOn w:val="1"/>
    <w:qFormat/>
    <w:uiPriority w:val="0"/>
    <w:rPr>
      <w:rFonts w:ascii="Tahoma" w:hAnsi="Tahoma"/>
      <w:sz w:val="24"/>
      <w:szCs w:val="20"/>
    </w:rPr>
  </w:style>
  <w:style w:type="paragraph" w:customStyle="1" w:styleId="15">
    <w:name w:val="Char Char Char Char"/>
    <w:basedOn w:val="1"/>
    <w:qFormat/>
    <w:uiPriority w:val="0"/>
    <w:pPr>
      <w:widowControl/>
      <w:spacing w:after="160" w:line="240" w:lineRule="exact"/>
      <w:jc w:val="left"/>
    </w:pPr>
    <w:rPr>
      <w:rFonts w:eastAsia="方正仿宋简体"/>
      <w:sz w:val="32"/>
      <w:szCs w:val="20"/>
    </w:rPr>
  </w:style>
  <w:style w:type="table" w:customStyle="1" w:styleId="16">
    <w:name w:val="无格式表格 31"/>
    <w:basedOn w:val="8"/>
    <w:qFormat/>
    <w:uiPriority w:val="0"/>
    <w:rPr>
      <w:rFonts w:hint="eastAsia" w:cs="等线"/>
    </w:rPr>
    <w:tblStylePr w:type="firstRow">
      <w:rPr>
        <w:b/>
        <w:bCs/>
        <w:caps/>
      </w:rPr>
      <w:tcPr>
        <w:tcBorders>
          <w:top w:val="nil"/>
          <w:left w:val="nil"/>
          <w:bottom w:val="single" w:color="7F7F7F" w:sz="4" w:space="0"/>
          <w:right w:val="nil"/>
          <w:insideH w:val="nil"/>
          <w:insideV w:val="nil"/>
          <w:tl2br w:val="nil"/>
          <w:tr2bl w:val="nil"/>
        </w:tcBorders>
      </w:tcPr>
    </w:tblStylePr>
    <w:tblStylePr w:type="lastRow">
      <w:rPr>
        <w:b/>
        <w:bCs/>
        <w:caps/>
      </w:rPr>
      <w:tcPr>
        <w:tcBorders>
          <w:top w:val="nil"/>
          <w:left w:val="nil"/>
          <w:bottom w:val="nil"/>
          <w:right w:val="nil"/>
          <w:insideH w:val="nil"/>
          <w:insideV w:val="nil"/>
          <w:tl2br w:val="nil"/>
          <w:tr2bl w:val="nil"/>
        </w:tcBorders>
      </w:tcPr>
    </w:tblStylePr>
    <w:tblStylePr w:type="firstCol">
      <w:rPr>
        <w:b/>
        <w:bCs/>
        <w:caps/>
      </w:rPr>
      <w:tcPr>
        <w:tcBorders>
          <w:top w:val="nil"/>
          <w:left w:val="nil"/>
          <w:bottom w:val="nil"/>
          <w:right w:val="single" w:color="7F7F7F" w:sz="4" w:space="0"/>
          <w:insideH w:val="nil"/>
          <w:insideV w:val="nil"/>
          <w:tl2br w:val="nil"/>
          <w:tr2bl w:val="nil"/>
        </w:tcBorders>
      </w:tcPr>
    </w:tblStylePr>
    <w:tblStylePr w:type="lastCol">
      <w:rPr>
        <w:b/>
        <w:bCs/>
        <w:caps/>
      </w:rPr>
      <w:tcPr>
        <w:tcBorders>
          <w:top w:val="nil"/>
          <w:left w:val="nil"/>
          <w:bottom w:val="nil"/>
          <w:right w:val="nil"/>
          <w:insideH w:val="nil"/>
          <w:insideV w:val="nil"/>
          <w:tl2br w:val="nil"/>
          <w:tr2bl w:val="nil"/>
        </w:tcBorders>
      </w:tcPr>
    </w:tblStylePr>
    <w:tblStylePr w:type="band1Vert">
      <w:tcPr>
        <w:shd w:val="clear" w:color="auto" w:fill="F2F2F2"/>
      </w:tcPr>
    </w:tblStylePr>
    <w:tblStylePr w:type="band1Horz">
      <w:tcPr>
        <w:shd w:val="clear" w:color="auto" w:fill="F2F2F2"/>
      </w:tcPr>
    </w:tblStylePr>
    <w:tblStylePr w:type="neCell">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nil"/>
          <w:tr2bl w:val="nil"/>
        </w:tcBorders>
      </w:tcPr>
    </w:tblStyle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Microsoft\Templates\&#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函</Template>
  <Company>xian</Company>
  <Pages>13</Pages>
  <Words>6971</Words>
  <Characters>7844</Characters>
  <Lines>6</Lines>
  <Paragraphs>14</Paragraphs>
  <TotalTime>0</TotalTime>
  <ScaleCrop>false</ScaleCrop>
  <LinksUpToDate>false</LinksUpToDate>
  <CharactersWithSpaces>7884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2019-10-21T03:12:00Z</dcterms:created>
  <dc:creator>User</dc:creator>
  <cp:lastModifiedBy>zhouqin</cp:lastModifiedBy>
  <cp:lastPrinted>2019-10-21T03:10:00Z</cp:lastPrinted>
  <dcterms:modified xsi:type="dcterms:W3CDTF">2024-11-14T08:06:21Z</dcterms:modified>
  <dc:title>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8C91CDD8213F4644BD108FF7C98917EA_12</vt:lpwstr>
  </property>
</Properties>
</file>