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阎良区人大</w:t>
      </w:r>
      <w:r>
        <w:rPr>
          <w:rFonts w:hint="eastAsia" w:ascii="黑体" w:eastAsia="黑体"/>
          <w:sz w:val="36"/>
          <w:szCs w:val="36"/>
          <w:lang w:eastAsia="zh-CN"/>
        </w:rPr>
        <w:t>机关</w:t>
      </w: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2016年部门预算情况说明</w:t>
      </w: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部门预算收支编制的依据</w:t>
      </w:r>
    </w:p>
    <w:p>
      <w:pPr>
        <w:ind w:firstLine="640" w:firstLineChars="200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根据《中华人民共和国预算法》、《中华人民共和国预算法实施条例》及《西安市财政局预算管理条例》的有关规定，按照《西安市阎良区财政局关于印发阎良区2016年度区级财政预算编制实施方案的通知》（阎财发〔2015〕77号）的规定，坚持收支平衡、精细科学、应收尽收的原则。</w:t>
      </w:r>
    </w:p>
    <w:p>
      <w:pPr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2、支出项目填报口径：</w:t>
      </w:r>
    </w:p>
    <w:p>
      <w:pPr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（1）基本支出：包括人员经费、商品和服务支出，其中人员经费包括工资福利支出、对个人和家庭的补助。</w:t>
      </w:r>
    </w:p>
    <w:p>
      <w:pPr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——工资福利支出：指在我单位开支的在职职工的各类劳动报酬,以及为上述人员缴纳的各类社会保险费等。</w:t>
      </w:r>
    </w:p>
    <w:p>
      <w:pPr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——对个人和家庭的补助支出：指用于对个人和家庭补助支出，主要包括：单位发放的离退休经费、生活补助、住房公积金等。</w:t>
      </w:r>
    </w:p>
    <w:p>
      <w:pPr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——商品和服务支出：指在我单位日常工作中购买商品和服务的支出，主要包括：办公费、水电费、交通费、差旅费、会议费、培训费等，不包括项目支出中购买商品和服务的支出。</w:t>
      </w:r>
    </w:p>
    <w:p>
      <w:pPr>
        <w:ind w:firstLine="640" w:firstLineChars="200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（2）项目支出：指根据职能职责为完成相关人大工作，在基本支出预算之外编制的年度项目支出计划。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27BA"/>
    <w:rsid w:val="00243B9C"/>
    <w:rsid w:val="00781048"/>
    <w:rsid w:val="00D827BA"/>
    <w:rsid w:val="5B515D86"/>
    <w:rsid w:val="72454EE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69</Words>
  <Characters>398</Characters>
  <Lines>3</Lines>
  <Paragraphs>1</Paragraphs>
  <ScaleCrop>false</ScaleCrop>
  <LinksUpToDate>false</LinksUpToDate>
  <CharactersWithSpaces>466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2016-03-08T02:18:00Z</dcterms:created>
  <dc:creator>微软用户</dc:creator>
  <cp:lastModifiedBy>Administrator</cp:lastModifiedBy>
  <dcterms:modified xsi:type="dcterms:W3CDTF">2016-03-17T09:18:51Z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