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after="0" w:line="560" w:lineRule="exact"/>
        <w:ind w:firstLine="880" w:firstLineChars="200"/>
        <w:jc w:val="center"/>
        <w:textAlignment w:val="auto"/>
        <w:rPr>
          <w:rFonts w:ascii="方正小标宋简体" w:eastAsia="方正小标宋简体"/>
          <w:sz w:val="44"/>
          <w:szCs w:val="44"/>
        </w:rPr>
      </w:pPr>
    </w:p>
    <w:p>
      <w:pPr>
        <w:keepNext w:val="0"/>
        <w:keepLines w:val="0"/>
        <w:pageBreakBefore w:val="0"/>
        <w:widowControl/>
        <w:kinsoku/>
        <w:wordWrap/>
        <w:overflowPunct/>
        <w:topLinePunct w:val="0"/>
        <w:autoSpaceDE/>
        <w:autoSpaceDN/>
        <w:bidi w:val="0"/>
        <w:adjustRightInd w:val="0"/>
        <w:snapToGrid w:val="0"/>
        <w:spacing w:after="0" w:line="560" w:lineRule="exact"/>
        <w:ind w:right="-482" w:rightChars="-219"/>
        <w:jc w:val="center"/>
        <w:textAlignment w:val="auto"/>
        <w:rPr>
          <w:rFonts w:hint="eastAsia" w:ascii="黑体" w:hAnsi="黑体" w:eastAsia="黑体" w:cs="黑体"/>
          <w:color w:val="auto"/>
          <w:sz w:val="44"/>
          <w:szCs w:val="44"/>
          <w:lang w:eastAsia="zh-CN"/>
        </w:rPr>
      </w:pPr>
      <w:r>
        <w:rPr>
          <w:rFonts w:hint="eastAsia" w:ascii="黑体" w:hAnsi="黑体" w:eastAsia="黑体" w:cs="黑体"/>
          <w:color w:val="auto"/>
          <w:sz w:val="44"/>
          <w:szCs w:val="44"/>
        </w:rPr>
        <w:t>西安市阎良区</w:t>
      </w:r>
      <w:r>
        <w:rPr>
          <w:rFonts w:hint="eastAsia" w:ascii="黑体" w:hAnsi="黑体" w:eastAsia="黑体" w:cs="黑体"/>
          <w:color w:val="auto"/>
          <w:sz w:val="44"/>
          <w:szCs w:val="44"/>
          <w:lang w:eastAsia="zh-CN"/>
        </w:rPr>
        <w:t>人大常委会办公室</w:t>
      </w:r>
    </w:p>
    <w:p>
      <w:pPr>
        <w:keepNext w:val="0"/>
        <w:keepLines w:val="0"/>
        <w:pageBreakBefore w:val="0"/>
        <w:widowControl/>
        <w:kinsoku/>
        <w:wordWrap/>
        <w:overflowPunct/>
        <w:topLinePunct w:val="0"/>
        <w:autoSpaceDE/>
        <w:autoSpaceDN/>
        <w:bidi w:val="0"/>
        <w:adjustRightInd w:val="0"/>
        <w:snapToGrid w:val="0"/>
        <w:spacing w:after="0" w:line="560" w:lineRule="exact"/>
        <w:ind w:right="-482" w:rightChars="-219"/>
        <w:jc w:val="center"/>
        <w:textAlignment w:val="auto"/>
        <w:rPr>
          <w:rFonts w:hint="eastAsia" w:ascii="黑体" w:hAnsi="黑体" w:eastAsia="黑体" w:cs="黑体"/>
          <w:color w:val="auto"/>
          <w:sz w:val="44"/>
          <w:szCs w:val="44"/>
        </w:rPr>
      </w:pPr>
      <w:r>
        <w:rPr>
          <w:rFonts w:hint="eastAsia" w:ascii="黑体" w:hAnsi="黑体" w:eastAsia="黑体" w:cs="黑体"/>
          <w:color w:val="auto"/>
          <w:sz w:val="44"/>
          <w:szCs w:val="44"/>
        </w:rPr>
        <w:t>2018年部门综合预算说明</w:t>
      </w:r>
    </w:p>
    <w:p>
      <w:pPr>
        <w:keepNext w:val="0"/>
        <w:keepLines w:val="0"/>
        <w:pageBreakBefore w:val="0"/>
        <w:widowControl/>
        <w:kinsoku/>
        <w:wordWrap/>
        <w:overflowPunct/>
        <w:topLinePunct w:val="0"/>
        <w:autoSpaceDE/>
        <w:autoSpaceDN/>
        <w:bidi w:val="0"/>
        <w:adjustRightInd w:val="0"/>
        <w:snapToGrid w:val="0"/>
        <w:spacing w:after="0" w:line="560" w:lineRule="exact"/>
        <w:ind w:left="-565" w:leftChars="-257" w:right="-482" w:rightChars="-219" w:firstLine="640" w:firstLineChars="200"/>
        <w:textAlignment w:val="auto"/>
        <w:rPr>
          <w:rFonts w:ascii="方正小标宋简体" w:eastAsia="方正小标宋简体"/>
          <w:sz w:val="32"/>
          <w:szCs w:val="32"/>
        </w:rPr>
      </w:pPr>
    </w:p>
    <w:p>
      <w:pPr>
        <w:keepNext w:val="0"/>
        <w:keepLines w:val="0"/>
        <w:pageBreakBefore w:val="0"/>
        <w:widowControl/>
        <w:kinsoku/>
        <w:wordWrap/>
        <w:overflowPunct/>
        <w:topLinePunct w:val="0"/>
        <w:autoSpaceDE/>
        <w:autoSpaceDN/>
        <w:bidi w:val="0"/>
        <w:adjustRightInd w:val="0"/>
        <w:snapToGrid w:val="0"/>
        <w:spacing w:after="0" w:line="560" w:lineRule="exact"/>
        <w:ind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部门主要职责</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仿宋_GB2312" w:eastAsia="仿宋_GB2312"/>
          <w:sz w:val="32"/>
          <w:szCs w:val="32"/>
          <w:lang w:eastAsia="zh-CN"/>
        </w:rPr>
        <w:t>区人大包含</w:t>
      </w:r>
      <w:r>
        <w:rPr>
          <w:rFonts w:hint="eastAsia" w:ascii="仿宋_GB2312" w:eastAsia="仿宋_GB2312"/>
          <w:sz w:val="32"/>
          <w:szCs w:val="32"/>
        </w:rPr>
        <w:t>两个专门委员会</w:t>
      </w:r>
      <w:r>
        <w:rPr>
          <w:rFonts w:hint="eastAsia" w:ascii="仿宋_GB2312" w:eastAsia="仿宋_GB2312"/>
          <w:sz w:val="32"/>
          <w:szCs w:val="32"/>
          <w:lang w:eastAsia="zh-CN"/>
        </w:rPr>
        <w:t>（人大法制委员会、人大财经委员会）和人大常委会</w:t>
      </w:r>
      <w:r>
        <w:rPr>
          <w:rFonts w:hint="eastAsia" w:ascii="仿宋_GB2312" w:eastAsia="仿宋_GB2312"/>
          <w:sz w:val="32"/>
          <w:szCs w:val="32"/>
        </w:rPr>
        <w:t>办公室</w:t>
      </w:r>
      <w:r>
        <w:rPr>
          <w:rFonts w:hint="eastAsia" w:ascii="仿宋_GB2312" w:eastAsia="仿宋_GB2312"/>
          <w:sz w:val="32"/>
          <w:szCs w:val="32"/>
          <w:lang w:val="en-US" w:eastAsia="zh-CN"/>
        </w:rPr>
        <w:t>以及</w:t>
      </w:r>
      <w:r>
        <w:rPr>
          <w:rFonts w:hint="eastAsia" w:ascii="仿宋_GB2312" w:eastAsia="仿宋_GB2312"/>
          <w:sz w:val="32"/>
          <w:szCs w:val="32"/>
        </w:rPr>
        <w:t>三个工作委员会</w:t>
      </w:r>
      <w:r>
        <w:rPr>
          <w:rFonts w:hint="eastAsia" w:ascii="仿宋_GB2312" w:eastAsia="仿宋_GB2312"/>
          <w:sz w:val="32"/>
          <w:szCs w:val="32"/>
          <w:lang w:eastAsia="zh-CN"/>
        </w:rPr>
        <w:t>（人大常委会人事代表选举工作委员会、人大常委会教科文卫工作委员会、人大常委会城建环资工作委员会</w:t>
      </w:r>
      <w:r>
        <w:rPr>
          <w:rFonts w:hint="eastAsia" w:ascii="仿宋_GB2312" w:eastAsia="仿宋_GB2312"/>
          <w:sz w:val="32"/>
          <w:szCs w:val="32"/>
          <w:lang w:val="en-US" w:eastAsia="zh-CN"/>
        </w:rPr>
        <w:t>)</w:t>
      </w:r>
      <w:r>
        <w:rPr>
          <w:rFonts w:hint="eastAsia" w:ascii="仿宋_GB2312" w:eastAsia="仿宋_GB2312"/>
          <w:sz w:val="32"/>
          <w:szCs w:val="32"/>
          <w:lang w:eastAsia="zh-CN"/>
        </w:rPr>
        <w:t>。</w:t>
      </w:r>
      <w:r>
        <w:rPr>
          <w:rFonts w:hint="eastAsia" w:ascii="仿宋_GB2312" w:eastAsia="仿宋_GB2312"/>
          <w:sz w:val="32"/>
          <w:szCs w:val="32"/>
        </w:rPr>
        <w:t>其中</w:t>
      </w:r>
      <w:r>
        <w:rPr>
          <w:rFonts w:hint="eastAsia" w:ascii="仿宋_GB2312" w:eastAsia="仿宋_GB2312"/>
          <w:sz w:val="32"/>
          <w:szCs w:val="32"/>
          <w:lang w:eastAsia="zh-CN"/>
        </w:rPr>
        <w:t>，</w:t>
      </w:r>
      <w:r>
        <w:rPr>
          <w:rFonts w:hint="eastAsia" w:ascii="仿宋_GB2312" w:eastAsia="仿宋_GB2312"/>
          <w:sz w:val="32"/>
          <w:szCs w:val="32"/>
        </w:rPr>
        <w:t>两个专门委员会各</w:t>
      </w:r>
      <w:r>
        <w:rPr>
          <w:rFonts w:hint="eastAsia" w:ascii="仿宋_GB2312" w:eastAsia="仿宋_GB2312"/>
          <w:sz w:val="32"/>
          <w:szCs w:val="32"/>
          <w:lang w:eastAsia="zh-CN"/>
        </w:rPr>
        <w:t>下</w:t>
      </w:r>
      <w:r>
        <w:rPr>
          <w:rFonts w:hint="eastAsia" w:ascii="仿宋_GB2312" w:eastAsia="仿宋_GB2312"/>
          <w:sz w:val="32"/>
          <w:szCs w:val="32"/>
        </w:rPr>
        <w:t>设一个</w:t>
      </w:r>
      <w:r>
        <w:rPr>
          <w:rFonts w:hint="eastAsia" w:ascii="仿宋_GB2312" w:eastAsia="仿宋_GB2312"/>
          <w:sz w:val="32"/>
          <w:szCs w:val="32"/>
          <w:lang w:eastAsia="zh-CN"/>
        </w:rPr>
        <w:t>综合科；人大常委会</w:t>
      </w:r>
      <w:r>
        <w:rPr>
          <w:rFonts w:hint="eastAsia" w:ascii="仿宋_GB2312" w:eastAsia="仿宋_GB2312"/>
          <w:sz w:val="32"/>
          <w:szCs w:val="32"/>
        </w:rPr>
        <w:t>办公室下设</w:t>
      </w:r>
      <w:r>
        <w:rPr>
          <w:rFonts w:hint="eastAsia" w:ascii="仿宋_GB2312" w:eastAsia="仿宋_GB2312"/>
          <w:sz w:val="32"/>
          <w:szCs w:val="32"/>
          <w:lang w:eastAsia="zh-CN"/>
        </w:rPr>
        <w:t>综合科和业务科。</w:t>
      </w:r>
    </w:p>
    <w:p>
      <w:pPr>
        <w:keepNext w:val="0"/>
        <w:keepLines w:val="0"/>
        <w:pageBreakBefore w:val="0"/>
        <w:widowControl/>
        <w:kinsoku/>
        <w:wordWrap/>
        <w:overflowPunct/>
        <w:topLinePunct w:val="0"/>
        <w:autoSpaceDE/>
        <w:autoSpaceDN/>
        <w:bidi w:val="0"/>
        <w:adjustRightInd w:val="0"/>
        <w:snapToGrid w:val="0"/>
        <w:spacing w:after="0" w:line="56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（一）依据宪法和有关法律的规定，行使监督职权。健全“一府两院”由人大产生、对人大负责、受人大监督制度，为区人大及其常委会发挥监督职能，做好服务保障。</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（二）坚持和完善人大讨论、决定重大事项制度，做好与区委、区政府、区政协及有关部门的工作联系。</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（三）负责联系在我区的全国、省、市、区人大代表，密切人大代表同群众的联系。负责人大代表有关活动的组织工作。</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（四）组织区人民代表大会换届选举工作，指导镇人民代表大会换届选举工作，承办人事任免等工作事项。</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（五）负责区人民代表大会、常务委员委会会议、主任会议以及其他重要会议、活动的组织和服务，负责区人民代表大会全体会议、常务委员委会会议、主任会议决议、决定的具体组织实施工作。</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（六）负责常委会执法检查、调查研究的协调保障工作，为人大代表视察、考察、调研及其重要活动做好组织服务工作。</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（七）受理人大代表和群众来信来访，督办和协调处理信访案件。</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（八）负责人民代表大会制度和人大工作的宣传和新闻报道工作。</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outlineLvl w:val="9"/>
        <w:rPr>
          <w:rFonts w:hint="eastAsia" w:ascii="仿宋_GB2312" w:eastAsia="仿宋_GB2312"/>
          <w:sz w:val="32"/>
          <w:szCs w:val="32"/>
          <w:lang w:eastAsia="zh-CN"/>
        </w:rPr>
      </w:pPr>
      <w:r>
        <w:rPr>
          <w:rFonts w:hint="eastAsia" w:ascii="仿宋_GB2312" w:eastAsia="仿宋_GB2312"/>
          <w:sz w:val="32"/>
          <w:szCs w:val="32"/>
        </w:rPr>
        <w:t>（九）承办区人大领导同志交办的其他事项。</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二、2018年年度部门工作任务</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黑体" w:eastAsia="黑体"/>
          <w:color w:val="000000"/>
          <w:sz w:val="32"/>
          <w:szCs w:val="32"/>
        </w:rPr>
      </w:pPr>
      <w:r>
        <w:rPr>
          <w:rFonts w:hint="eastAsia" w:ascii="仿宋_GB2312" w:eastAsia="仿宋_GB2312"/>
          <w:color w:val="000000"/>
          <w:sz w:val="32"/>
          <w:szCs w:val="32"/>
        </w:rPr>
        <w:t>2018年是全面贯彻落实十九大精神的开局之年。区人大常委会工作的总体安排是：</w:t>
      </w:r>
      <w:r>
        <w:rPr>
          <w:rFonts w:hint="eastAsia" w:ascii="黑体" w:eastAsia="黑体"/>
          <w:color w:val="000000"/>
          <w:sz w:val="32"/>
          <w:szCs w:val="32"/>
        </w:rPr>
        <w:t>认真贯彻落实党的十九大和区委十一届三次全会精神，按照习近平总书记关于“努力将各级人大及其常委会建设成为全面担负起宪法法律赋予的各项职责的工作机关、成为同人民群众保持密切联系的代表机关”的总要求和我区追赶超越的工作需要，坚持围绕中心、服务大局，依法履职、务求实效，促进“一环五片区”发展布局和“十项赶超行动”的全面实施，为加快建设中国航空城和法治阎良贡献人大力量。</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3" w:firstLineChars="200"/>
        <w:jc w:val="both"/>
        <w:textAlignment w:val="auto"/>
        <w:rPr>
          <w:rFonts w:hint="eastAsia" w:ascii="黑体" w:eastAsia="黑体"/>
          <w:color w:val="000000"/>
          <w:sz w:val="32"/>
          <w:szCs w:val="32"/>
        </w:rPr>
      </w:pPr>
      <w:r>
        <w:rPr>
          <w:rFonts w:hint="eastAsia" w:ascii="楷体_GB2312" w:eastAsia="楷体_GB2312"/>
          <w:b/>
          <w:color w:val="000000"/>
          <w:sz w:val="32"/>
          <w:szCs w:val="32"/>
        </w:rPr>
        <w:t>（一）</w:t>
      </w:r>
      <w:r>
        <w:rPr>
          <w:rFonts w:hint="eastAsia" w:ascii="黑体" w:eastAsia="黑体"/>
          <w:color w:val="000000"/>
          <w:sz w:val="32"/>
          <w:szCs w:val="32"/>
        </w:rPr>
        <w:t>围绕中心，服务大局</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3" w:firstLineChars="200"/>
        <w:jc w:val="both"/>
        <w:textAlignment w:val="auto"/>
        <w:rPr>
          <w:rFonts w:hint="eastAsia" w:ascii="仿宋_GB2312" w:eastAsia="仿宋_GB2312"/>
          <w:color w:val="000000"/>
          <w:sz w:val="32"/>
          <w:szCs w:val="32"/>
        </w:rPr>
      </w:pPr>
      <w:r>
        <w:rPr>
          <w:rFonts w:hint="eastAsia" w:ascii="楷体_GB2312" w:eastAsia="楷体_GB2312"/>
          <w:b/>
          <w:color w:val="000000"/>
          <w:sz w:val="32"/>
          <w:szCs w:val="32"/>
          <w:lang w:val="en-US" w:eastAsia="zh-CN"/>
        </w:rPr>
        <w:t>1、</w:t>
      </w:r>
      <w:r>
        <w:rPr>
          <w:rFonts w:hint="eastAsia" w:ascii="楷体_GB2312" w:eastAsia="楷体_GB2312"/>
          <w:b/>
          <w:color w:val="000000"/>
          <w:sz w:val="32"/>
          <w:szCs w:val="32"/>
        </w:rPr>
        <w:t>扎实落实“谋事一体、责任共担、合力攻坚”工作要求。</w:t>
      </w:r>
      <w:r>
        <w:rPr>
          <w:rFonts w:hint="eastAsia" w:ascii="仿宋_GB2312" w:eastAsia="仿宋_GB2312"/>
          <w:color w:val="000000"/>
          <w:sz w:val="32"/>
          <w:szCs w:val="32"/>
        </w:rPr>
        <w:t>主动围绕招商引资项目落实、重点项目推进、“四改两拆”、民生工程建设等重点工作，深入一线，定期督查，推动工作落实。</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3" w:firstLineChars="200"/>
        <w:jc w:val="both"/>
        <w:textAlignment w:val="auto"/>
        <w:rPr>
          <w:rFonts w:hint="eastAsia" w:ascii="仿宋_GB2312" w:eastAsia="仿宋_GB2312"/>
          <w:color w:val="000000"/>
          <w:sz w:val="32"/>
          <w:szCs w:val="32"/>
        </w:rPr>
      </w:pPr>
      <w:r>
        <w:rPr>
          <w:rFonts w:hint="eastAsia" w:ascii="楷体_GB2312" w:eastAsia="楷体_GB2312"/>
          <w:b/>
          <w:color w:val="000000"/>
          <w:sz w:val="32"/>
          <w:szCs w:val="32"/>
          <w:lang w:val="en-US" w:eastAsia="zh-CN"/>
        </w:rPr>
        <w:t>2、</w:t>
      </w:r>
      <w:r>
        <w:rPr>
          <w:rFonts w:hint="eastAsia" w:ascii="楷体_GB2312" w:eastAsia="楷体_GB2312"/>
          <w:b/>
          <w:color w:val="000000"/>
          <w:sz w:val="32"/>
          <w:szCs w:val="32"/>
        </w:rPr>
        <w:t>积极推进民主法治领域改革。</w:t>
      </w:r>
      <w:r>
        <w:rPr>
          <w:rFonts w:hint="eastAsia" w:ascii="仿宋_GB2312" w:eastAsia="仿宋_GB2312"/>
          <w:color w:val="000000"/>
          <w:sz w:val="32"/>
          <w:szCs w:val="32"/>
        </w:rPr>
        <w:t>切实担负起民主法治领域改革领导小组联络员单位职责，制定好年度工作计划，及时组织召开推进会，确保改革任务全面完成。</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3" w:firstLineChars="200"/>
        <w:jc w:val="both"/>
        <w:textAlignment w:val="auto"/>
        <w:rPr>
          <w:rFonts w:hint="eastAsia" w:ascii="黑体" w:eastAsia="黑体"/>
          <w:color w:val="000000"/>
          <w:sz w:val="32"/>
          <w:szCs w:val="32"/>
        </w:rPr>
      </w:pPr>
      <w:r>
        <w:rPr>
          <w:rFonts w:hint="eastAsia" w:ascii="楷体_GB2312" w:eastAsia="楷体_GB2312"/>
          <w:b/>
          <w:color w:val="000000"/>
          <w:sz w:val="32"/>
          <w:szCs w:val="32"/>
          <w:lang w:val="en-US" w:eastAsia="zh-CN"/>
        </w:rPr>
        <w:t>3、</w:t>
      </w:r>
      <w:r>
        <w:rPr>
          <w:rFonts w:hint="eastAsia" w:ascii="楷体_GB2312" w:eastAsia="楷体_GB2312"/>
          <w:b/>
          <w:color w:val="000000"/>
          <w:sz w:val="32"/>
          <w:szCs w:val="32"/>
        </w:rPr>
        <w:t>认真组织召开人代会、常委会会议。</w:t>
      </w:r>
      <w:r>
        <w:rPr>
          <w:rFonts w:hint="eastAsia" w:ascii="仿宋_GB2312" w:eastAsia="仿宋_GB2312"/>
          <w:color w:val="000000"/>
          <w:sz w:val="32"/>
          <w:szCs w:val="32"/>
        </w:rPr>
        <w:t>及时将党委决策部署通过法律途径转化为人民群众的共同意志，依法选举任命阎良区监察委员会，及时督促“一府一委两院”专项工作落实。坚持党管干部与人大依法任免相统一，依法任免国家机关工作人员。</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00"/>
        <w:jc w:val="both"/>
        <w:textAlignment w:val="auto"/>
        <w:rPr>
          <w:rFonts w:hint="eastAsia" w:ascii="黑体" w:eastAsia="黑体"/>
          <w:color w:val="000000"/>
          <w:sz w:val="32"/>
          <w:szCs w:val="32"/>
        </w:rPr>
      </w:pPr>
      <w:r>
        <w:rPr>
          <w:rFonts w:hint="eastAsia" w:ascii="楷体_GB2312" w:eastAsia="楷体_GB2312"/>
          <w:b/>
          <w:color w:val="000000"/>
          <w:sz w:val="32"/>
          <w:szCs w:val="32"/>
        </w:rPr>
        <w:t>（二）</w:t>
      </w:r>
      <w:r>
        <w:rPr>
          <w:rFonts w:hint="eastAsia" w:ascii="黑体" w:eastAsia="黑体"/>
          <w:color w:val="000000"/>
          <w:sz w:val="32"/>
          <w:szCs w:val="32"/>
        </w:rPr>
        <w:t>突出重点，依法履职</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00"/>
        <w:jc w:val="both"/>
        <w:textAlignment w:val="auto"/>
        <w:rPr>
          <w:rFonts w:hint="eastAsia" w:ascii="仿宋_GB2312" w:eastAsia="仿宋_GB2312"/>
          <w:color w:val="000000"/>
          <w:sz w:val="32"/>
          <w:szCs w:val="32"/>
        </w:rPr>
      </w:pPr>
      <w:r>
        <w:rPr>
          <w:rFonts w:hint="eastAsia" w:ascii="楷体_GB2312" w:eastAsia="楷体_GB2312"/>
          <w:b/>
          <w:color w:val="000000"/>
          <w:sz w:val="32"/>
          <w:szCs w:val="32"/>
          <w:lang w:val="en-US" w:eastAsia="zh-CN"/>
        </w:rPr>
        <w:t>1、</w:t>
      </w:r>
      <w:r>
        <w:rPr>
          <w:rFonts w:hint="eastAsia" w:ascii="楷体_GB2312" w:eastAsia="楷体_GB2312"/>
          <w:b/>
          <w:color w:val="000000"/>
          <w:w w:val="105"/>
          <w:sz w:val="32"/>
          <w:szCs w:val="32"/>
        </w:rPr>
        <w:t>认真行使好重大事项决定权。</w:t>
      </w:r>
      <w:r>
        <w:rPr>
          <w:rFonts w:hint="eastAsia" w:ascii="仿宋_GB2312" w:eastAsia="仿宋_GB2312"/>
          <w:color w:val="000000"/>
          <w:sz w:val="32"/>
          <w:szCs w:val="32"/>
        </w:rPr>
        <w:t>结合中央和省市文件，及时制定《关于健全人大讨论决定重大事项制度，政府重大决策出台前向本级人大报告的实施意见》，进一步明确人大讨论决定重大事项的范围，规范工作程序。强化对人大决定事项的跟踪监督，尤其是对全区重点工程、重大融资项目的监督，确保决定事项全面落实到位。</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00"/>
        <w:jc w:val="both"/>
        <w:textAlignment w:val="auto"/>
        <w:rPr>
          <w:rFonts w:hint="eastAsia" w:ascii="仿宋_GB2312" w:eastAsia="仿宋_GB2312"/>
          <w:color w:val="000000"/>
          <w:sz w:val="32"/>
          <w:szCs w:val="32"/>
        </w:rPr>
      </w:pPr>
      <w:r>
        <w:rPr>
          <w:rFonts w:hint="eastAsia" w:ascii="楷体_GB2312" w:eastAsia="楷体_GB2312"/>
          <w:b/>
          <w:color w:val="000000"/>
          <w:sz w:val="32"/>
          <w:szCs w:val="32"/>
          <w:lang w:val="en-US" w:eastAsia="zh-CN"/>
        </w:rPr>
        <w:t>2、</w:t>
      </w:r>
      <w:r>
        <w:rPr>
          <w:rFonts w:hint="eastAsia" w:ascii="楷体_GB2312" w:eastAsia="楷体_GB2312"/>
          <w:b/>
          <w:color w:val="000000"/>
          <w:sz w:val="32"/>
          <w:szCs w:val="32"/>
        </w:rPr>
        <w:t>突出追赶超越主题，及时听取和审议专项工作报告。</w:t>
      </w:r>
      <w:r>
        <w:rPr>
          <w:rFonts w:hint="eastAsia" w:ascii="仿宋_GB2312" w:eastAsia="仿宋_GB2312"/>
          <w:color w:val="000000"/>
          <w:sz w:val="32"/>
          <w:szCs w:val="32"/>
        </w:rPr>
        <w:t>以推进落实区委关于“补短板、促赶超”的工作部署为重点，听取军民融合战略实施、民营经济发展、城乡治理等专项工作报告。</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00"/>
        <w:jc w:val="both"/>
        <w:textAlignment w:val="auto"/>
        <w:rPr>
          <w:rFonts w:hint="eastAsia" w:ascii="仿宋_GB2312" w:eastAsia="仿宋_GB2312"/>
          <w:color w:val="000000"/>
          <w:sz w:val="32"/>
          <w:szCs w:val="32"/>
        </w:rPr>
      </w:pPr>
      <w:r>
        <w:rPr>
          <w:rFonts w:hint="eastAsia" w:ascii="楷体_GB2312" w:eastAsia="楷体_GB2312"/>
          <w:b/>
          <w:color w:val="000000"/>
          <w:sz w:val="32"/>
          <w:szCs w:val="32"/>
          <w:lang w:val="en-US" w:eastAsia="zh-CN"/>
        </w:rPr>
        <w:t>3、</w:t>
      </w:r>
      <w:r>
        <w:rPr>
          <w:rFonts w:hint="eastAsia" w:ascii="楷体_GB2312" w:eastAsia="楷体_GB2312"/>
          <w:b/>
          <w:color w:val="000000"/>
          <w:sz w:val="32"/>
          <w:szCs w:val="32"/>
        </w:rPr>
        <w:t>积极开展专题询问。</w:t>
      </w:r>
      <w:r>
        <w:rPr>
          <w:rFonts w:hint="eastAsia" w:ascii="仿宋_GB2312" w:eastAsia="仿宋_GB2312"/>
          <w:color w:val="000000"/>
          <w:sz w:val="32"/>
          <w:szCs w:val="32"/>
        </w:rPr>
        <w:t>围绕行政效能革命、征地拆迁、居民小区物业管理等重点工作强化刚性监督，及时组织专题询问，促进工作落实。</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00"/>
        <w:jc w:val="both"/>
        <w:textAlignment w:val="auto"/>
        <w:rPr>
          <w:rFonts w:hint="eastAsia" w:ascii="仿宋_GB2312" w:eastAsia="仿宋_GB2312"/>
          <w:color w:val="000000"/>
          <w:sz w:val="32"/>
          <w:szCs w:val="32"/>
        </w:rPr>
      </w:pPr>
      <w:r>
        <w:rPr>
          <w:rFonts w:hint="eastAsia" w:ascii="楷体_GB2312" w:eastAsia="楷体_GB2312"/>
          <w:b/>
          <w:color w:val="000000"/>
          <w:sz w:val="32"/>
          <w:szCs w:val="32"/>
          <w:lang w:val="en-US" w:eastAsia="zh-CN"/>
        </w:rPr>
        <w:t>4、</w:t>
      </w:r>
      <w:r>
        <w:rPr>
          <w:rFonts w:hint="eastAsia" w:ascii="楷体_GB2312" w:eastAsia="楷体_GB2312"/>
          <w:b/>
          <w:color w:val="000000"/>
          <w:w w:val="105"/>
          <w:sz w:val="32"/>
          <w:szCs w:val="32"/>
        </w:rPr>
        <w:t>开展人大代表约见国家机关负责人工作试点。</w:t>
      </w:r>
      <w:r>
        <w:rPr>
          <w:rFonts w:hint="eastAsia" w:ascii="仿宋_GB2312" w:eastAsia="仿宋_GB2312"/>
          <w:color w:val="000000"/>
          <w:sz w:val="32"/>
          <w:szCs w:val="32"/>
        </w:rPr>
        <w:t>对人民群众、人大代表普遍关注的重点工作进行梳理，及时组织相关代表约见国家机关有关负责同志，面对面反映问题、提出建议，实现代表建议与工作落实的无缝对接。</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00"/>
        <w:jc w:val="both"/>
        <w:textAlignment w:val="auto"/>
        <w:rPr>
          <w:rFonts w:hint="eastAsia" w:ascii="仿宋_GB2312" w:eastAsia="仿宋_GB2312"/>
          <w:color w:val="000000"/>
          <w:sz w:val="32"/>
          <w:szCs w:val="32"/>
        </w:rPr>
      </w:pPr>
      <w:r>
        <w:rPr>
          <w:rFonts w:hint="eastAsia" w:ascii="楷体_GB2312" w:eastAsia="楷体_GB2312"/>
          <w:b/>
          <w:color w:val="000000"/>
          <w:sz w:val="32"/>
          <w:szCs w:val="32"/>
          <w:lang w:val="en-US" w:eastAsia="zh-CN"/>
        </w:rPr>
        <w:t>5、</w:t>
      </w:r>
      <w:r>
        <w:rPr>
          <w:rFonts w:hint="eastAsia" w:ascii="楷体_GB2312" w:eastAsia="楷体_GB2312"/>
          <w:b/>
          <w:color w:val="000000"/>
          <w:w w:val="105"/>
          <w:sz w:val="32"/>
          <w:szCs w:val="32"/>
        </w:rPr>
        <w:t>积极开展执法检查。</w:t>
      </w:r>
      <w:r>
        <w:rPr>
          <w:rFonts w:hint="eastAsia" w:ascii="仿宋_GB2312" w:eastAsia="仿宋_GB2312"/>
          <w:color w:val="000000"/>
          <w:sz w:val="32"/>
          <w:szCs w:val="32"/>
        </w:rPr>
        <w:t>重点围绕《城乡规划法》、《食品安全法》等法律贯彻落实开展执法检查，促进法律在我区有效实施。</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00"/>
        <w:jc w:val="both"/>
        <w:textAlignment w:val="auto"/>
        <w:rPr>
          <w:rFonts w:hint="eastAsia" w:ascii="黑体" w:eastAsia="黑体"/>
          <w:color w:val="000000"/>
          <w:sz w:val="32"/>
          <w:szCs w:val="32"/>
        </w:rPr>
      </w:pPr>
      <w:r>
        <w:rPr>
          <w:rFonts w:hint="eastAsia" w:ascii="楷体_GB2312" w:eastAsia="楷体_GB2312"/>
          <w:b/>
          <w:color w:val="000000"/>
          <w:sz w:val="32"/>
          <w:szCs w:val="32"/>
        </w:rPr>
        <w:t>（三）</w:t>
      </w:r>
      <w:r>
        <w:rPr>
          <w:rFonts w:hint="eastAsia" w:ascii="黑体" w:eastAsia="黑体"/>
          <w:color w:val="000000"/>
          <w:sz w:val="32"/>
          <w:szCs w:val="32"/>
        </w:rPr>
        <w:t>服务代表，凝聚合力</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00"/>
        <w:jc w:val="both"/>
        <w:textAlignment w:val="auto"/>
        <w:rPr>
          <w:rFonts w:hint="eastAsia" w:ascii="仿宋_GB2312" w:eastAsia="仿宋_GB2312"/>
          <w:color w:val="000000"/>
          <w:sz w:val="32"/>
          <w:szCs w:val="32"/>
        </w:rPr>
      </w:pPr>
      <w:r>
        <w:rPr>
          <w:rFonts w:hint="eastAsia" w:ascii="楷体_GB2312" w:eastAsia="楷体_GB2312"/>
          <w:b/>
          <w:color w:val="000000"/>
          <w:sz w:val="32"/>
          <w:szCs w:val="32"/>
          <w:lang w:val="en-US" w:eastAsia="zh-CN"/>
        </w:rPr>
        <w:t>1、</w:t>
      </w:r>
      <w:r>
        <w:rPr>
          <w:rFonts w:hint="eastAsia" w:ascii="楷体_GB2312" w:eastAsia="楷体_GB2312"/>
          <w:b/>
          <w:color w:val="000000"/>
          <w:sz w:val="32"/>
          <w:szCs w:val="32"/>
        </w:rPr>
        <w:t>强化代表培训工作。</w:t>
      </w:r>
      <w:r>
        <w:rPr>
          <w:rFonts w:hint="eastAsia" w:ascii="仿宋_GB2312" w:eastAsia="仿宋_GB2312"/>
          <w:color w:val="000000"/>
          <w:sz w:val="32"/>
          <w:szCs w:val="32"/>
        </w:rPr>
        <w:t>将代表培训纳入全区干部教育培训计划，组织常委会组成人员和区人大代表赴发达地区学习考察先进工作经验，参加全国和省市人大系统专题培训，认真举办好相关法律培训活动，进一步提升代表履职能力。</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00"/>
        <w:jc w:val="both"/>
        <w:textAlignment w:val="auto"/>
        <w:rPr>
          <w:rFonts w:hint="eastAsia" w:ascii="仿宋_GB2312" w:eastAsia="仿宋_GB2312"/>
          <w:color w:val="000000"/>
          <w:sz w:val="32"/>
          <w:szCs w:val="32"/>
        </w:rPr>
      </w:pPr>
      <w:r>
        <w:rPr>
          <w:rFonts w:hint="eastAsia" w:ascii="楷体_GB2312" w:eastAsia="楷体_GB2312"/>
          <w:b/>
          <w:color w:val="000000"/>
          <w:sz w:val="32"/>
          <w:szCs w:val="32"/>
          <w:lang w:val="en-US" w:eastAsia="zh-CN"/>
        </w:rPr>
        <w:t>2、</w:t>
      </w:r>
      <w:r>
        <w:rPr>
          <w:rFonts w:hint="eastAsia" w:ascii="楷体_GB2312" w:eastAsia="楷体_GB2312"/>
          <w:b/>
          <w:color w:val="000000"/>
          <w:sz w:val="32"/>
          <w:szCs w:val="32"/>
        </w:rPr>
        <w:t>开展人大代表工作室建设提升年活动。</w:t>
      </w:r>
      <w:r>
        <w:rPr>
          <w:rFonts w:hint="eastAsia" w:ascii="仿宋_GB2312" w:eastAsia="仿宋_GB2312"/>
          <w:color w:val="000000"/>
          <w:sz w:val="32"/>
          <w:szCs w:val="32"/>
        </w:rPr>
        <w:t>通过组织代表轮流接待群众、集中学习、经验交流现场会等活动，进一步发挥好代表工作室联系群众、促进学习交流的平台作用。</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00"/>
        <w:jc w:val="both"/>
        <w:textAlignment w:val="auto"/>
        <w:rPr>
          <w:rFonts w:hint="eastAsia" w:ascii="仿宋_GB2312" w:eastAsia="仿宋_GB2312"/>
          <w:color w:val="000000"/>
          <w:w w:val="98"/>
          <w:sz w:val="32"/>
          <w:szCs w:val="32"/>
        </w:rPr>
      </w:pPr>
      <w:r>
        <w:rPr>
          <w:rFonts w:hint="eastAsia" w:ascii="楷体_GB2312" w:eastAsia="楷体_GB2312"/>
          <w:b/>
          <w:color w:val="000000"/>
          <w:sz w:val="32"/>
          <w:szCs w:val="32"/>
          <w:lang w:val="en-US" w:eastAsia="zh-CN"/>
        </w:rPr>
        <w:t>3、</w:t>
      </w:r>
      <w:r>
        <w:rPr>
          <w:rFonts w:hint="eastAsia" w:ascii="楷体_GB2312" w:eastAsia="楷体_GB2312"/>
          <w:b/>
          <w:color w:val="000000"/>
          <w:sz w:val="32"/>
          <w:szCs w:val="32"/>
        </w:rPr>
        <w:t>不断拓展代表履职渠道。</w:t>
      </w:r>
      <w:r>
        <w:rPr>
          <w:rFonts w:hint="eastAsia" w:ascii="仿宋_GB2312" w:eastAsia="仿宋_GB2312"/>
          <w:color w:val="000000"/>
          <w:sz w:val="32"/>
          <w:szCs w:val="32"/>
        </w:rPr>
        <w:t>组织好政情通报会，深入开展</w:t>
      </w:r>
      <w:r>
        <w:rPr>
          <w:rFonts w:hint="eastAsia" w:ascii="仿宋_GB2312" w:eastAsia="仿宋_GB2312"/>
          <w:color w:val="000000"/>
          <w:w w:val="98"/>
          <w:sz w:val="32"/>
          <w:szCs w:val="32"/>
        </w:rPr>
        <w:t>人大代表旁听区人民法院庭审工作，加大代表会前集中视察、调研活动力度，调动并发挥好代表为全区经济社会发展建言献策的积极性。</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00"/>
        <w:jc w:val="both"/>
        <w:textAlignment w:val="auto"/>
        <w:rPr>
          <w:rFonts w:hint="eastAsia" w:ascii="黑体" w:eastAsia="黑体"/>
          <w:color w:val="000000"/>
          <w:sz w:val="32"/>
          <w:szCs w:val="32"/>
        </w:rPr>
      </w:pPr>
      <w:r>
        <w:rPr>
          <w:rFonts w:hint="eastAsia" w:ascii="楷体_GB2312" w:eastAsia="楷体_GB2312"/>
          <w:b/>
          <w:color w:val="000000"/>
          <w:sz w:val="32"/>
          <w:szCs w:val="32"/>
          <w:lang w:val="en-US" w:eastAsia="zh-CN"/>
        </w:rPr>
        <w:t>4、</w:t>
      </w:r>
      <w:r>
        <w:rPr>
          <w:rFonts w:hint="eastAsia" w:ascii="楷体_GB2312" w:eastAsia="楷体_GB2312"/>
          <w:b/>
          <w:color w:val="000000"/>
          <w:sz w:val="32"/>
          <w:szCs w:val="32"/>
        </w:rPr>
        <w:t>开展好代表向原选区选民述职工作。</w:t>
      </w:r>
      <w:r>
        <w:rPr>
          <w:rFonts w:hint="eastAsia" w:ascii="仿宋_GB2312" w:eastAsia="仿宋_GB2312"/>
          <w:color w:val="000000"/>
          <w:sz w:val="32"/>
          <w:szCs w:val="32"/>
        </w:rPr>
        <w:t>以各代表小组为单位，年内安排2—3名人大代表向选区选民述职，以此提升代表履职的责任感和使命感。</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00"/>
        <w:jc w:val="both"/>
        <w:textAlignment w:val="auto"/>
        <w:rPr>
          <w:rFonts w:hint="eastAsia" w:ascii="仿宋_GB2312" w:eastAsia="仿宋_GB2312"/>
          <w:color w:val="000000"/>
          <w:sz w:val="32"/>
          <w:szCs w:val="32"/>
        </w:rPr>
      </w:pPr>
      <w:r>
        <w:rPr>
          <w:rFonts w:hint="eastAsia" w:ascii="楷体_GB2312" w:eastAsia="楷体_GB2312"/>
          <w:b/>
          <w:color w:val="000000"/>
          <w:sz w:val="32"/>
          <w:szCs w:val="32"/>
          <w:lang w:val="en-US" w:eastAsia="zh-CN"/>
        </w:rPr>
        <w:t>5、</w:t>
      </w:r>
      <w:r>
        <w:rPr>
          <w:rFonts w:hint="eastAsia" w:ascii="楷体_GB2312" w:eastAsia="楷体_GB2312"/>
          <w:b/>
          <w:color w:val="000000"/>
          <w:sz w:val="32"/>
          <w:szCs w:val="32"/>
        </w:rPr>
        <w:t>强化代表建议办理督办工作。</w:t>
      </w:r>
      <w:r>
        <w:rPr>
          <w:rFonts w:hint="eastAsia" w:ascii="仿宋_GB2312" w:eastAsia="仿宋_GB2312"/>
          <w:color w:val="000000"/>
          <w:sz w:val="32"/>
          <w:szCs w:val="32"/>
        </w:rPr>
        <w:t>加大代表建议集中督办工作力度，开展1-2次由常委会领导带队的集中督办活动。按照新出台的《代表建议办理工作绩效评估暂行办法》，积极开展代表建议办理绩效评估工作，进一步提高办理质量。</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00"/>
        <w:jc w:val="both"/>
        <w:textAlignment w:val="auto"/>
        <w:rPr>
          <w:rFonts w:hint="eastAsia" w:ascii="仿宋_GB2312" w:eastAsia="仿宋_GB2312"/>
          <w:color w:val="000000"/>
          <w:sz w:val="32"/>
          <w:szCs w:val="32"/>
        </w:rPr>
      </w:pPr>
      <w:r>
        <w:rPr>
          <w:rFonts w:hint="eastAsia" w:ascii="楷体_GB2312" w:eastAsia="楷体_GB2312"/>
          <w:b/>
          <w:color w:val="000000"/>
          <w:sz w:val="32"/>
          <w:szCs w:val="32"/>
          <w:lang w:val="en-US" w:eastAsia="zh-CN"/>
        </w:rPr>
        <w:t>6、</w:t>
      </w:r>
      <w:r>
        <w:rPr>
          <w:rFonts w:hint="eastAsia" w:ascii="楷体_GB2312" w:eastAsia="楷体_GB2312"/>
          <w:b/>
          <w:color w:val="000000"/>
          <w:sz w:val="32"/>
          <w:szCs w:val="32"/>
        </w:rPr>
        <w:t>支持镇街人大依法开展工作。</w:t>
      </w:r>
      <w:r>
        <w:rPr>
          <w:rFonts w:hint="eastAsia" w:ascii="仿宋_GB2312" w:eastAsia="仿宋_GB2312"/>
          <w:color w:val="000000"/>
          <w:sz w:val="32"/>
          <w:szCs w:val="32"/>
        </w:rPr>
        <w:t>由区人大常委会领导带头，全体机关干部每年到镇街开展一次走访活动，参加一次代表小组活动，开展一次送法律、送政策活动，促进基层人大工作不断迈上新台阶。</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00"/>
        <w:jc w:val="both"/>
        <w:textAlignment w:val="auto"/>
        <w:rPr>
          <w:rFonts w:hint="eastAsia" w:ascii="黑体" w:eastAsia="黑体"/>
          <w:color w:val="000000"/>
          <w:sz w:val="32"/>
          <w:szCs w:val="32"/>
        </w:rPr>
      </w:pPr>
      <w:r>
        <w:rPr>
          <w:rFonts w:hint="eastAsia" w:ascii="楷体_GB2312" w:eastAsia="楷体_GB2312"/>
          <w:b/>
          <w:color w:val="000000"/>
          <w:sz w:val="32"/>
          <w:szCs w:val="32"/>
        </w:rPr>
        <w:t>（四）</w:t>
      </w:r>
      <w:r>
        <w:rPr>
          <w:rFonts w:hint="eastAsia" w:ascii="黑体" w:eastAsia="黑体"/>
          <w:color w:val="000000"/>
          <w:sz w:val="32"/>
          <w:szCs w:val="32"/>
        </w:rPr>
        <w:t>强化党建，打造铁军</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00"/>
        <w:jc w:val="both"/>
        <w:textAlignment w:val="auto"/>
        <w:rPr>
          <w:rFonts w:hint="eastAsia" w:ascii="仿宋_GB2312" w:eastAsia="仿宋_GB2312"/>
          <w:color w:val="000000"/>
          <w:sz w:val="32"/>
          <w:szCs w:val="32"/>
        </w:rPr>
      </w:pPr>
      <w:r>
        <w:rPr>
          <w:rFonts w:hint="eastAsia" w:ascii="楷体_GB2312" w:eastAsia="楷体_GB2312"/>
          <w:b/>
          <w:color w:val="000000"/>
          <w:sz w:val="32"/>
          <w:szCs w:val="32"/>
          <w:lang w:val="en-US" w:eastAsia="zh-CN"/>
        </w:rPr>
        <w:t>1、</w:t>
      </w:r>
      <w:r>
        <w:rPr>
          <w:rFonts w:hint="eastAsia" w:ascii="楷体_GB2312" w:eastAsia="楷体_GB2312"/>
          <w:b/>
          <w:color w:val="000000"/>
          <w:sz w:val="32"/>
          <w:szCs w:val="32"/>
        </w:rPr>
        <w:t>坚持用习近平新时代中国特色社会主义思想武装头脑。</w:t>
      </w:r>
      <w:r>
        <w:rPr>
          <w:rFonts w:hint="eastAsia" w:ascii="仿宋_GB2312" w:eastAsia="仿宋_GB2312"/>
          <w:color w:val="000000"/>
          <w:sz w:val="32"/>
          <w:szCs w:val="32"/>
        </w:rPr>
        <w:t>深入学习贯彻党的十九大精神，按照中央和省市区委要求，认真开展“不忘初心、牢记使命”主题教育，持续推进“两学一做”学习教育常态化、制度化，全面提升常委会组成人员及全体机关干部的政治素质。</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00"/>
        <w:jc w:val="both"/>
        <w:textAlignment w:val="auto"/>
        <w:rPr>
          <w:rFonts w:hint="eastAsia" w:ascii="仿宋_GB2312" w:eastAsia="仿宋_GB2312"/>
          <w:color w:val="000000"/>
          <w:sz w:val="32"/>
          <w:szCs w:val="32"/>
        </w:rPr>
      </w:pPr>
      <w:r>
        <w:rPr>
          <w:rFonts w:hint="eastAsia" w:ascii="楷体_GB2312" w:eastAsia="楷体_GB2312"/>
          <w:b/>
          <w:color w:val="000000"/>
          <w:sz w:val="32"/>
          <w:szCs w:val="32"/>
          <w:lang w:val="en-US" w:eastAsia="zh-CN"/>
        </w:rPr>
        <w:t>2、</w:t>
      </w:r>
      <w:r>
        <w:rPr>
          <w:rFonts w:hint="eastAsia" w:ascii="楷体_GB2312" w:eastAsia="楷体_GB2312"/>
          <w:b/>
          <w:color w:val="000000"/>
          <w:sz w:val="32"/>
          <w:szCs w:val="32"/>
        </w:rPr>
        <w:t>强化党组织的战斗堡垒作用。</w:t>
      </w:r>
      <w:r>
        <w:rPr>
          <w:rFonts w:hint="eastAsia" w:ascii="仿宋_GB2312" w:eastAsia="仿宋_GB2312"/>
          <w:color w:val="000000"/>
          <w:sz w:val="32"/>
          <w:szCs w:val="32"/>
        </w:rPr>
        <w:t>认真过好党内生活，严格落实“三会一课”制度。以党日活动为载体，积极开展各类党建活动，增强凝聚力。</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00"/>
        <w:jc w:val="both"/>
        <w:textAlignment w:val="auto"/>
        <w:rPr>
          <w:rFonts w:hint="eastAsia" w:ascii="仿宋_GB2312" w:eastAsia="仿宋_GB2312"/>
          <w:color w:val="000000"/>
          <w:sz w:val="32"/>
          <w:szCs w:val="32"/>
          <w:lang w:eastAsia="zh-CN"/>
        </w:rPr>
      </w:pPr>
      <w:r>
        <w:rPr>
          <w:rFonts w:hint="eastAsia" w:ascii="楷体_GB2312" w:eastAsia="楷体_GB2312"/>
          <w:b/>
          <w:color w:val="000000"/>
          <w:sz w:val="32"/>
          <w:szCs w:val="32"/>
          <w:lang w:val="en-US" w:eastAsia="zh-CN"/>
        </w:rPr>
        <w:t>3、</w:t>
      </w:r>
      <w:r>
        <w:rPr>
          <w:rFonts w:hint="eastAsia" w:ascii="楷体_GB2312" w:eastAsia="楷体_GB2312"/>
          <w:b/>
          <w:color w:val="000000"/>
          <w:sz w:val="32"/>
          <w:szCs w:val="32"/>
        </w:rPr>
        <w:t>深入推进党风廉政建设。</w:t>
      </w:r>
      <w:r>
        <w:rPr>
          <w:rFonts w:hint="eastAsia" w:ascii="仿宋_GB2312" w:eastAsia="仿宋_GB2312"/>
          <w:color w:val="000000"/>
          <w:sz w:val="32"/>
          <w:szCs w:val="32"/>
        </w:rPr>
        <w:t>严格落实党风廉政建设责任制，强化“一岗双责”，积极开展警示教育、正面宣传教育，在全体党员中开展党风廉政建设承诺活动，筑牢全体党员廉洁从政的思想防线</w:t>
      </w:r>
      <w:r>
        <w:rPr>
          <w:rFonts w:hint="eastAsia" w:ascii="仿宋_GB2312" w:eastAsia="仿宋_GB2312"/>
          <w:color w:val="000000"/>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部门综合预算单位构成</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right="0" w:rightChars="0" w:firstLine="640" w:firstLineChars="200"/>
        <w:jc w:val="both"/>
        <w:textAlignment w:val="auto"/>
        <w:outlineLvl w:val="9"/>
        <w:rPr>
          <w:rFonts w:ascii="仿宋_GB2312" w:eastAsia="仿宋_GB2312"/>
          <w:sz w:val="32"/>
          <w:szCs w:val="32"/>
        </w:rPr>
      </w:pPr>
      <w:r>
        <w:rPr>
          <w:rFonts w:hint="eastAsia" w:ascii="仿宋_GB2312" w:eastAsia="仿宋_GB2312"/>
          <w:sz w:val="32"/>
          <w:szCs w:val="32"/>
        </w:rPr>
        <w:t>从预算单位构成看，本部门的部门综合预算包括部门本级（机关）预算</w:t>
      </w:r>
      <w:r>
        <w:rPr>
          <w:rFonts w:hint="eastAsia" w:ascii="仿宋_GB2312" w:hAnsi="Calibri" w:eastAsia="仿宋_GB2312"/>
          <w:sz w:val="32"/>
          <w:szCs w:val="32"/>
          <w:lang w:eastAsia="zh-CN"/>
        </w:rPr>
        <w:t>，无二级预算单位</w:t>
      </w:r>
      <w:r>
        <w:rPr>
          <w:rFonts w:hint="eastAsia" w:ascii="仿宋_GB2312" w:eastAsia="仿宋_GB2312"/>
          <w:sz w:val="32"/>
          <w:szCs w:val="32"/>
        </w:rPr>
        <w:t>。</w:t>
      </w:r>
    </w:p>
    <w:p>
      <w:pPr>
        <w:keepNext w:val="0"/>
        <w:keepLines w:val="0"/>
        <w:pageBreakBefore w:val="0"/>
        <w:widowControl/>
        <w:kinsoku/>
        <w:wordWrap/>
        <w:overflowPunct/>
        <w:topLinePunct w:val="0"/>
        <w:autoSpaceDE/>
        <w:autoSpaceDN/>
        <w:bidi w:val="0"/>
        <w:adjustRightInd w:val="0"/>
        <w:snapToGrid w:val="0"/>
        <w:spacing w:after="0" w:line="560" w:lineRule="exact"/>
        <w:ind w:left="-7" w:leftChars="0" w:right="110" w:rightChars="50" w:firstLine="579" w:firstLineChars="181"/>
        <w:jc w:val="both"/>
        <w:textAlignment w:val="auto"/>
        <w:rPr>
          <w:rFonts w:ascii="仿宋_GB2312" w:eastAsia="仿宋_GB2312"/>
          <w:sz w:val="32"/>
          <w:szCs w:val="32"/>
          <w:lang w:val="en-US"/>
        </w:rPr>
      </w:pPr>
      <w:r>
        <w:rPr>
          <w:rFonts w:hint="eastAsia" w:ascii="仿宋_GB2312" w:eastAsia="仿宋_GB2312"/>
          <w:sz w:val="32"/>
          <w:szCs w:val="32"/>
        </w:rPr>
        <w:t>纳入本部门</w:t>
      </w:r>
      <w:r>
        <w:rPr>
          <w:rFonts w:ascii="仿宋_GB2312" w:eastAsia="仿宋_GB2312"/>
          <w:sz w:val="32"/>
          <w:szCs w:val="32"/>
        </w:rPr>
        <w:t>2018</w:t>
      </w:r>
      <w:r>
        <w:rPr>
          <w:rFonts w:hint="eastAsia" w:ascii="仿宋_GB2312" w:eastAsia="仿宋_GB2312"/>
          <w:sz w:val="32"/>
          <w:szCs w:val="32"/>
        </w:rPr>
        <w:t>年部门综合预算编制范围的预算单位共有</w:t>
      </w:r>
      <w:r>
        <w:rPr>
          <w:rFonts w:hint="eastAsia" w:ascii="仿宋_GB2312" w:eastAsia="仿宋_GB2312"/>
          <w:sz w:val="32"/>
          <w:szCs w:val="32"/>
          <w:lang w:val="en-US" w:eastAsia="zh-CN"/>
        </w:rPr>
        <w:t>1</w:t>
      </w:r>
      <w:r>
        <w:rPr>
          <w:rFonts w:hint="eastAsia" w:ascii="仿宋_GB2312" w:eastAsia="仿宋_GB2312"/>
          <w:sz w:val="32"/>
          <w:szCs w:val="32"/>
        </w:rPr>
        <w:t>个</w:t>
      </w:r>
      <w:r>
        <w:rPr>
          <w:rFonts w:hint="eastAsia" w:ascii="仿宋_GB2312" w:eastAsia="仿宋_GB2312"/>
          <w:sz w:val="32"/>
          <w:szCs w:val="32"/>
          <w:lang w:eastAsia="zh-CN"/>
        </w:rPr>
        <w:t>。</w:t>
      </w:r>
    </w:p>
    <w:tbl>
      <w:tblPr>
        <w:tblStyle w:val="8"/>
        <w:tblW w:w="7980" w:type="dxa"/>
        <w:tblInd w:w="3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72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trPr>
        <w:tc>
          <w:tcPr>
            <w:tcW w:w="723" w:type="dxa"/>
            <w:vAlign w:val="center"/>
          </w:tcPr>
          <w:p>
            <w:pPr>
              <w:keepNext w:val="0"/>
              <w:keepLines w:val="0"/>
              <w:pageBreakBefore w:val="0"/>
              <w:widowControl/>
              <w:kinsoku/>
              <w:wordWrap/>
              <w:overflowPunct/>
              <w:topLinePunct w:val="0"/>
              <w:autoSpaceDE/>
              <w:autoSpaceDN/>
              <w:bidi w:val="0"/>
              <w:adjustRightInd w:val="0"/>
              <w:snapToGrid w:val="0"/>
              <w:spacing w:after="0" w:line="560" w:lineRule="exact"/>
              <w:ind w:right="-482" w:rightChars="-219"/>
              <w:jc w:val="both"/>
              <w:textAlignment w:val="auto"/>
              <w:rPr>
                <w:rFonts w:ascii="仿宋_GB2312" w:eastAsia="仿宋_GB2312"/>
                <w:sz w:val="32"/>
                <w:szCs w:val="32"/>
              </w:rPr>
            </w:pPr>
            <w:r>
              <w:rPr>
                <w:rFonts w:hint="eastAsia" w:ascii="仿宋_GB2312" w:eastAsia="仿宋_GB2312"/>
                <w:sz w:val="32"/>
                <w:szCs w:val="32"/>
              </w:rPr>
              <w:t>序号</w:t>
            </w:r>
          </w:p>
        </w:tc>
        <w:tc>
          <w:tcPr>
            <w:tcW w:w="7257" w:type="dxa"/>
          </w:tcPr>
          <w:p>
            <w:pPr>
              <w:keepNext w:val="0"/>
              <w:keepLines w:val="0"/>
              <w:pageBreakBefore w:val="0"/>
              <w:widowControl/>
              <w:kinsoku/>
              <w:wordWrap/>
              <w:overflowPunct/>
              <w:topLinePunct w:val="0"/>
              <w:autoSpaceDE/>
              <w:autoSpaceDN/>
              <w:bidi w:val="0"/>
              <w:adjustRightInd w:val="0"/>
              <w:snapToGrid w:val="0"/>
              <w:spacing w:after="0" w:line="560" w:lineRule="exact"/>
              <w:ind w:right="-482" w:rightChars="-219" w:firstLine="640" w:firstLineChars="200"/>
              <w:jc w:val="both"/>
              <w:textAlignment w:val="auto"/>
              <w:rPr>
                <w:rFonts w:ascii="仿宋_GB2312" w:eastAsia="仿宋_GB2312"/>
                <w:sz w:val="32"/>
                <w:szCs w:val="32"/>
              </w:rPr>
            </w:pPr>
            <w:r>
              <w:rPr>
                <w:rFonts w:hint="eastAsia" w:ascii="仿宋_GB2312" w:eastAsia="仿宋_GB2312"/>
                <w:sz w:val="32"/>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trPr>
        <w:tc>
          <w:tcPr>
            <w:tcW w:w="723" w:type="dxa"/>
            <w:vAlign w:val="center"/>
          </w:tcPr>
          <w:p>
            <w:pPr>
              <w:keepNext w:val="0"/>
              <w:keepLines w:val="0"/>
              <w:pageBreakBefore w:val="0"/>
              <w:widowControl/>
              <w:kinsoku/>
              <w:wordWrap/>
              <w:overflowPunct/>
              <w:topLinePunct w:val="0"/>
              <w:autoSpaceDE/>
              <w:autoSpaceDN/>
              <w:bidi w:val="0"/>
              <w:adjustRightInd w:val="0"/>
              <w:snapToGrid w:val="0"/>
              <w:spacing w:after="0" w:line="560" w:lineRule="exact"/>
              <w:ind w:right="-482" w:rightChars="-219" w:firstLine="640" w:firstLineChars="200"/>
              <w:jc w:val="both"/>
              <w:textAlignment w:val="auto"/>
              <w:rPr>
                <w:rFonts w:ascii="仿宋_GB2312" w:eastAsia="仿宋_GB2312"/>
                <w:sz w:val="32"/>
                <w:szCs w:val="32"/>
              </w:rPr>
            </w:pPr>
            <w:r>
              <w:rPr>
                <w:rFonts w:ascii="仿宋_GB2312" w:eastAsia="仿宋_GB2312"/>
                <w:sz w:val="32"/>
                <w:szCs w:val="32"/>
              </w:rPr>
              <w:t>1</w:t>
            </w:r>
          </w:p>
        </w:tc>
        <w:tc>
          <w:tcPr>
            <w:tcW w:w="7257" w:type="dxa"/>
            <w:vAlign w:val="center"/>
          </w:tcPr>
          <w:p>
            <w:pPr>
              <w:keepNext w:val="0"/>
              <w:keepLines w:val="0"/>
              <w:pageBreakBefore w:val="0"/>
              <w:widowControl/>
              <w:kinsoku/>
              <w:wordWrap/>
              <w:overflowPunct/>
              <w:topLinePunct w:val="0"/>
              <w:autoSpaceDE/>
              <w:autoSpaceDN/>
              <w:bidi w:val="0"/>
              <w:adjustRightInd w:val="0"/>
              <w:snapToGrid w:val="0"/>
              <w:spacing w:after="0" w:line="560" w:lineRule="exact"/>
              <w:ind w:right="-482" w:rightChars="-219"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区人大常委会办公室</w:t>
            </w:r>
            <w:r>
              <w:rPr>
                <w:rFonts w:hint="eastAsia" w:ascii="仿宋_GB2312" w:eastAsia="仿宋_GB2312"/>
                <w:sz w:val="32"/>
                <w:szCs w:val="32"/>
              </w:rPr>
              <w:t>本级（机关）</w:t>
            </w:r>
          </w:p>
        </w:tc>
      </w:tr>
    </w:tbl>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四、部门人员情况说明</w:t>
      </w:r>
    </w:p>
    <w:p>
      <w:pPr>
        <w:keepNext w:val="0"/>
        <w:keepLines w:val="0"/>
        <w:pageBreakBefore w:val="0"/>
        <w:widowControl/>
        <w:kinsoku/>
        <w:wordWrap/>
        <w:overflowPunct/>
        <w:topLinePunct w:val="0"/>
        <w:autoSpaceDE/>
        <w:autoSpaceDN/>
        <w:bidi w:val="0"/>
        <w:adjustRightInd w:val="0"/>
        <w:snapToGrid w:val="0"/>
        <w:spacing w:after="0" w:line="560" w:lineRule="exact"/>
        <w:ind w:left="-244" w:leftChars="-111" w:right="-482" w:rightChars="-219" w:firstLine="640" w:firstLineChars="200"/>
        <w:jc w:val="both"/>
        <w:textAlignment w:val="auto"/>
        <w:rPr>
          <w:rFonts w:ascii="方正小标宋简体" w:eastAsia="方正小标宋简体"/>
          <w:sz w:val="32"/>
          <w:szCs w:val="32"/>
        </w:rPr>
      </w:pPr>
      <w:r>
        <w:rPr>
          <w:rFonts w:hint="eastAsia" w:ascii="仿宋_GB2312" w:eastAsia="仿宋_GB2312"/>
          <w:sz w:val="32"/>
          <w:szCs w:val="32"/>
        </w:rPr>
        <w:t>截止</w:t>
      </w:r>
      <w:r>
        <w:rPr>
          <w:rFonts w:ascii="仿宋_GB2312" w:eastAsia="仿宋_GB2312"/>
          <w:sz w:val="32"/>
          <w:szCs w:val="32"/>
        </w:rPr>
        <w:t>2017</w:t>
      </w:r>
      <w:r>
        <w:rPr>
          <w:rFonts w:hint="eastAsia" w:ascii="仿宋_GB2312" w:eastAsia="仿宋_GB2312"/>
          <w:sz w:val="32"/>
          <w:szCs w:val="32"/>
        </w:rPr>
        <w:t>年底，本部门人员编制</w:t>
      </w:r>
      <w:r>
        <w:rPr>
          <w:rFonts w:hint="eastAsia" w:ascii="仿宋_GB2312" w:eastAsia="仿宋_GB2312"/>
          <w:sz w:val="32"/>
          <w:szCs w:val="32"/>
          <w:lang w:val="en-US" w:eastAsia="zh-CN"/>
        </w:rPr>
        <w:t>20</w:t>
      </w:r>
      <w:r>
        <w:rPr>
          <w:rFonts w:hint="eastAsia" w:ascii="仿宋_GB2312" w:eastAsia="仿宋_GB2312"/>
          <w:sz w:val="32"/>
          <w:szCs w:val="32"/>
        </w:rPr>
        <w:t>人，其中行政编制</w:t>
      </w:r>
      <w:r>
        <w:rPr>
          <w:rFonts w:hint="eastAsia" w:ascii="仿宋_GB2312" w:eastAsia="仿宋_GB2312"/>
          <w:sz w:val="32"/>
          <w:szCs w:val="32"/>
          <w:lang w:val="en-US" w:eastAsia="zh-CN"/>
        </w:rPr>
        <w:t>20</w:t>
      </w:r>
      <w:r>
        <w:rPr>
          <w:rFonts w:hint="eastAsia" w:ascii="仿宋_GB2312" w:eastAsia="仿宋_GB2312"/>
          <w:sz w:val="32"/>
          <w:szCs w:val="32"/>
        </w:rPr>
        <w:t>人；实有人员</w:t>
      </w:r>
      <w:r>
        <w:rPr>
          <w:rFonts w:hint="eastAsia" w:ascii="仿宋_GB2312" w:eastAsia="仿宋_GB2312"/>
          <w:sz w:val="32"/>
          <w:szCs w:val="32"/>
          <w:lang w:val="en-US" w:eastAsia="zh-CN"/>
        </w:rPr>
        <w:t>33</w:t>
      </w:r>
      <w:r>
        <w:rPr>
          <w:rFonts w:hint="eastAsia" w:ascii="仿宋_GB2312" w:eastAsia="仿宋_GB2312"/>
          <w:sz w:val="32"/>
          <w:szCs w:val="32"/>
        </w:rPr>
        <w:t>人，其中行政</w:t>
      </w:r>
      <w:r>
        <w:rPr>
          <w:rFonts w:hint="eastAsia" w:ascii="仿宋_GB2312" w:eastAsia="仿宋_GB2312"/>
          <w:sz w:val="32"/>
          <w:szCs w:val="32"/>
          <w:lang w:val="en-US" w:eastAsia="zh-CN"/>
        </w:rPr>
        <w:t>33</w:t>
      </w:r>
      <w:r>
        <w:rPr>
          <w:rFonts w:hint="eastAsia" w:ascii="仿宋_GB2312" w:eastAsia="仿宋_GB2312"/>
          <w:sz w:val="32"/>
          <w:szCs w:val="32"/>
        </w:rPr>
        <w:t>人。离退休人员</w:t>
      </w:r>
      <w:r>
        <w:rPr>
          <w:rFonts w:hint="eastAsia" w:ascii="仿宋_GB2312" w:eastAsia="仿宋_GB2312"/>
          <w:sz w:val="32"/>
          <w:szCs w:val="32"/>
          <w:lang w:val="en-US" w:eastAsia="zh-CN"/>
        </w:rPr>
        <w:t>31</w:t>
      </w:r>
      <w:r>
        <w:rPr>
          <w:rFonts w:hint="eastAsia" w:ascii="仿宋_GB2312" w:eastAsia="仿宋_GB2312"/>
          <w:sz w:val="32"/>
          <w:szCs w:val="32"/>
        </w:rPr>
        <w:t>人。</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五、部门综合预算绩效目标说明</w:t>
      </w:r>
    </w:p>
    <w:p>
      <w:pPr>
        <w:keepNext w:val="0"/>
        <w:keepLines w:val="0"/>
        <w:pageBreakBefore w:val="0"/>
        <w:widowControl/>
        <w:kinsoku/>
        <w:wordWrap/>
        <w:overflowPunct/>
        <w:topLinePunct w:val="0"/>
        <w:autoSpaceDE/>
        <w:autoSpaceDN/>
        <w:bidi w:val="0"/>
        <w:adjustRightInd w:val="0"/>
        <w:snapToGrid w:val="0"/>
        <w:spacing w:after="0" w:line="560" w:lineRule="exact"/>
        <w:ind w:left="-565" w:leftChars="-257" w:right="-482" w:rightChars="-219" w:firstLine="960" w:firstLineChars="300"/>
        <w:jc w:val="both"/>
        <w:textAlignment w:val="auto"/>
        <w:rPr>
          <w:rFonts w:ascii="仿宋_GB2312" w:eastAsia="仿宋_GB2312"/>
          <w:sz w:val="32"/>
          <w:szCs w:val="32"/>
        </w:rPr>
      </w:pPr>
      <w:r>
        <w:rPr>
          <w:rFonts w:hint="eastAsia" w:ascii="仿宋_GB2312" w:eastAsia="仿宋_GB2312"/>
          <w:sz w:val="32"/>
          <w:szCs w:val="32"/>
        </w:rPr>
        <w:t>本部门</w:t>
      </w:r>
      <w:r>
        <w:rPr>
          <w:rFonts w:ascii="仿宋_GB2312" w:eastAsia="仿宋_GB2312"/>
          <w:sz w:val="32"/>
          <w:szCs w:val="32"/>
        </w:rPr>
        <w:t>2018</w:t>
      </w:r>
      <w:r>
        <w:rPr>
          <w:rFonts w:hint="eastAsia" w:ascii="仿宋_GB2312" w:eastAsia="仿宋_GB2312"/>
          <w:sz w:val="32"/>
          <w:szCs w:val="32"/>
        </w:rPr>
        <w:t>年无绩效目标表。</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六、2018年部门综合预算收支说明</w:t>
      </w:r>
    </w:p>
    <w:p>
      <w:pPr>
        <w:keepNext w:val="0"/>
        <w:keepLines w:val="0"/>
        <w:pageBreakBefore w:val="0"/>
        <w:widowControl/>
        <w:kinsoku/>
        <w:wordWrap/>
        <w:overflowPunct/>
        <w:topLinePunct w:val="0"/>
        <w:autoSpaceDE/>
        <w:autoSpaceDN/>
        <w:bidi w:val="0"/>
        <w:adjustRightInd w:val="0"/>
        <w:snapToGrid w:val="0"/>
        <w:spacing w:after="0" w:line="560" w:lineRule="exact"/>
        <w:ind w:right="-482" w:rightChars="-219" w:firstLine="640" w:firstLineChars="200"/>
        <w:jc w:val="both"/>
        <w:textAlignment w:val="auto"/>
        <w:rPr>
          <w:rFonts w:ascii="仿宋_GB2312" w:eastAsia="仿宋_GB2312"/>
          <w:sz w:val="32"/>
          <w:szCs w:val="32"/>
        </w:rPr>
      </w:pPr>
      <w:r>
        <w:rPr>
          <w:rFonts w:hint="eastAsia" w:ascii="楷体" w:hAnsi="楷体" w:eastAsia="楷体"/>
          <w:sz w:val="32"/>
          <w:szCs w:val="32"/>
        </w:rPr>
        <w:t>（一）财政拨款收支情况</w:t>
      </w:r>
      <w:r>
        <w:rPr>
          <w:rFonts w:ascii="仿宋_GB2312" w:eastAsia="仿宋_GB2312"/>
          <w:sz w:val="32"/>
          <w:szCs w:val="32"/>
        </w:rPr>
        <w:t xml:space="preserve">  </w:t>
      </w:r>
    </w:p>
    <w:p>
      <w:pPr>
        <w:keepNext w:val="0"/>
        <w:keepLines w:val="0"/>
        <w:pageBreakBefore w:val="0"/>
        <w:widowControl/>
        <w:kinsoku/>
        <w:wordWrap/>
        <w:overflowPunct/>
        <w:topLinePunct w:val="0"/>
        <w:autoSpaceDE/>
        <w:autoSpaceDN/>
        <w:bidi w:val="0"/>
        <w:adjustRightInd w:val="0"/>
        <w:snapToGrid w:val="0"/>
        <w:spacing w:after="0" w:line="560" w:lineRule="exact"/>
        <w:ind w:left="75" w:leftChars="34" w:right="-482" w:rightChars="-219"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2018年财政拨款收入5,184,436.50元，较上年增长12.9%，由于人员增加和工资正常调资晋档带来的人员经费增长，以及离休人员工资交由单位发放。</w:t>
      </w:r>
    </w:p>
    <w:p>
      <w:pPr>
        <w:keepNext w:val="0"/>
        <w:keepLines w:val="0"/>
        <w:pageBreakBefore w:val="0"/>
        <w:widowControl/>
        <w:kinsoku/>
        <w:wordWrap/>
        <w:overflowPunct/>
        <w:topLinePunct w:val="0"/>
        <w:autoSpaceDE/>
        <w:autoSpaceDN/>
        <w:bidi w:val="0"/>
        <w:adjustRightInd w:val="0"/>
        <w:snapToGrid w:val="0"/>
        <w:spacing w:after="0" w:line="560" w:lineRule="exact"/>
        <w:ind w:left="75" w:leftChars="34" w:right="-482" w:rightChars="-219"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2018年财政拨款支出5,184,436.50元，较上年增长12.9%，是由于人员增加和工资正常调资晋档带来的人员经费增长，以及离休人员工资交由单位发放。</w:t>
      </w:r>
    </w:p>
    <w:p>
      <w:pPr>
        <w:keepNext w:val="0"/>
        <w:keepLines w:val="0"/>
        <w:pageBreakBefore w:val="0"/>
        <w:widowControl/>
        <w:kinsoku/>
        <w:wordWrap/>
        <w:overflowPunct/>
        <w:topLinePunct w:val="0"/>
        <w:autoSpaceDE/>
        <w:autoSpaceDN/>
        <w:bidi w:val="0"/>
        <w:adjustRightInd w:val="0"/>
        <w:snapToGrid w:val="0"/>
        <w:spacing w:after="0" w:line="560" w:lineRule="exact"/>
        <w:ind w:left="-565" w:leftChars="-257" w:right="-482" w:rightChars="-219" w:firstLine="1280" w:firstLineChars="400"/>
        <w:jc w:val="both"/>
        <w:textAlignment w:val="auto"/>
        <w:rPr>
          <w:rFonts w:ascii="楷体" w:hAnsi="楷体" w:eastAsia="楷体"/>
          <w:sz w:val="32"/>
          <w:szCs w:val="32"/>
        </w:rPr>
      </w:pPr>
      <w:r>
        <w:rPr>
          <w:rFonts w:hint="eastAsia" w:ascii="楷体" w:hAnsi="楷体" w:eastAsia="楷体"/>
          <w:sz w:val="32"/>
          <w:szCs w:val="32"/>
        </w:rPr>
        <w:t>（二）一般公共预算拨款支出明细情况</w:t>
      </w:r>
    </w:p>
    <w:p>
      <w:pPr>
        <w:keepNext w:val="0"/>
        <w:keepLines w:val="0"/>
        <w:pageBreakBefore w:val="0"/>
        <w:widowControl/>
        <w:kinsoku/>
        <w:wordWrap/>
        <w:overflowPunct/>
        <w:topLinePunct w:val="0"/>
        <w:autoSpaceDE/>
        <w:autoSpaceDN/>
        <w:bidi w:val="0"/>
        <w:adjustRightInd w:val="0"/>
        <w:snapToGrid w:val="0"/>
        <w:spacing w:after="0" w:line="560" w:lineRule="exact"/>
        <w:ind w:left="-565" w:leftChars="-257" w:right="-482" w:rightChars="-219" w:firstLine="1280" w:firstLineChars="400"/>
        <w:jc w:val="both"/>
        <w:textAlignment w:val="auto"/>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一般公共预算当年拨款规模变化情况。</w:t>
      </w:r>
    </w:p>
    <w:p>
      <w:pPr>
        <w:keepNext w:val="0"/>
        <w:keepLines w:val="0"/>
        <w:pageBreakBefore w:val="0"/>
        <w:widowControl/>
        <w:kinsoku/>
        <w:wordWrap/>
        <w:overflowPunct/>
        <w:topLinePunct w:val="0"/>
        <w:autoSpaceDE/>
        <w:autoSpaceDN/>
        <w:bidi w:val="0"/>
        <w:adjustRightInd w:val="0"/>
        <w:snapToGrid w:val="0"/>
        <w:spacing w:after="0" w:line="560" w:lineRule="exact"/>
        <w:ind w:left="75" w:leftChars="34" w:right="-482" w:rightChars="-219"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2018年</w:t>
      </w:r>
      <w:r>
        <w:rPr>
          <w:rFonts w:hint="eastAsia" w:ascii="仿宋_GB2312" w:eastAsia="仿宋_GB2312"/>
          <w:sz w:val="32"/>
          <w:szCs w:val="32"/>
        </w:rPr>
        <w:t>一般公共预算</w:t>
      </w:r>
      <w:r>
        <w:rPr>
          <w:rFonts w:hint="eastAsia" w:ascii="仿宋_GB2312" w:eastAsia="仿宋_GB2312"/>
          <w:sz w:val="32"/>
          <w:szCs w:val="32"/>
          <w:lang w:val="en-US" w:eastAsia="zh-CN"/>
        </w:rPr>
        <w:t>财政拨款收入5,184,436.50元，较上年增长12.9%，是由于人员增加和工资正常调资晋档带来的人员经费增长，以及离休人员工资交由单位发放。</w:t>
      </w:r>
    </w:p>
    <w:p>
      <w:pPr>
        <w:keepNext w:val="0"/>
        <w:keepLines w:val="0"/>
        <w:pageBreakBefore w:val="0"/>
        <w:widowControl/>
        <w:kinsoku/>
        <w:wordWrap/>
        <w:overflowPunct/>
        <w:topLinePunct w:val="0"/>
        <w:autoSpaceDE/>
        <w:autoSpaceDN/>
        <w:bidi w:val="0"/>
        <w:adjustRightInd w:val="0"/>
        <w:snapToGrid w:val="0"/>
        <w:spacing w:after="0" w:line="560" w:lineRule="exact"/>
        <w:ind w:left="75" w:leftChars="34" w:right="-482" w:rightChars="-219"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2018年</w:t>
      </w:r>
      <w:r>
        <w:rPr>
          <w:rFonts w:hint="eastAsia" w:ascii="仿宋_GB2312" w:eastAsia="仿宋_GB2312"/>
          <w:sz w:val="32"/>
          <w:szCs w:val="32"/>
        </w:rPr>
        <w:t>一般公共预算</w:t>
      </w:r>
      <w:r>
        <w:rPr>
          <w:rFonts w:hint="eastAsia" w:ascii="仿宋_GB2312" w:eastAsia="仿宋_GB2312"/>
          <w:sz w:val="32"/>
          <w:szCs w:val="32"/>
          <w:lang w:val="en-US" w:eastAsia="zh-CN"/>
        </w:rPr>
        <w:t>财政拨款支出5,184,436.50元，较上年增长12.9%，是由于人员增加和工资正常调资晋档带来的人员经费增长，以及离休人员工资交由单位发放。</w:t>
      </w:r>
    </w:p>
    <w:p>
      <w:pPr>
        <w:keepNext w:val="0"/>
        <w:keepLines w:val="0"/>
        <w:pageBreakBefore w:val="0"/>
        <w:widowControl/>
        <w:kinsoku/>
        <w:wordWrap/>
        <w:overflowPunct/>
        <w:topLinePunct w:val="0"/>
        <w:autoSpaceDE/>
        <w:autoSpaceDN/>
        <w:bidi w:val="0"/>
        <w:adjustRightInd w:val="0"/>
        <w:snapToGrid w:val="0"/>
        <w:spacing w:after="0" w:line="560" w:lineRule="exact"/>
        <w:ind w:left="-565" w:leftChars="-257" w:right="-482" w:rightChars="-219" w:firstLine="1280" w:firstLineChars="400"/>
        <w:jc w:val="both"/>
        <w:textAlignment w:val="auto"/>
        <w:rPr>
          <w:rFonts w:hint="eastAsia"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支出按功能科目分类的明细情况。</w:t>
      </w:r>
    </w:p>
    <w:p>
      <w:pPr>
        <w:keepNext w:val="0"/>
        <w:keepLines w:val="0"/>
        <w:pageBreakBefore w:val="0"/>
        <w:widowControl/>
        <w:kinsoku/>
        <w:wordWrap/>
        <w:overflowPunct/>
        <w:topLinePunct w:val="0"/>
        <w:autoSpaceDE/>
        <w:autoSpaceDN/>
        <w:bidi w:val="0"/>
        <w:adjustRightInd w:val="0"/>
        <w:snapToGrid w:val="0"/>
        <w:spacing w:after="0" w:line="560" w:lineRule="exact"/>
        <w:ind w:left="-565" w:leftChars="-257" w:right="-482" w:rightChars="-219" w:firstLine="1280" w:firstLineChars="400"/>
        <w:jc w:val="both"/>
        <w:textAlignment w:val="auto"/>
        <w:rPr>
          <w:rFonts w:hint="eastAsia" w:ascii="仿宋_GB2312" w:eastAsia="仿宋_GB2312"/>
          <w:sz w:val="32"/>
          <w:szCs w:val="32"/>
        </w:rPr>
      </w:pPr>
      <w:r>
        <w:rPr>
          <w:rFonts w:hint="eastAsia" w:ascii="仿宋_GB2312" w:eastAsia="仿宋_GB2312"/>
          <w:sz w:val="32"/>
          <w:szCs w:val="32"/>
        </w:rPr>
        <w:t>一般公共服务支出5</w:t>
      </w:r>
      <w:r>
        <w:rPr>
          <w:rFonts w:hint="eastAsia" w:ascii="仿宋_GB2312" w:eastAsia="仿宋_GB2312"/>
          <w:sz w:val="32"/>
          <w:szCs w:val="32"/>
          <w:lang w:val="en-US" w:eastAsia="zh-CN"/>
        </w:rPr>
        <w:t>,</w:t>
      </w:r>
      <w:r>
        <w:rPr>
          <w:rFonts w:hint="eastAsia" w:ascii="仿宋_GB2312" w:eastAsia="仿宋_GB2312"/>
          <w:sz w:val="32"/>
          <w:szCs w:val="32"/>
        </w:rPr>
        <w:t>184</w:t>
      </w:r>
      <w:r>
        <w:rPr>
          <w:rFonts w:hint="eastAsia" w:ascii="仿宋_GB2312" w:eastAsia="仿宋_GB2312"/>
          <w:sz w:val="32"/>
          <w:szCs w:val="32"/>
          <w:lang w:val="en-US" w:eastAsia="zh-CN"/>
        </w:rPr>
        <w:t>,</w:t>
      </w:r>
      <w:r>
        <w:rPr>
          <w:rFonts w:hint="eastAsia" w:ascii="仿宋_GB2312" w:eastAsia="仿宋_GB2312"/>
          <w:sz w:val="32"/>
          <w:szCs w:val="32"/>
        </w:rPr>
        <w:t>436.5</w:t>
      </w:r>
      <w:r>
        <w:rPr>
          <w:rFonts w:hint="eastAsia" w:ascii="仿宋_GB2312" w:eastAsia="仿宋_GB2312"/>
          <w:sz w:val="32"/>
          <w:szCs w:val="32"/>
          <w:lang w:val="en-US" w:eastAsia="zh-CN"/>
        </w:rPr>
        <w:t>0元，其中:</w:t>
      </w:r>
    </w:p>
    <w:p>
      <w:pPr>
        <w:keepNext w:val="0"/>
        <w:keepLines w:val="0"/>
        <w:pageBreakBefore w:val="0"/>
        <w:widowControl/>
        <w:kinsoku/>
        <w:wordWrap/>
        <w:overflowPunct/>
        <w:topLinePunct w:val="0"/>
        <w:autoSpaceDE/>
        <w:autoSpaceDN/>
        <w:bidi w:val="0"/>
        <w:adjustRightInd w:val="0"/>
        <w:snapToGrid w:val="0"/>
        <w:spacing w:after="0" w:line="560" w:lineRule="exact"/>
        <w:ind w:left="75" w:leftChars="34" w:right="-482" w:rightChars="-219"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w:t>
      </w:r>
      <w:r>
        <w:rPr>
          <w:rFonts w:hint="eastAsia" w:ascii="仿宋_GB2312" w:eastAsia="仿宋_GB2312"/>
          <w:sz w:val="32"/>
          <w:szCs w:val="32"/>
        </w:rPr>
        <w:t>行政运行（人大事务）4</w:t>
      </w:r>
      <w:r>
        <w:rPr>
          <w:rFonts w:hint="eastAsia" w:ascii="仿宋_GB2312" w:eastAsia="仿宋_GB2312"/>
          <w:sz w:val="32"/>
          <w:szCs w:val="32"/>
          <w:lang w:val="en-US" w:eastAsia="zh-CN"/>
        </w:rPr>
        <w:t>,</w:t>
      </w:r>
      <w:r>
        <w:rPr>
          <w:rFonts w:hint="eastAsia" w:ascii="仿宋_GB2312" w:eastAsia="仿宋_GB2312"/>
          <w:sz w:val="32"/>
          <w:szCs w:val="32"/>
        </w:rPr>
        <w:t>598</w:t>
      </w:r>
      <w:r>
        <w:rPr>
          <w:rFonts w:hint="eastAsia" w:ascii="仿宋_GB2312" w:eastAsia="仿宋_GB2312"/>
          <w:sz w:val="32"/>
          <w:szCs w:val="32"/>
          <w:lang w:val="en-US" w:eastAsia="zh-CN"/>
        </w:rPr>
        <w:t>,</w:t>
      </w:r>
      <w:r>
        <w:rPr>
          <w:rFonts w:hint="eastAsia" w:ascii="仿宋_GB2312" w:eastAsia="仿宋_GB2312"/>
          <w:sz w:val="32"/>
          <w:szCs w:val="32"/>
        </w:rPr>
        <w:t>836.5</w:t>
      </w:r>
      <w:r>
        <w:rPr>
          <w:rFonts w:hint="eastAsia" w:ascii="仿宋_GB2312" w:eastAsia="仿宋_GB2312"/>
          <w:sz w:val="32"/>
          <w:szCs w:val="32"/>
          <w:lang w:val="en-US" w:eastAsia="zh-CN"/>
        </w:rPr>
        <w:t>0元,较上年增长13.5%，是由于人员增加和工资正常调资晋档带来的人员经费增长，以及离休人员工资交由单位发放。</w:t>
      </w:r>
    </w:p>
    <w:p>
      <w:pPr>
        <w:keepNext w:val="0"/>
        <w:keepLines w:val="0"/>
        <w:pageBreakBefore w:val="0"/>
        <w:widowControl/>
        <w:kinsoku/>
        <w:wordWrap/>
        <w:overflowPunct/>
        <w:topLinePunct w:val="0"/>
        <w:autoSpaceDE/>
        <w:autoSpaceDN/>
        <w:bidi w:val="0"/>
        <w:adjustRightInd w:val="0"/>
        <w:snapToGrid w:val="0"/>
        <w:spacing w:after="0" w:line="560" w:lineRule="exact"/>
        <w:ind w:left="75" w:leftChars="34" w:right="-482" w:rightChars="-219"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w:t>
      </w:r>
      <w:r>
        <w:rPr>
          <w:rFonts w:hint="eastAsia" w:ascii="仿宋_GB2312" w:eastAsia="仿宋_GB2312"/>
          <w:sz w:val="32"/>
          <w:szCs w:val="32"/>
        </w:rPr>
        <w:t>一般行政管理事务（人大事务）125</w:t>
      </w:r>
      <w:r>
        <w:rPr>
          <w:rFonts w:hint="eastAsia" w:ascii="仿宋_GB2312" w:eastAsia="仿宋_GB2312"/>
          <w:sz w:val="32"/>
          <w:szCs w:val="32"/>
          <w:lang w:val="en-US" w:eastAsia="zh-CN"/>
        </w:rPr>
        <w:t>,</w:t>
      </w:r>
      <w:r>
        <w:rPr>
          <w:rFonts w:hint="eastAsia" w:ascii="仿宋_GB2312" w:eastAsia="仿宋_GB2312"/>
          <w:sz w:val="32"/>
          <w:szCs w:val="32"/>
        </w:rPr>
        <w:t>600</w:t>
      </w:r>
      <w:r>
        <w:rPr>
          <w:rFonts w:hint="eastAsia" w:ascii="仿宋_GB2312" w:eastAsia="仿宋_GB2312"/>
          <w:sz w:val="32"/>
          <w:szCs w:val="32"/>
          <w:lang w:val="en-US" w:eastAsia="zh-CN"/>
        </w:rPr>
        <w:t>元,较上年增长47.8%，是由于今年增加临时工工资预算。</w:t>
      </w:r>
    </w:p>
    <w:p>
      <w:pPr>
        <w:keepNext w:val="0"/>
        <w:keepLines w:val="0"/>
        <w:pageBreakBefore w:val="0"/>
        <w:widowControl/>
        <w:kinsoku/>
        <w:wordWrap/>
        <w:overflowPunct/>
        <w:topLinePunct w:val="0"/>
        <w:autoSpaceDE/>
        <w:autoSpaceDN/>
        <w:bidi w:val="0"/>
        <w:adjustRightInd w:val="0"/>
        <w:snapToGrid w:val="0"/>
        <w:spacing w:after="0" w:line="560" w:lineRule="exact"/>
        <w:ind w:left="-565" w:leftChars="-257" w:right="-482" w:rightChars="-219" w:firstLine="1280" w:firstLineChars="4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w:t>
      </w:r>
      <w:r>
        <w:rPr>
          <w:rFonts w:hint="eastAsia" w:ascii="仿宋_GB2312" w:eastAsia="仿宋_GB2312"/>
          <w:sz w:val="32"/>
          <w:szCs w:val="32"/>
        </w:rPr>
        <w:t>人大会议240</w:t>
      </w:r>
      <w:r>
        <w:rPr>
          <w:rFonts w:hint="eastAsia" w:ascii="仿宋_GB2312" w:eastAsia="仿宋_GB2312"/>
          <w:sz w:val="32"/>
          <w:szCs w:val="32"/>
          <w:lang w:val="en-US" w:eastAsia="zh-CN"/>
        </w:rPr>
        <w:t>,</w:t>
      </w:r>
      <w:r>
        <w:rPr>
          <w:rFonts w:hint="eastAsia" w:ascii="仿宋_GB2312" w:eastAsia="仿宋_GB2312"/>
          <w:sz w:val="32"/>
          <w:szCs w:val="32"/>
        </w:rPr>
        <w:t>000</w:t>
      </w:r>
      <w:r>
        <w:rPr>
          <w:rFonts w:hint="eastAsia" w:ascii="仿宋_GB2312" w:eastAsia="仿宋_GB2312"/>
          <w:sz w:val="32"/>
          <w:szCs w:val="32"/>
          <w:lang w:val="en-US" w:eastAsia="zh-CN"/>
        </w:rPr>
        <w:t>元,与上年持平。</w:t>
      </w:r>
    </w:p>
    <w:p>
      <w:pPr>
        <w:keepNext w:val="0"/>
        <w:keepLines w:val="0"/>
        <w:pageBreakBefore w:val="0"/>
        <w:widowControl/>
        <w:kinsoku/>
        <w:wordWrap/>
        <w:overflowPunct/>
        <w:topLinePunct w:val="0"/>
        <w:autoSpaceDE/>
        <w:autoSpaceDN/>
        <w:bidi w:val="0"/>
        <w:adjustRightInd w:val="0"/>
        <w:snapToGrid w:val="0"/>
        <w:spacing w:after="0" w:line="560" w:lineRule="exact"/>
        <w:ind w:left="75" w:leftChars="34" w:right="-482" w:rightChars="-219"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4</w:t>
      </w:r>
      <w:r>
        <w:rPr>
          <w:rFonts w:hint="eastAsia" w:ascii="仿宋_GB2312" w:eastAsia="仿宋_GB2312"/>
          <w:sz w:val="32"/>
          <w:szCs w:val="32"/>
          <w:lang w:eastAsia="zh-CN"/>
        </w:rPr>
        <w:t>）</w:t>
      </w:r>
      <w:r>
        <w:rPr>
          <w:rFonts w:hint="eastAsia" w:ascii="仿宋_GB2312" w:eastAsia="仿宋_GB2312"/>
          <w:sz w:val="32"/>
          <w:szCs w:val="32"/>
        </w:rPr>
        <w:t>代表工作220</w:t>
      </w:r>
      <w:r>
        <w:rPr>
          <w:rFonts w:hint="eastAsia" w:ascii="仿宋_GB2312" w:eastAsia="仿宋_GB2312"/>
          <w:sz w:val="32"/>
          <w:szCs w:val="32"/>
          <w:lang w:val="en-US" w:eastAsia="zh-CN"/>
        </w:rPr>
        <w:t>,</w:t>
      </w:r>
      <w:r>
        <w:rPr>
          <w:rFonts w:hint="eastAsia" w:ascii="仿宋_GB2312" w:eastAsia="仿宋_GB2312"/>
          <w:sz w:val="32"/>
          <w:szCs w:val="32"/>
        </w:rPr>
        <w:t>000</w:t>
      </w:r>
      <w:r>
        <w:rPr>
          <w:rFonts w:hint="eastAsia" w:ascii="仿宋_GB2312" w:eastAsia="仿宋_GB2312"/>
          <w:sz w:val="32"/>
          <w:szCs w:val="32"/>
          <w:lang w:val="en-US" w:eastAsia="zh-CN"/>
        </w:rPr>
        <w:t>元,较上年增长33.3%，是由于今年将上年人大监督和人大信访经费预算合并到代表工作。</w:t>
      </w:r>
    </w:p>
    <w:p>
      <w:pPr>
        <w:keepNext w:val="0"/>
        <w:keepLines w:val="0"/>
        <w:pageBreakBefore w:val="0"/>
        <w:widowControl/>
        <w:kinsoku/>
        <w:wordWrap/>
        <w:overflowPunct/>
        <w:topLinePunct w:val="0"/>
        <w:autoSpaceDE/>
        <w:autoSpaceDN/>
        <w:bidi w:val="0"/>
        <w:adjustRightInd w:val="0"/>
        <w:snapToGrid w:val="0"/>
        <w:spacing w:after="0" w:line="560" w:lineRule="exact"/>
        <w:ind w:left="-565" w:leftChars="-257" w:right="-482" w:rightChars="-219" w:firstLine="1280" w:firstLineChars="400"/>
        <w:jc w:val="both"/>
        <w:textAlignment w:val="auto"/>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支出按经济科目分类的明细情况</w:t>
      </w:r>
    </w:p>
    <w:p>
      <w:pPr>
        <w:keepNext w:val="0"/>
        <w:keepLines w:val="0"/>
        <w:pageBreakBefore w:val="0"/>
        <w:widowControl/>
        <w:kinsoku/>
        <w:wordWrap/>
        <w:overflowPunct/>
        <w:topLinePunct w:val="0"/>
        <w:autoSpaceDE/>
        <w:autoSpaceDN/>
        <w:bidi w:val="0"/>
        <w:adjustRightInd w:val="0"/>
        <w:snapToGrid w:val="0"/>
        <w:spacing w:after="0" w:line="560" w:lineRule="exact"/>
        <w:ind w:left="75" w:leftChars="34" w:right="-482" w:rightChars="-219"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w:t>
      </w:r>
      <w:r>
        <w:rPr>
          <w:rFonts w:hint="eastAsia" w:ascii="仿宋_GB2312" w:eastAsia="仿宋_GB2312"/>
          <w:sz w:val="32"/>
          <w:szCs w:val="32"/>
          <w:lang w:val="en-US" w:eastAsia="zh-CN"/>
        </w:rPr>
        <w:t xml:space="preserve">人员经费为4,260,298.50元，较上年增长24.4%，是由于人员增加和工资正常调资晋档带来的人员经费增长，以及离休人员工资交由单位发放。包括：工资福利支出4,155,758.50元，对个人和家庭的补助104,540元。   </w:t>
      </w:r>
    </w:p>
    <w:p>
      <w:pPr>
        <w:keepNext w:val="0"/>
        <w:keepLines w:val="0"/>
        <w:pageBreakBefore w:val="0"/>
        <w:widowControl/>
        <w:kinsoku/>
        <w:wordWrap/>
        <w:overflowPunct/>
        <w:topLinePunct w:val="0"/>
        <w:autoSpaceDE/>
        <w:autoSpaceDN/>
        <w:bidi w:val="0"/>
        <w:adjustRightInd w:val="0"/>
        <w:snapToGrid w:val="0"/>
        <w:spacing w:after="0" w:line="560" w:lineRule="exact"/>
        <w:ind w:left="75" w:leftChars="34" w:right="-482" w:rightChars="-219"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w:t>
      </w:r>
      <w:r>
        <w:rPr>
          <w:rFonts w:hint="eastAsia" w:ascii="仿宋_GB2312" w:eastAsia="仿宋_GB2312"/>
          <w:sz w:val="32"/>
          <w:szCs w:val="32"/>
          <w:lang w:val="en-US" w:eastAsia="zh-CN"/>
        </w:rPr>
        <w:t>公用经费为338,538元,较上年增长11.8%，是由于本单位为定额拨款单位，人员增加定额经费随之增长。包括商品服务支出338,538元。</w:t>
      </w:r>
    </w:p>
    <w:p>
      <w:pPr>
        <w:keepNext w:val="0"/>
        <w:keepLines w:val="0"/>
        <w:pageBreakBefore w:val="0"/>
        <w:widowControl/>
        <w:kinsoku/>
        <w:wordWrap/>
        <w:overflowPunct/>
        <w:topLinePunct w:val="0"/>
        <w:autoSpaceDE/>
        <w:autoSpaceDN/>
        <w:bidi w:val="0"/>
        <w:adjustRightInd w:val="0"/>
        <w:snapToGrid w:val="0"/>
        <w:spacing w:after="0" w:line="560" w:lineRule="exact"/>
        <w:ind w:left="75" w:leftChars="34" w:right="-482" w:rightChars="-219"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w:t>
      </w:r>
      <w:r>
        <w:rPr>
          <w:rFonts w:hint="eastAsia" w:ascii="仿宋_GB2312" w:eastAsia="仿宋_GB2312"/>
          <w:sz w:val="32"/>
          <w:szCs w:val="32"/>
        </w:rPr>
        <w:t>专项业务经费</w:t>
      </w:r>
      <w:r>
        <w:rPr>
          <w:rFonts w:hint="eastAsia" w:ascii="仿宋_GB2312" w:eastAsia="仿宋_GB2312"/>
          <w:sz w:val="32"/>
          <w:szCs w:val="32"/>
          <w:lang w:val="en-US" w:eastAsia="zh-CN"/>
        </w:rPr>
        <w:t>为585,600元,较上年增长8.4%，是由于今年增加临时工工资预算。包括商品服务支出585,600元。</w:t>
      </w:r>
    </w:p>
    <w:p>
      <w:pPr>
        <w:keepNext w:val="0"/>
        <w:keepLines w:val="0"/>
        <w:pageBreakBefore w:val="0"/>
        <w:widowControl/>
        <w:kinsoku/>
        <w:wordWrap/>
        <w:overflowPunct/>
        <w:topLinePunct w:val="0"/>
        <w:autoSpaceDE/>
        <w:autoSpaceDN/>
        <w:bidi w:val="0"/>
        <w:adjustRightInd w:val="0"/>
        <w:snapToGrid w:val="0"/>
        <w:spacing w:after="0" w:line="560" w:lineRule="exact"/>
        <w:ind w:left="-565" w:leftChars="-257" w:right="-482" w:rightChars="-219" w:firstLine="1280" w:firstLineChars="400"/>
        <w:jc w:val="both"/>
        <w:textAlignment w:val="auto"/>
        <w:rPr>
          <w:rFonts w:ascii="楷体" w:hAnsi="楷体" w:eastAsia="楷体"/>
          <w:sz w:val="32"/>
          <w:szCs w:val="32"/>
        </w:rPr>
      </w:pPr>
      <w:r>
        <w:rPr>
          <w:rFonts w:hint="eastAsia" w:ascii="楷体" w:hAnsi="楷体" w:eastAsia="楷体"/>
          <w:sz w:val="32"/>
          <w:szCs w:val="32"/>
        </w:rPr>
        <w:t>（三）政府性基金预算支出情况</w:t>
      </w:r>
    </w:p>
    <w:p>
      <w:pPr>
        <w:keepNext w:val="0"/>
        <w:keepLines w:val="0"/>
        <w:pageBreakBefore w:val="0"/>
        <w:widowControl/>
        <w:kinsoku/>
        <w:wordWrap/>
        <w:overflowPunct/>
        <w:topLinePunct w:val="0"/>
        <w:autoSpaceDE/>
        <w:autoSpaceDN/>
        <w:bidi w:val="0"/>
        <w:adjustRightInd w:val="0"/>
        <w:snapToGrid w:val="0"/>
        <w:spacing w:after="0" w:line="560" w:lineRule="exact"/>
        <w:ind w:left="-565" w:leftChars="-257" w:right="-482" w:rightChars="-219" w:firstLine="1280" w:firstLineChars="400"/>
        <w:jc w:val="both"/>
        <w:textAlignment w:val="auto"/>
        <w:rPr>
          <w:rFonts w:hint="eastAsia" w:ascii="仿宋_GB2312" w:eastAsia="仿宋_GB2312"/>
          <w:sz w:val="32"/>
          <w:szCs w:val="32"/>
        </w:rPr>
      </w:pPr>
      <w:r>
        <w:rPr>
          <w:rFonts w:hint="eastAsia" w:ascii="仿宋_GB2312" w:eastAsia="仿宋_GB2312"/>
          <w:sz w:val="32"/>
          <w:szCs w:val="32"/>
        </w:rPr>
        <w:t>本部门无政府性基金预算收支，并已公开空表。</w:t>
      </w:r>
    </w:p>
    <w:p>
      <w:pPr>
        <w:keepNext w:val="0"/>
        <w:keepLines w:val="0"/>
        <w:pageBreakBefore w:val="0"/>
        <w:widowControl/>
        <w:kinsoku/>
        <w:wordWrap/>
        <w:overflowPunct/>
        <w:topLinePunct w:val="0"/>
        <w:autoSpaceDE/>
        <w:autoSpaceDN/>
        <w:bidi w:val="0"/>
        <w:adjustRightInd w:val="0"/>
        <w:snapToGrid w:val="0"/>
        <w:spacing w:after="0" w:line="560" w:lineRule="exact"/>
        <w:ind w:left="-565" w:leftChars="-257" w:right="-482" w:rightChars="-219" w:firstLine="1280" w:firstLineChars="400"/>
        <w:jc w:val="both"/>
        <w:textAlignment w:val="auto"/>
        <w:rPr>
          <w:rFonts w:ascii="楷体" w:hAnsi="楷体" w:eastAsia="楷体"/>
          <w:sz w:val="32"/>
          <w:szCs w:val="32"/>
        </w:rPr>
      </w:pPr>
      <w:r>
        <w:rPr>
          <w:rFonts w:hint="eastAsia" w:ascii="仿宋_GB2312" w:eastAsia="仿宋_GB2312"/>
          <w:sz w:val="32"/>
          <w:szCs w:val="32"/>
        </w:rPr>
        <w:t>（</w:t>
      </w:r>
      <w:r>
        <w:rPr>
          <w:rFonts w:hint="eastAsia" w:ascii="楷体" w:hAnsi="楷体" w:eastAsia="楷体"/>
          <w:sz w:val="32"/>
          <w:szCs w:val="32"/>
        </w:rPr>
        <w:t>四）国有资本经营预算拨款收支情况</w:t>
      </w:r>
    </w:p>
    <w:p>
      <w:pPr>
        <w:keepNext w:val="0"/>
        <w:keepLines w:val="0"/>
        <w:pageBreakBefore w:val="0"/>
        <w:widowControl/>
        <w:kinsoku/>
        <w:wordWrap/>
        <w:overflowPunct/>
        <w:topLinePunct w:val="0"/>
        <w:autoSpaceDE/>
        <w:autoSpaceDN/>
        <w:bidi w:val="0"/>
        <w:adjustRightInd w:val="0"/>
        <w:snapToGrid w:val="0"/>
        <w:spacing w:after="0" w:line="560" w:lineRule="exact"/>
        <w:ind w:left="-565" w:leftChars="-257" w:right="-482" w:rightChars="-219" w:firstLine="1280" w:firstLineChars="400"/>
        <w:jc w:val="both"/>
        <w:textAlignment w:val="auto"/>
        <w:rPr>
          <w:rFonts w:ascii="仿宋_GB2312" w:eastAsia="仿宋_GB2312"/>
          <w:sz w:val="32"/>
          <w:szCs w:val="32"/>
        </w:rPr>
      </w:pPr>
      <w:r>
        <w:rPr>
          <w:rFonts w:hint="eastAsia" w:ascii="仿宋_GB2312" w:eastAsia="仿宋_GB2312"/>
          <w:sz w:val="32"/>
          <w:szCs w:val="32"/>
        </w:rPr>
        <w:t>本部门无国有资本经营预算拨款收支。</w:t>
      </w:r>
    </w:p>
    <w:p>
      <w:pPr>
        <w:keepNext w:val="0"/>
        <w:keepLines w:val="0"/>
        <w:pageBreakBefore w:val="0"/>
        <w:widowControl/>
        <w:kinsoku/>
        <w:wordWrap/>
        <w:overflowPunct/>
        <w:topLinePunct w:val="0"/>
        <w:autoSpaceDE/>
        <w:autoSpaceDN/>
        <w:bidi w:val="0"/>
        <w:adjustRightInd w:val="0"/>
        <w:snapToGrid w:val="0"/>
        <w:spacing w:after="0" w:line="560" w:lineRule="exact"/>
        <w:ind w:left="-565" w:leftChars="-257" w:right="-482" w:rightChars="-219" w:firstLine="1280" w:firstLineChars="400"/>
        <w:jc w:val="both"/>
        <w:textAlignment w:val="auto"/>
        <w:rPr>
          <w:rFonts w:ascii="楷体" w:hAnsi="楷体" w:eastAsia="楷体"/>
          <w:sz w:val="32"/>
          <w:szCs w:val="32"/>
        </w:rPr>
      </w:pPr>
      <w:r>
        <w:rPr>
          <w:rFonts w:hint="eastAsia" w:ascii="楷体" w:hAnsi="楷体" w:eastAsia="楷体"/>
          <w:sz w:val="32"/>
          <w:szCs w:val="32"/>
        </w:rPr>
        <w:t>（五）“三公”经费等预算情况</w:t>
      </w:r>
    </w:p>
    <w:p>
      <w:pPr>
        <w:keepNext w:val="0"/>
        <w:keepLines w:val="0"/>
        <w:pageBreakBefore w:val="0"/>
        <w:widowControl/>
        <w:kinsoku/>
        <w:wordWrap/>
        <w:overflowPunct/>
        <w:topLinePunct w:val="0"/>
        <w:autoSpaceDE/>
        <w:autoSpaceDN/>
        <w:bidi w:val="0"/>
        <w:adjustRightInd w:val="0"/>
        <w:snapToGrid w:val="0"/>
        <w:spacing w:after="0" w:line="560" w:lineRule="exact"/>
        <w:ind w:left="75" w:leftChars="34" w:right="-482" w:rightChars="-219"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2018年</w:t>
      </w:r>
      <w:r>
        <w:rPr>
          <w:rFonts w:hint="eastAsia" w:ascii="仿宋_GB2312" w:eastAsia="仿宋_GB2312"/>
          <w:sz w:val="32"/>
          <w:szCs w:val="32"/>
        </w:rPr>
        <w:t>“三公”经费</w:t>
      </w:r>
      <w:r>
        <w:rPr>
          <w:rFonts w:hint="eastAsia" w:ascii="仿宋_GB2312" w:eastAsia="仿宋_GB2312"/>
          <w:sz w:val="32"/>
          <w:szCs w:val="32"/>
          <w:lang w:eastAsia="zh-CN"/>
        </w:rPr>
        <w:t>为</w:t>
      </w:r>
      <w:r>
        <w:rPr>
          <w:rFonts w:hint="eastAsia" w:ascii="仿宋_GB2312" w:eastAsia="仿宋_GB2312"/>
          <w:sz w:val="32"/>
          <w:szCs w:val="32"/>
          <w:lang w:val="en-US" w:eastAsia="zh-CN"/>
        </w:rPr>
        <w:t>142,272元，较上年下降22.7%，是由于加强财务管理，厉行节约，减少经费支出。其中：因公出国（境）费0万元，与上年持平；公务接待费28,272元，较上年下降5.8%；公务用车购置和运行费114,000元，较上年下降26.0%。2018年</w:t>
      </w:r>
      <w:r>
        <w:rPr>
          <w:rFonts w:hint="eastAsia" w:ascii="仿宋_GB2312" w:eastAsia="仿宋_GB2312"/>
          <w:sz w:val="32"/>
          <w:szCs w:val="32"/>
        </w:rPr>
        <w:t>会议费</w:t>
      </w:r>
      <w:r>
        <w:rPr>
          <w:rFonts w:hint="eastAsia" w:ascii="仿宋_GB2312" w:eastAsia="仿宋_GB2312"/>
          <w:sz w:val="32"/>
          <w:szCs w:val="32"/>
          <w:lang w:val="en-US" w:eastAsia="zh-CN"/>
        </w:rPr>
        <w:t>248,835元，较上年持平。2018年</w:t>
      </w:r>
      <w:r>
        <w:rPr>
          <w:rFonts w:hint="eastAsia" w:ascii="仿宋_GB2312" w:eastAsia="仿宋_GB2312"/>
          <w:sz w:val="32"/>
          <w:szCs w:val="32"/>
        </w:rPr>
        <w:t>培训费</w:t>
      </w:r>
      <w:r>
        <w:rPr>
          <w:rFonts w:hint="eastAsia" w:ascii="仿宋_GB2312" w:eastAsia="仿宋_GB2312"/>
          <w:sz w:val="32"/>
          <w:szCs w:val="32"/>
          <w:lang w:val="en-US" w:eastAsia="zh-CN"/>
        </w:rPr>
        <w:t>0元，与上年相同。</w:t>
      </w:r>
    </w:p>
    <w:p>
      <w:pPr>
        <w:keepNext w:val="0"/>
        <w:keepLines w:val="0"/>
        <w:pageBreakBefore w:val="0"/>
        <w:widowControl/>
        <w:kinsoku/>
        <w:wordWrap/>
        <w:overflowPunct/>
        <w:topLinePunct w:val="0"/>
        <w:autoSpaceDE/>
        <w:autoSpaceDN/>
        <w:bidi w:val="0"/>
        <w:adjustRightInd w:val="0"/>
        <w:snapToGrid w:val="0"/>
        <w:spacing w:after="0" w:line="560" w:lineRule="exact"/>
        <w:ind w:left="-565" w:leftChars="-257" w:right="-482" w:rightChars="-219" w:firstLine="1280" w:firstLineChars="400"/>
        <w:jc w:val="both"/>
        <w:textAlignment w:val="auto"/>
        <w:rPr>
          <w:rFonts w:ascii="楷体" w:hAnsi="楷体" w:eastAsia="楷体"/>
          <w:sz w:val="32"/>
          <w:szCs w:val="32"/>
        </w:rPr>
      </w:pPr>
      <w:r>
        <w:rPr>
          <w:rFonts w:hint="eastAsia" w:ascii="楷体" w:hAnsi="楷体" w:eastAsia="楷体"/>
          <w:sz w:val="32"/>
          <w:szCs w:val="32"/>
        </w:rPr>
        <w:t>（六）机关运行经费安排情况</w:t>
      </w:r>
    </w:p>
    <w:p>
      <w:pPr>
        <w:keepNext w:val="0"/>
        <w:keepLines w:val="0"/>
        <w:pageBreakBefore w:val="0"/>
        <w:widowControl/>
        <w:kinsoku/>
        <w:wordWrap/>
        <w:overflowPunct/>
        <w:topLinePunct w:val="0"/>
        <w:autoSpaceDE/>
        <w:autoSpaceDN/>
        <w:bidi w:val="0"/>
        <w:adjustRightInd w:val="0"/>
        <w:snapToGrid w:val="0"/>
        <w:spacing w:after="0" w:line="560" w:lineRule="exact"/>
        <w:ind w:left="75" w:leftChars="34" w:right="-482" w:rightChars="-219"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2018年公用经费为338,538元,较上年增长11.8%，是由于本单位为定额拨款单位，人员增加定额经费随之增长。</w:t>
      </w:r>
    </w:p>
    <w:p>
      <w:pPr>
        <w:keepNext w:val="0"/>
        <w:keepLines w:val="0"/>
        <w:pageBreakBefore w:val="0"/>
        <w:widowControl/>
        <w:kinsoku/>
        <w:wordWrap/>
        <w:overflowPunct/>
        <w:topLinePunct w:val="0"/>
        <w:autoSpaceDE/>
        <w:autoSpaceDN/>
        <w:bidi w:val="0"/>
        <w:adjustRightInd w:val="0"/>
        <w:snapToGrid w:val="0"/>
        <w:spacing w:after="0" w:line="560" w:lineRule="exact"/>
        <w:ind w:left="-565" w:leftChars="-257" w:right="-482" w:rightChars="-219" w:firstLine="1280" w:firstLineChars="400"/>
        <w:jc w:val="both"/>
        <w:textAlignment w:val="auto"/>
        <w:rPr>
          <w:rFonts w:ascii="楷体" w:hAnsi="楷体" w:eastAsia="楷体"/>
          <w:sz w:val="32"/>
          <w:szCs w:val="32"/>
        </w:rPr>
      </w:pPr>
      <w:r>
        <w:rPr>
          <w:rFonts w:hint="eastAsia" w:ascii="楷体" w:hAnsi="楷体" w:eastAsia="楷体"/>
          <w:sz w:val="32"/>
          <w:szCs w:val="32"/>
        </w:rPr>
        <w:t>（七）政府采购情况</w:t>
      </w:r>
    </w:p>
    <w:p>
      <w:pPr>
        <w:keepNext w:val="0"/>
        <w:keepLines w:val="0"/>
        <w:pageBreakBefore w:val="0"/>
        <w:widowControl/>
        <w:kinsoku/>
        <w:wordWrap/>
        <w:overflowPunct/>
        <w:topLinePunct w:val="0"/>
        <w:autoSpaceDE/>
        <w:autoSpaceDN/>
        <w:bidi w:val="0"/>
        <w:adjustRightInd w:val="0"/>
        <w:snapToGrid w:val="0"/>
        <w:spacing w:after="0" w:line="560" w:lineRule="exact"/>
        <w:ind w:left="-565" w:leftChars="-257" w:right="-482" w:rightChars="-219" w:firstLine="1280" w:firstLineChars="400"/>
        <w:jc w:val="both"/>
        <w:textAlignment w:val="auto"/>
        <w:rPr>
          <w:rFonts w:hint="eastAsia" w:ascii="仿宋_GB2312" w:eastAsia="仿宋_GB2312"/>
          <w:sz w:val="32"/>
          <w:szCs w:val="32"/>
        </w:rPr>
      </w:pPr>
      <w:r>
        <w:rPr>
          <w:rFonts w:hint="eastAsia" w:ascii="仿宋_GB2312" w:eastAsia="仿宋_GB2312"/>
          <w:sz w:val="32"/>
          <w:szCs w:val="32"/>
        </w:rPr>
        <w:t>本部门</w:t>
      </w:r>
      <w:r>
        <w:rPr>
          <w:rFonts w:ascii="仿宋_GB2312" w:eastAsia="仿宋_GB2312"/>
          <w:sz w:val="32"/>
          <w:szCs w:val="32"/>
        </w:rPr>
        <w:t>2018</w:t>
      </w:r>
      <w:r>
        <w:rPr>
          <w:rFonts w:hint="eastAsia" w:ascii="仿宋_GB2312" w:eastAsia="仿宋_GB2312"/>
          <w:sz w:val="32"/>
          <w:szCs w:val="32"/>
        </w:rPr>
        <w:t>年无政府采购预算，并已公开空表。</w:t>
      </w:r>
    </w:p>
    <w:p>
      <w:pPr>
        <w:keepNext w:val="0"/>
        <w:keepLines w:val="0"/>
        <w:pageBreakBefore w:val="0"/>
        <w:widowControl/>
        <w:numPr>
          <w:ilvl w:val="0"/>
          <w:numId w:val="1"/>
        </w:numPr>
        <w:kinsoku/>
        <w:wordWrap/>
        <w:overflowPunct/>
        <w:topLinePunct w:val="0"/>
        <w:autoSpaceDE/>
        <w:autoSpaceDN/>
        <w:bidi w:val="0"/>
        <w:adjustRightInd w:val="0"/>
        <w:snapToGrid w:val="0"/>
        <w:spacing w:after="0" w:line="560" w:lineRule="exact"/>
        <w:ind w:left="-565" w:leftChars="-257" w:right="-482" w:rightChars="-219" w:firstLine="1280" w:firstLineChars="4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国有资产占用情况</w:t>
      </w:r>
    </w:p>
    <w:p>
      <w:pPr>
        <w:keepNext w:val="0"/>
        <w:keepLines w:val="0"/>
        <w:pageBreakBefore w:val="0"/>
        <w:widowControl/>
        <w:numPr>
          <w:numId w:val="0"/>
        </w:numPr>
        <w:kinsoku/>
        <w:wordWrap/>
        <w:overflowPunct/>
        <w:topLinePunct w:val="0"/>
        <w:autoSpaceDE/>
        <w:autoSpaceDN/>
        <w:bidi w:val="0"/>
        <w:adjustRightInd w:val="0"/>
        <w:snapToGrid w:val="0"/>
        <w:spacing w:after="0" w:line="560" w:lineRule="exact"/>
        <w:ind w:leftChars="143" w:right="-482" w:rightChars="-219"/>
        <w:jc w:val="both"/>
        <w:textAlignment w:val="auto"/>
        <w:rPr>
          <w:rFonts w:hint="eastAsia" w:ascii="仿宋_GB2312" w:eastAsia="仿宋_GB2312"/>
          <w:sz w:val="32"/>
          <w:szCs w:val="32"/>
          <w:lang w:val="en-US" w:eastAsia="zh-CN"/>
        </w:rPr>
      </w:pPr>
      <w:r>
        <w:rPr>
          <w:rFonts w:hint="eastAsia" w:ascii="华文仿宋" w:hAnsi="华文仿宋" w:eastAsia="华文仿宋" w:cs="华文仿宋"/>
          <w:sz w:val="32"/>
          <w:szCs w:val="32"/>
        </w:rPr>
        <w:t>本部门共有车辆</w:t>
      </w:r>
      <w:r>
        <w:rPr>
          <w:rFonts w:hint="eastAsia" w:ascii="华文仿宋" w:hAnsi="华文仿宋" w:eastAsia="华文仿宋" w:cs="华文仿宋"/>
          <w:sz w:val="32"/>
          <w:szCs w:val="32"/>
          <w:lang w:val="en-US" w:eastAsia="zh-CN"/>
        </w:rPr>
        <w:t>4</w:t>
      </w:r>
      <w:r>
        <w:rPr>
          <w:rFonts w:hint="eastAsia" w:ascii="华文仿宋" w:hAnsi="华文仿宋" w:eastAsia="华文仿宋" w:cs="华文仿宋"/>
          <w:sz w:val="32"/>
          <w:szCs w:val="32"/>
        </w:rPr>
        <w:t>辆，其中，一般公务用车</w:t>
      </w:r>
      <w:r>
        <w:rPr>
          <w:rFonts w:hint="eastAsia" w:ascii="华文仿宋" w:hAnsi="华文仿宋" w:eastAsia="华文仿宋" w:cs="华文仿宋"/>
          <w:sz w:val="32"/>
          <w:szCs w:val="32"/>
          <w:lang w:val="en-US" w:eastAsia="zh-CN"/>
        </w:rPr>
        <w:t>4</w:t>
      </w:r>
      <w:r>
        <w:rPr>
          <w:rFonts w:hint="eastAsia" w:ascii="华文仿宋" w:hAnsi="华文仿宋" w:eastAsia="华文仿宋" w:cs="华文仿宋"/>
          <w:sz w:val="32"/>
          <w:szCs w:val="32"/>
        </w:rPr>
        <w:t>辆、一般执法执勤用车</w:t>
      </w:r>
      <w:r>
        <w:rPr>
          <w:rFonts w:hint="eastAsia" w:ascii="华文仿宋" w:hAnsi="华文仿宋" w:eastAsia="华文仿宋" w:cs="华文仿宋"/>
          <w:sz w:val="32"/>
          <w:szCs w:val="32"/>
          <w:lang w:val="en-US" w:eastAsia="zh-CN"/>
        </w:rPr>
        <w:t>0</w:t>
      </w:r>
      <w:r>
        <w:rPr>
          <w:rFonts w:hint="eastAsia" w:ascii="华文仿宋" w:hAnsi="华文仿宋" w:eastAsia="华文仿宋" w:cs="华文仿宋"/>
          <w:sz w:val="32"/>
          <w:szCs w:val="32"/>
        </w:rPr>
        <w:t>辆、特种专业技术用车</w:t>
      </w:r>
      <w:r>
        <w:rPr>
          <w:rFonts w:hint="eastAsia" w:ascii="华文仿宋" w:hAnsi="华文仿宋" w:eastAsia="华文仿宋" w:cs="华文仿宋"/>
          <w:sz w:val="32"/>
          <w:szCs w:val="32"/>
          <w:lang w:val="en-US" w:eastAsia="zh-CN"/>
        </w:rPr>
        <w:t>0</w:t>
      </w:r>
      <w:r>
        <w:rPr>
          <w:rFonts w:hint="eastAsia" w:ascii="华文仿宋" w:hAnsi="华文仿宋" w:eastAsia="华文仿宋" w:cs="华文仿宋"/>
          <w:sz w:val="32"/>
          <w:szCs w:val="32"/>
        </w:rPr>
        <w:t>辆、其他用车</w:t>
      </w:r>
      <w:r>
        <w:rPr>
          <w:rFonts w:hint="eastAsia" w:ascii="华文仿宋" w:hAnsi="华文仿宋" w:eastAsia="华文仿宋" w:cs="华文仿宋"/>
          <w:sz w:val="32"/>
          <w:szCs w:val="32"/>
          <w:lang w:val="en-US" w:eastAsia="zh-CN"/>
        </w:rPr>
        <w:t>0</w:t>
      </w:r>
      <w:r>
        <w:rPr>
          <w:rFonts w:hint="eastAsia" w:ascii="华文仿宋" w:hAnsi="华文仿宋" w:eastAsia="华文仿宋" w:cs="华文仿宋"/>
          <w:sz w:val="32"/>
          <w:szCs w:val="32"/>
        </w:rPr>
        <w:t>辆；单价50万元以上的通用设备</w:t>
      </w:r>
      <w:r>
        <w:rPr>
          <w:rFonts w:hint="eastAsia" w:ascii="华文仿宋" w:hAnsi="华文仿宋" w:eastAsia="华文仿宋" w:cs="华文仿宋"/>
          <w:sz w:val="32"/>
          <w:szCs w:val="32"/>
          <w:lang w:val="en-US" w:eastAsia="zh-CN"/>
        </w:rPr>
        <w:t>0</w:t>
      </w:r>
      <w:r>
        <w:rPr>
          <w:rFonts w:hint="eastAsia" w:ascii="华文仿宋" w:hAnsi="华文仿宋" w:eastAsia="华文仿宋" w:cs="华文仿宋"/>
          <w:sz w:val="32"/>
          <w:szCs w:val="32"/>
        </w:rPr>
        <w:t>台（套）；单价100万元以上的通用设备</w:t>
      </w:r>
      <w:r>
        <w:rPr>
          <w:rFonts w:hint="eastAsia" w:ascii="华文仿宋" w:hAnsi="华文仿宋" w:eastAsia="华文仿宋" w:cs="华文仿宋"/>
          <w:sz w:val="32"/>
          <w:szCs w:val="32"/>
          <w:lang w:val="en-US" w:eastAsia="zh-CN"/>
        </w:rPr>
        <w:t>0</w:t>
      </w:r>
      <w:r>
        <w:rPr>
          <w:rFonts w:hint="eastAsia" w:ascii="华文仿宋" w:hAnsi="华文仿宋" w:eastAsia="华文仿宋" w:cs="华文仿宋"/>
          <w:sz w:val="32"/>
          <w:szCs w:val="32"/>
        </w:rPr>
        <w:t>台（套）。2017年当年购置车辆</w:t>
      </w:r>
      <w:r>
        <w:rPr>
          <w:rFonts w:hint="eastAsia" w:ascii="华文仿宋" w:hAnsi="华文仿宋" w:eastAsia="华文仿宋" w:cs="华文仿宋"/>
          <w:sz w:val="32"/>
          <w:szCs w:val="32"/>
          <w:lang w:val="en-US" w:eastAsia="zh-CN"/>
        </w:rPr>
        <w:t>0</w:t>
      </w:r>
      <w:r>
        <w:rPr>
          <w:rFonts w:hint="eastAsia" w:ascii="华文仿宋" w:hAnsi="华文仿宋" w:eastAsia="华文仿宋" w:cs="华文仿宋"/>
          <w:sz w:val="32"/>
          <w:szCs w:val="32"/>
        </w:rPr>
        <w:t>辆；购置单价50万元以上的设备</w:t>
      </w:r>
      <w:r>
        <w:rPr>
          <w:rFonts w:hint="eastAsia" w:ascii="华文仿宋" w:hAnsi="华文仿宋" w:eastAsia="华文仿宋" w:cs="华文仿宋"/>
          <w:sz w:val="32"/>
          <w:szCs w:val="32"/>
          <w:lang w:val="en-US" w:eastAsia="zh-CN"/>
        </w:rPr>
        <w:t>0</w:t>
      </w:r>
      <w:r>
        <w:rPr>
          <w:rFonts w:hint="eastAsia" w:ascii="华文仿宋" w:hAnsi="华文仿宋" w:eastAsia="华文仿宋" w:cs="华文仿宋"/>
          <w:sz w:val="32"/>
          <w:szCs w:val="32"/>
        </w:rPr>
        <w:t>台（套）；购置单价100万元以上的通用设备</w:t>
      </w:r>
      <w:r>
        <w:rPr>
          <w:rFonts w:hint="eastAsia" w:ascii="华文仿宋" w:hAnsi="华文仿宋" w:eastAsia="华文仿宋" w:cs="华文仿宋"/>
          <w:sz w:val="32"/>
          <w:szCs w:val="32"/>
          <w:lang w:val="en-US" w:eastAsia="zh-CN"/>
        </w:rPr>
        <w:t>0</w:t>
      </w:r>
      <w:r>
        <w:rPr>
          <w:rFonts w:hint="eastAsia" w:ascii="华文仿宋" w:hAnsi="华文仿宋" w:eastAsia="华文仿宋" w:cs="华文仿宋"/>
          <w:sz w:val="32"/>
          <w:szCs w:val="32"/>
        </w:rPr>
        <w:t>台（套）。</w:t>
      </w:r>
      <w:bookmarkStart w:id="0" w:name="_GoBack"/>
      <w:bookmarkEnd w:id="0"/>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leftChars="143" w:right="-482" w:rightChars="-219"/>
        <w:jc w:val="both"/>
        <w:textAlignment w:val="auto"/>
        <w:rPr>
          <w:rFonts w:hint="eastAsia" w:ascii="仿宋_GB2312" w:eastAsia="仿宋_GB2312"/>
          <w:sz w:val="32"/>
          <w:szCs w:val="32"/>
          <w:lang w:val="en-US" w:eastAsia="zh-CN"/>
        </w:rPr>
      </w:pPr>
    </w:p>
    <w:p>
      <w:pPr>
        <w:keepNext w:val="0"/>
        <w:keepLines w:val="0"/>
        <w:pageBreakBefore w:val="0"/>
        <w:widowControl/>
        <w:kinsoku/>
        <w:wordWrap/>
        <w:overflowPunct/>
        <w:topLinePunct w:val="0"/>
        <w:autoSpaceDE/>
        <w:autoSpaceDN/>
        <w:bidi w:val="0"/>
        <w:adjustRightInd w:val="0"/>
        <w:snapToGrid w:val="0"/>
        <w:spacing w:after="0" w:line="560" w:lineRule="exact"/>
        <w:ind w:left="-565" w:leftChars="-257" w:right="-482" w:rightChars="-219" w:firstLine="640" w:firstLineChars="200"/>
        <w:jc w:val="both"/>
        <w:textAlignment w:val="auto"/>
        <w:rPr>
          <w:rFonts w:ascii="仿宋_GB2312" w:eastAsia="仿宋_GB2312"/>
          <w:sz w:val="32"/>
          <w:szCs w:val="32"/>
        </w:rPr>
      </w:pPr>
      <w:r>
        <w:rPr>
          <w:rFonts w:ascii="仿宋_GB2312" w:eastAsia="仿宋_GB2312"/>
          <w:sz w:val="32"/>
          <w:szCs w:val="32"/>
        </w:rPr>
        <w:t xml:space="preserve">        </w:t>
      </w:r>
    </w:p>
    <w:p>
      <w:pPr>
        <w:keepNext w:val="0"/>
        <w:keepLines w:val="0"/>
        <w:pageBreakBefore w:val="0"/>
        <w:widowControl/>
        <w:kinsoku/>
        <w:wordWrap/>
        <w:overflowPunct/>
        <w:topLinePunct w:val="0"/>
        <w:autoSpaceDE/>
        <w:autoSpaceDN/>
        <w:bidi w:val="0"/>
        <w:adjustRightInd w:val="0"/>
        <w:snapToGrid w:val="0"/>
        <w:spacing w:after="0" w:line="560" w:lineRule="exact"/>
        <w:ind w:left="-565" w:leftChars="-257" w:right="-482" w:rightChars="-219" w:firstLine="640" w:firstLineChars="200"/>
        <w:jc w:val="both"/>
        <w:textAlignment w:val="auto"/>
        <w:rPr>
          <w:rFonts w:ascii="仿宋_GB2312" w:eastAsia="仿宋_GB2312"/>
          <w:sz w:val="32"/>
          <w:szCs w:val="32"/>
        </w:rPr>
      </w:pPr>
    </w:p>
    <w:p>
      <w:pPr>
        <w:keepNext w:val="0"/>
        <w:keepLines w:val="0"/>
        <w:pageBreakBefore w:val="0"/>
        <w:widowControl/>
        <w:kinsoku/>
        <w:wordWrap/>
        <w:overflowPunct/>
        <w:topLinePunct w:val="0"/>
        <w:autoSpaceDE/>
        <w:autoSpaceDN/>
        <w:bidi w:val="0"/>
        <w:adjustRightInd w:val="0"/>
        <w:snapToGrid w:val="0"/>
        <w:spacing w:after="0" w:line="560" w:lineRule="exact"/>
        <w:ind w:left="-565" w:leftChars="-257" w:right="-482" w:rightChars="-219" w:firstLine="640" w:firstLineChars="200"/>
        <w:jc w:val="both"/>
        <w:textAlignment w:val="auto"/>
        <w:rPr>
          <w:rFonts w:ascii="仿宋_GB2312" w:eastAsia="仿宋_GB2312"/>
          <w:sz w:val="32"/>
          <w:szCs w:val="32"/>
        </w:rPr>
      </w:pPr>
      <w:r>
        <w:rPr>
          <w:rFonts w:ascii="仿宋_GB2312" w:eastAsia="仿宋_GB2312"/>
          <w:sz w:val="32"/>
          <w:szCs w:val="32"/>
        </w:rPr>
        <w:t xml:space="preserve">                     </w:t>
      </w:r>
    </w:p>
    <w:p>
      <w:pPr>
        <w:keepNext w:val="0"/>
        <w:keepLines w:val="0"/>
        <w:pageBreakBefore w:val="0"/>
        <w:widowControl/>
        <w:kinsoku/>
        <w:wordWrap/>
        <w:overflowPunct/>
        <w:topLinePunct w:val="0"/>
        <w:autoSpaceDE/>
        <w:autoSpaceDN/>
        <w:bidi w:val="0"/>
        <w:adjustRightInd w:val="0"/>
        <w:snapToGrid w:val="0"/>
        <w:spacing w:after="0" w:line="560" w:lineRule="exact"/>
        <w:ind w:left="-565" w:leftChars="-257" w:right="-482" w:rightChars="-219" w:firstLine="3840" w:firstLineChars="1200"/>
        <w:jc w:val="both"/>
        <w:textAlignment w:val="auto"/>
        <w:rPr>
          <w:rFonts w:ascii="仿宋_GB2312" w:eastAsia="仿宋_GB2312"/>
          <w:sz w:val="32"/>
          <w:szCs w:val="32"/>
        </w:rPr>
      </w:pPr>
      <w:r>
        <w:rPr>
          <w:rFonts w:hint="eastAsia" w:ascii="仿宋_GB2312" w:eastAsia="仿宋_GB2312"/>
          <w:sz w:val="32"/>
          <w:szCs w:val="32"/>
        </w:rPr>
        <w:t>西安市阎良区</w:t>
      </w:r>
      <w:r>
        <w:rPr>
          <w:rFonts w:hint="eastAsia" w:ascii="仿宋_GB2312" w:eastAsia="仿宋_GB2312"/>
          <w:sz w:val="32"/>
          <w:szCs w:val="32"/>
          <w:lang w:eastAsia="zh-CN"/>
        </w:rPr>
        <w:t>人大常委会办公室</w:t>
      </w:r>
    </w:p>
    <w:p>
      <w:pPr>
        <w:keepNext w:val="0"/>
        <w:keepLines w:val="0"/>
        <w:pageBreakBefore w:val="0"/>
        <w:widowControl/>
        <w:kinsoku/>
        <w:wordWrap/>
        <w:overflowPunct/>
        <w:topLinePunct w:val="0"/>
        <w:autoSpaceDE/>
        <w:autoSpaceDN/>
        <w:bidi w:val="0"/>
        <w:adjustRightInd w:val="0"/>
        <w:snapToGrid w:val="0"/>
        <w:spacing w:after="0" w:line="560" w:lineRule="exact"/>
        <w:ind w:left="-565" w:leftChars="-257" w:right="-482" w:rightChars="-219" w:firstLine="640" w:firstLineChars="200"/>
        <w:jc w:val="both"/>
        <w:textAlignment w:val="auto"/>
        <w:rPr>
          <w:rFonts w:ascii="仿宋_GB2312" w:eastAsia="仿宋_GB2312"/>
          <w:sz w:val="32"/>
          <w:szCs w:val="32"/>
        </w:rPr>
      </w:pPr>
      <w:r>
        <w:rPr>
          <w:rFonts w:ascii="仿宋_GB2312" w:eastAsia="仿宋_GB2312"/>
          <w:sz w:val="32"/>
          <w:szCs w:val="32"/>
        </w:rPr>
        <w:t xml:space="preserve">                          2018</w:t>
      </w:r>
      <w:r>
        <w:rPr>
          <w:rFonts w:hint="eastAsia" w:ascii="仿宋_GB2312" w:eastAsia="仿宋_GB2312"/>
          <w:sz w:val="32"/>
          <w:szCs w:val="32"/>
        </w:rPr>
        <w:t>年</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2</w:t>
      </w:r>
      <w:r>
        <w:rPr>
          <w:rFonts w:hint="eastAsia" w:ascii="仿宋_GB2312" w:eastAsia="仿宋_GB2312"/>
          <w:sz w:val="32"/>
          <w:szCs w:val="32"/>
        </w:rPr>
        <w:t>日</w:t>
      </w:r>
    </w:p>
    <w:sectPr>
      <w:headerReference r:id="rId5" w:type="first"/>
      <w:footerReference r:id="rId8" w:type="first"/>
      <w:headerReference r:id="rId3" w:type="default"/>
      <w:footerReference r:id="rId6" w:type="default"/>
      <w:headerReference r:id="rId4" w:type="even"/>
      <w:footerReference r:id="rId7" w:type="even"/>
      <w:pgSz w:w="11850" w:h="16783"/>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altName w:val="方正兰亭超细黑简体"/>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9HKErcBAABXAwAADgAAAGRycy9lMm9Eb2MueG1srVNNrtMwEN4jcQfL&#10;e5q00kMlavoEenoICQHSgwO4jt1Y8p9m3Ca9ANyAFRv2nKvnYOwmffzsEBtnPDP+Zr5vJpvb0Vl2&#10;VIAm+JYvFzVnysvQGb9v+aeP98/WnGESvhM2eNXyk0J+u336ZDPERq1CH2yngBGIx2aILe9Tik1V&#10;oeyVE7gIUXkK6gBOJLrCvupADITubLWq6+fVEKCLEKRCJO/dJci3BV9rJdN7rVElZltOvaVyQjl3&#10;+ay2G9HsQcTeyKkN8Q9dOGE8Fb1C3Ykk2AHMX1DOSAgYdFrI4KqgtZGqcCA2y/oPNg+9iKpwIXEw&#10;XmXC/wcr3x0/ADMdzY4zLxyN6Pz1y/nbj/P3z2xZr26yQkPEhhIfIqWm8VUYc/bkR3Jm4qMGl79E&#10;iVGctD5d9VVjYjI/Wq/W65pCkmLzhXCqx+cRML1WwbFstBxogEVXcXyL6ZI6p+RqPtwba8kvGuvZ&#10;0PIXN9TybxECt55qZBKXZrOVxt04MdiF7kTEBlqClnvaUs7sG08a532ZDZiN3WwcIph9XxYq18P4&#10;8pCom9JkrnCBnQrT9ArNadPyevx6L1mP/8P2J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Aj&#10;0coStwEAAFcDAAAOAAAAAAAAAAEAIAAAAB4BAABkcnMvZTJvRG9jLnhtbFBLBQYAAAAABgAGAFkB&#10;AABHBQAAAAA=&#10;">
              <v:fill on="f" focussize="0,0"/>
              <v:stroke on="f"/>
              <v:imagedata o:title=""/>
              <o:lock v:ext="edit" aspectratio="f"/>
              <v:textbox inset="0mm,0mm,0mm,0mm" style="mso-fit-shape-to-text:t;">
                <w:txbxContent>
                  <w:p>
                    <w:pPr>
                      <w:pStyle w:val="2"/>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6B1E70"/>
    <w:multiLevelType w:val="singleLevel"/>
    <w:tmpl w:val="E16B1E70"/>
    <w:lvl w:ilvl="0" w:tentative="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noLineBreaksAfter w:lang="zh-CN" w:val="$([{£¥·‘“〈《「『【〔〖〝﹙﹛﹝＄（．［｛￡￥"/>
  <w:noLineBreaksBefore w:lang="zh-CN" w:val="!%),.:;&gt;?]}¢¨°·ˇˉ―‖’”…‰′″›℃∶、。〃〉》」』】〕〗〞︶︺︾﹀﹄﹚﹜﹞！＂％＇），．：；？］｀｜｝～￠"/>
  <w:hdrShapeDefaults>
    <o:shapelayout v:ext="edit">
      <o:idmap v:ext="edit" data="3,4"/>
    </o:shapelayout>
  </w:hdrShapeDefaults>
  <w:compat>
    <w:doNotExpandShiftReturn/>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4060D"/>
    <w:rsid w:val="00054594"/>
    <w:rsid w:val="00076E9F"/>
    <w:rsid w:val="000A476B"/>
    <w:rsid w:val="000B33F0"/>
    <w:rsid w:val="00140A01"/>
    <w:rsid w:val="00191929"/>
    <w:rsid w:val="001B2DD8"/>
    <w:rsid w:val="001B2EC6"/>
    <w:rsid w:val="002A2A51"/>
    <w:rsid w:val="003042A4"/>
    <w:rsid w:val="00323B43"/>
    <w:rsid w:val="003769EC"/>
    <w:rsid w:val="003D37D8"/>
    <w:rsid w:val="0040455B"/>
    <w:rsid w:val="004225F0"/>
    <w:rsid w:val="00426133"/>
    <w:rsid w:val="004358AB"/>
    <w:rsid w:val="00441C83"/>
    <w:rsid w:val="004D0860"/>
    <w:rsid w:val="0053663D"/>
    <w:rsid w:val="00546867"/>
    <w:rsid w:val="006166F5"/>
    <w:rsid w:val="0062314B"/>
    <w:rsid w:val="0064536F"/>
    <w:rsid w:val="006846BF"/>
    <w:rsid w:val="006E14EE"/>
    <w:rsid w:val="00776600"/>
    <w:rsid w:val="00781C28"/>
    <w:rsid w:val="007C1E74"/>
    <w:rsid w:val="007D211F"/>
    <w:rsid w:val="008012A3"/>
    <w:rsid w:val="0081323B"/>
    <w:rsid w:val="00851793"/>
    <w:rsid w:val="008909B0"/>
    <w:rsid w:val="008B7726"/>
    <w:rsid w:val="0091149E"/>
    <w:rsid w:val="009F2D3A"/>
    <w:rsid w:val="009F5294"/>
    <w:rsid w:val="00AB0FA4"/>
    <w:rsid w:val="00B2785D"/>
    <w:rsid w:val="00B42601"/>
    <w:rsid w:val="00B808FA"/>
    <w:rsid w:val="00B875BB"/>
    <w:rsid w:val="00B95AA1"/>
    <w:rsid w:val="00BC0168"/>
    <w:rsid w:val="00CC7213"/>
    <w:rsid w:val="00D06DA5"/>
    <w:rsid w:val="00D31D50"/>
    <w:rsid w:val="00D4357B"/>
    <w:rsid w:val="00D9539B"/>
    <w:rsid w:val="00DA746C"/>
    <w:rsid w:val="00EE2799"/>
    <w:rsid w:val="00EF4A96"/>
    <w:rsid w:val="00F20280"/>
    <w:rsid w:val="00F748DE"/>
    <w:rsid w:val="00F77430"/>
    <w:rsid w:val="03C64A4C"/>
    <w:rsid w:val="0B1078A7"/>
    <w:rsid w:val="1BEC0A1C"/>
    <w:rsid w:val="2167298F"/>
    <w:rsid w:val="263B77E0"/>
    <w:rsid w:val="274D4785"/>
    <w:rsid w:val="284C6B34"/>
    <w:rsid w:val="28704913"/>
    <w:rsid w:val="2BC4056A"/>
    <w:rsid w:val="2D6A3CC3"/>
    <w:rsid w:val="308E1EF5"/>
    <w:rsid w:val="31F03DEA"/>
    <w:rsid w:val="3E4A5DB7"/>
    <w:rsid w:val="3FDE2054"/>
    <w:rsid w:val="44523977"/>
    <w:rsid w:val="48644016"/>
    <w:rsid w:val="48BA41E6"/>
    <w:rsid w:val="52B02291"/>
    <w:rsid w:val="52B55AB4"/>
    <w:rsid w:val="531C6AE1"/>
    <w:rsid w:val="566E5012"/>
    <w:rsid w:val="58F85F07"/>
    <w:rsid w:val="5EDA5CB9"/>
    <w:rsid w:val="5FF94353"/>
    <w:rsid w:val="6608061A"/>
    <w:rsid w:val="663D2017"/>
    <w:rsid w:val="665D23F0"/>
    <w:rsid w:val="67002387"/>
    <w:rsid w:val="6F8168B9"/>
    <w:rsid w:val="6F9D55AF"/>
    <w:rsid w:val="776A2D55"/>
    <w:rsid w:val="7FE1333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semiHidden="0"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kern w:val="0"/>
      <w:sz w:val="22"/>
      <w:szCs w:val="22"/>
      <w:lang w:val="en-US" w:eastAsia="zh-CN" w:bidi="ar-SA"/>
    </w:rPr>
  </w:style>
  <w:style w:type="character" w:default="1" w:styleId="5">
    <w:name w:val="Default Paragraph Font"/>
    <w:semiHidden/>
    <w:qFormat/>
    <w:uiPriority w:val="99"/>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11"/>
    <w:semiHidden/>
    <w:qFormat/>
    <w:uiPriority w:val="99"/>
    <w:pPr>
      <w:tabs>
        <w:tab w:val="center" w:pos="4153"/>
        <w:tab w:val="right" w:pos="8306"/>
      </w:tabs>
    </w:pPr>
    <w:rPr>
      <w:sz w:val="18"/>
      <w:szCs w:val="18"/>
    </w:rPr>
  </w:style>
  <w:style w:type="paragraph" w:styleId="3">
    <w:name w:val="header"/>
    <w:basedOn w:val="1"/>
    <w:link w:val="10"/>
    <w:semiHidden/>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6">
    <w:name w:val="FollowedHyperlink"/>
    <w:basedOn w:val="5"/>
    <w:unhideWhenUsed/>
    <w:uiPriority w:val="99"/>
    <w:rPr>
      <w:color w:val="800080"/>
      <w:u w:val="none"/>
    </w:rPr>
  </w:style>
  <w:style w:type="character" w:styleId="7">
    <w:name w:val="Hyperlink"/>
    <w:basedOn w:val="5"/>
    <w:unhideWhenUsed/>
    <w:uiPriority w:val="99"/>
    <w:rPr>
      <w:color w:val="0000FF"/>
      <w:u w:val="none"/>
    </w:rPr>
  </w:style>
  <w:style w:type="table" w:styleId="9">
    <w:name w:val="Table Grid"/>
    <w:basedOn w:val="8"/>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0">
    <w:name w:val="Header Char"/>
    <w:basedOn w:val="5"/>
    <w:link w:val="3"/>
    <w:semiHidden/>
    <w:qFormat/>
    <w:locked/>
    <w:uiPriority w:val="99"/>
    <w:rPr>
      <w:rFonts w:ascii="Tahoma" w:hAnsi="Tahoma" w:cs="Times New Roman"/>
      <w:sz w:val="18"/>
      <w:szCs w:val="18"/>
    </w:rPr>
  </w:style>
  <w:style w:type="character" w:customStyle="1" w:styleId="11">
    <w:name w:val="Footer Char"/>
    <w:basedOn w:val="5"/>
    <w:link w:val="2"/>
    <w:semiHidden/>
    <w:qFormat/>
    <w:locked/>
    <w:uiPriority w:val="99"/>
    <w:rPr>
      <w:rFonts w:ascii="Tahoma" w:hAnsi="Tahoma" w:cs="Times New Roman"/>
      <w:sz w:val="18"/>
      <w:szCs w:val="18"/>
    </w:rPr>
  </w:style>
  <w:style w:type="paragraph" w:customStyle="1" w:styleId="12">
    <w:name w:val="_Style 11"/>
    <w:basedOn w:val="1"/>
    <w:next w:val="1"/>
    <w:qFormat/>
    <w:uiPriority w:val="0"/>
    <w:pPr>
      <w:pBdr>
        <w:bottom w:val="single" w:color="auto" w:sz="6" w:space="1"/>
      </w:pBdr>
      <w:jc w:val="center"/>
    </w:pPr>
    <w:rPr>
      <w:rFonts w:ascii="Arial" w:eastAsia="宋体"/>
      <w:vanish/>
      <w:sz w:val="16"/>
    </w:rPr>
  </w:style>
  <w:style w:type="paragraph" w:customStyle="1" w:styleId="13">
    <w:name w:val="_Style 12"/>
    <w:basedOn w:val="1"/>
    <w:next w:val="1"/>
    <w:qFormat/>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3</Pages>
  <Words>175</Words>
  <Characters>1000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AA</cp:lastModifiedBy>
  <dcterms:modified xsi:type="dcterms:W3CDTF">2019-02-20T08:09:43Z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