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750" w:type="dxa"/>
        <w:tblCellSpacing w:w="0" w:type="dxa"/>
        <w:tblInd w:w="0" w:type="dxa"/>
        <w:shd w:val="clear" w:color="auto" w:fill="FFFFFF"/>
        <w:tblLayout w:type="fixed"/>
        <w:tblCellMar>
          <w:top w:w="0" w:type="dxa"/>
          <w:left w:w="0" w:type="dxa"/>
          <w:bottom w:w="0" w:type="dxa"/>
          <w:right w:w="0" w:type="dxa"/>
        </w:tblCellMar>
      </w:tblPr>
      <w:tblGrid>
        <w:gridCol w:w="9750"/>
      </w:tblGrid>
      <w:tr>
        <w:tblPrEx>
          <w:shd w:val="clear" w:color="auto" w:fill="FFFFFF"/>
          <w:tblCellMar>
            <w:top w:w="0" w:type="dxa"/>
            <w:left w:w="0" w:type="dxa"/>
            <w:bottom w:w="0" w:type="dxa"/>
            <w:right w:w="0" w:type="dxa"/>
          </w:tblCellMar>
        </w:tblPrEx>
        <w:trPr>
          <w:tblCellSpacing w:w="0" w:type="dxa"/>
        </w:trPr>
        <w:tc>
          <w:tcPr>
            <w:tcW w:w="9750" w:type="dxa"/>
            <w:shd w:val="clear" w:color="auto" w:fill="FFFFFF"/>
            <w:vAlign w:val="center"/>
          </w:tcPr>
          <w:p>
            <w:pPr>
              <w:keepNext w:val="0"/>
              <w:keepLines w:val="0"/>
              <w:pageBreakBefore w:val="0"/>
              <w:widowControl/>
              <w:suppressLineNumbers w:val="0"/>
              <w:pBdr>
                <w:bottom w:val="none" w:color="auto" w:sz="0" w:space="0"/>
              </w:pBdr>
              <w:shd w:val="clear" w:color="auto" w:fill="FFFFFF"/>
              <w:kinsoku/>
              <w:wordWrap/>
              <w:overflowPunct/>
              <w:topLinePunct w:val="0"/>
              <w:autoSpaceDE/>
              <w:autoSpaceDN/>
              <w:bidi w:val="0"/>
              <w:adjustRightInd/>
              <w:snapToGrid/>
              <w:spacing w:line="640" w:lineRule="exact"/>
              <w:ind w:left="0" w:firstLine="0"/>
              <w:jc w:val="center"/>
              <w:textAlignment w:val="auto"/>
              <w:rPr>
                <w:rFonts w:hint="eastAsia" w:ascii="方正小标宋简体" w:hAnsi="方正小标宋简体" w:eastAsia="方正小标宋简体" w:cs="方正小标宋简体"/>
                <w:b w:val="0"/>
                <w:bCs/>
                <w:i w:val="0"/>
                <w:caps w:val="0"/>
                <w:color w:val="333333"/>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i w:val="0"/>
                <w:caps w:val="0"/>
                <w:color w:val="333333"/>
                <w:spacing w:val="0"/>
                <w:kern w:val="0"/>
                <w:sz w:val="44"/>
                <w:szCs w:val="44"/>
                <w:shd w:val="clear" w:color="auto" w:fill="FFFFFF"/>
                <w:lang w:val="en-US" w:eastAsia="zh-CN" w:bidi="ar"/>
              </w:rPr>
              <w:t>阎良区行政审批服务局2019年政府信息</w:t>
            </w:r>
          </w:p>
          <w:p>
            <w:pPr>
              <w:keepNext w:val="0"/>
              <w:keepLines w:val="0"/>
              <w:pageBreakBefore w:val="0"/>
              <w:widowControl/>
              <w:suppressLineNumbers w:val="0"/>
              <w:pBdr>
                <w:bottom w:val="none" w:color="auto" w:sz="0" w:space="0"/>
              </w:pBdr>
              <w:shd w:val="clear" w:color="auto" w:fill="FFFFFF"/>
              <w:kinsoku/>
              <w:wordWrap/>
              <w:overflowPunct/>
              <w:topLinePunct w:val="0"/>
              <w:autoSpaceDE/>
              <w:autoSpaceDN/>
              <w:bidi w:val="0"/>
              <w:adjustRightInd/>
              <w:snapToGrid/>
              <w:spacing w:line="640" w:lineRule="exact"/>
              <w:ind w:left="0" w:firstLine="0"/>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i w:val="0"/>
                <w:caps w:val="0"/>
                <w:color w:val="333333"/>
                <w:spacing w:val="0"/>
                <w:kern w:val="0"/>
                <w:sz w:val="44"/>
                <w:szCs w:val="44"/>
                <w:shd w:val="clear" w:color="auto" w:fill="FFFFFF"/>
                <w:lang w:val="en-US" w:eastAsia="zh-CN" w:bidi="ar"/>
              </w:rPr>
              <w:t>公开工作年度报告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仿宋_GB2312" w:hAnsi="仿宋_GB2312" w:eastAsia="仿宋_GB2312" w:cs="仿宋_GB2312"/>
                <w:sz w:val="32"/>
                <w:szCs w:val="32"/>
              </w:rPr>
            </w:pPr>
            <w:r>
              <w:rPr>
                <w:rFonts w:hint="eastAsia" w:ascii="微软雅黑" w:hAnsi="微软雅黑" w:eastAsia="微软雅黑" w:cs="微软雅黑"/>
                <w:b w:val="0"/>
                <w:i w:val="0"/>
                <w:caps w:val="0"/>
                <w:color w:val="333333"/>
                <w:spacing w:val="0"/>
                <w:sz w:val="21"/>
                <w:szCs w:val="21"/>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i w:val="0"/>
                <w:caps w:val="0"/>
                <w:color w:val="333333"/>
                <w:spacing w:val="0"/>
                <w:sz w:val="32"/>
                <w:szCs w:val="32"/>
                <w:shd w:val="clear" w:color="auto" w:fill="FFFFFF"/>
              </w:rPr>
            </w:pPr>
            <w:r>
              <w:rPr>
                <w:rFonts w:hint="eastAsia" w:ascii="黑体" w:hAnsi="黑体" w:eastAsia="黑体" w:cs="黑体"/>
                <w:b w:val="0"/>
                <w:i w:val="0"/>
                <w:caps w:val="0"/>
                <w:color w:val="333333"/>
                <w:spacing w:val="0"/>
                <w:sz w:val="32"/>
                <w:szCs w:val="32"/>
                <w:shd w:val="clear" w:color="auto" w:fill="FFFFFF"/>
              </w:rPr>
              <w:t>一、总体情况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rPr>
            </w:pPr>
            <w:r>
              <w:rPr>
                <w:rFonts w:hint="eastAsia" w:ascii="仿宋_GB2312" w:hAnsi="仿宋_GB2312" w:eastAsia="仿宋_GB2312" w:cs="仿宋_GB2312"/>
                <w:b w:val="0"/>
                <w:i w:val="0"/>
                <w:caps w:val="0"/>
                <w:color w:val="333333"/>
                <w:spacing w:val="0"/>
                <w:sz w:val="32"/>
                <w:szCs w:val="32"/>
                <w:shd w:val="clear" w:color="auto" w:fill="FFFFFF"/>
              </w:rPr>
              <w:t>201</w:t>
            </w:r>
            <w:r>
              <w:rPr>
                <w:rFonts w:hint="eastAsia" w:ascii="仿宋_GB2312" w:hAnsi="仿宋_GB2312" w:eastAsia="仿宋_GB2312" w:cs="仿宋_GB2312"/>
                <w:b w:val="0"/>
                <w:i w:val="0"/>
                <w:caps w:val="0"/>
                <w:color w:val="333333"/>
                <w:spacing w:val="0"/>
                <w:sz w:val="32"/>
                <w:szCs w:val="32"/>
                <w:shd w:val="clear" w:color="auto" w:fill="FFFFFF"/>
                <w:lang w:val="en-US" w:eastAsia="zh-CN"/>
              </w:rPr>
              <w:t>9</w:t>
            </w:r>
            <w:r>
              <w:rPr>
                <w:rFonts w:hint="eastAsia" w:ascii="仿宋_GB2312" w:hAnsi="仿宋_GB2312" w:eastAsia="仿宋_GB2312" w:cs="仿宋_GB2312"/>
                <w:b w:val="0"/>
                <w:i w:val="0"/>
                <w:caps w:val="0"/>
                <w:color w:val="333333"/>
                <w:spacing w:val="0"/>
                <w:sz w:val="32"/>
                <w:szCs w:val="32"/>
                <w:shd w:val="clear" w:color="auto" w:fill="FFFFFF"/>
              </w:rPr>
              <w:t>年以来，在</w:t>
            </w:r>
            <w:r>
              <w:rPr>
                <w:rFonts w:hint="eastAsia" w:ascii="仿宋_GB2312" w:hAnsi="仿宋_GB2312" w:eastAsia="仿宋_GB2312" w:cs="仿宋_GB2312"/>
                <w:b w:val="0"/>
                <w:i w:val="0"/>
                <w:caps w:val="0"/>
                <w:color w:val="333333"/>
                <w:spacing w:val="0"/>
                <w:sz w:val="32"/>
                <w:szCs w:val="32"/>
                <w:shd w:val="clear" w:color="auto" w:fill="FFFFFF"/>
                <w:lang w:val="en-US" w:eastAsia="zh-CN"/>
              </w:rPr>
              <w:t>区</w:t>
            </w:r>
            <w:r>
              <w:rPr>
                <w:rFonts w:hint="eastAsia" w:ascii="仿宋_GB2312" w:hAnsi="仿宋_GB2312" w:eastAsia="仿宋_GB2312" w:cs="仿宋_GB2312"/>
                <w:b w:val="0"/>
                <w:i w:val="0"/>
                <w:caps w:val="0"/>
                <w:color w:val="333333"/>
                <w:spacing w:val="0"/>
                <w:sz w:val="32"/>
                <w:szCs w:val="32"/>
                <w:shd w:val="clear" w:color="auto" w:fill="FFFFFF"/>
              </w:rPr>
              <w:t>委、</w:t>
            </w:r>
            <w:r>
              <w:rPr>
                <w:rFonts w:hint="eastAsia" w:ascii="仿宋_GB2312" w:hAnsi="仿宋_GB2312" w:eastAsia="仿宋_GB2312" w:cs="仿宋_GB2312"/>
                <w:b w:val="0"/>
                <w:i w:val="0"/>
                <w:caps w:val="0"/>
                <w:color w:val="333333"/>
                <w:spacing w:val="0"/>
                <w:sz w:val="32"/>
                <w:szCs w:val="32"/>
                <w:shd w:val="clear" w:color="auto" w:fill="FFFFFF"/>
                <w:lang w:val="en-US" w:eastAsia="zh-CN"/>
              </w:rPr>
              <w:t>区</w:t>
            </w:r>
            <w:r>
              <w:rPr>
                <w:rFonts w:hint="eastAsia" w:ascii="仿宋_GB2312" w:hAnsi="仿宋_GB2312" w:eastAsia="仿宋_GB2312" w:cs="仿宋_GB2312"/>
                <w:b w:val="0"/>
                <w:i w:val="0"/>
                <w:caps w:val="0"/>
                <w:color w:val="333333"/>
                <w:spacing w:val="0"/>
                <w:sz w:val="32"/>
                <w:szCs w:val="32"/>
                <w:shd w:val="clear" w:color="auto" w:fill="FFFFFF"/>
              </w:rPr>
              <w:t>政府的坚强领导下，</w:t>
            </w:r>
            <w:r>
              <w:rPr>
                <w:rFonts w:hint="eastAsia" w:ascii="仿宋_GB2312" w:hAnsi="仿宋_GB2312" w:eastAsia="仿宋_GB2312" w:cs="仿宋_GB2312"/>
                <w:b w:val="0"/>
                <w:i w:val="0"/>
                <w:caps w:val="0"/>
                <w:color w:val="333333"/>
                <w:spacing w:val="0"/>
                <w:sz w:val="32"/>
                <w:szCs w:val="32"/>
                <w:shd w:val="clear" w:color="auto" w:fill="FFFFFF"/>
                <w:lang w:val="en-US" w:eastAsia="zh-CN"/>
              </w:rPr>
              <w:t>在区政务公开办的业务指导下，区行政审批局</w:t>
            </w:r>
            <w:r>
              <w:rPr>
                <w:rFonts w:hint="eastAsia" w:ascii="仿宋_GB2312" w:hAnsi="仿宋_GB2312" w:eastAsia="仿宋_GB2312" w:cs="仿宋_GB2312"/>
                <w:b w:val="0"/>
                <w:i w:val="0"/>
                <w:caps w:val="0"/>
                <w:color w:val="333333"/>
                <w:spacing w:val="0"/>
                <w:sz w:val="32"/>
                <w:szCs w:val="32"/>
                <w:shd w:val="clear" w:color="auto" w:fill="FFFFFF"/>
              </w:rPr>
              <w:t>按照《中华人民共和国政府信息公开条例》</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lang w:val="en-US" w:eastAsia="zh-CN"/>
              </w:rPr>
              <w:t>区政务政务公开办公室关于做好2019年度政府信息公开工作年度报告和政府网站年度报表发布工作的通知</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rPr>
              <w:t>精神要求，紧密结合工作实际，对工作进行安排部署，通过强化措施，不断加大政务信息公开工作的力度。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（一）主动公开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rPr>
            </w:pPr>
            <w:r>
              <w:rPr>
                <w:rFonts w:hint="eastAsia" w:ascii="仿宋_GB2312" w:hAnsi="仿宋_GB2312" w:eastAsia="仿宋_GB2312" w:cs="仿宋_GB2312"/>
                <w:b w:val="0"/>
                <w:i w:val="0"/>
                <w:caps w:val="0"/>
                <w:color w:val="333333"/>
                <w:spacing w:val="0"/>
                <w:sz w:val="32"/>
                <w:szCs w:val="32"/>
                <w:shd w:val="clear" w:color="auto" w:fill="FFFFFF"/>
              </w:rPr>
              <w:t>全年，我局共主动公开信息</w:t>
            </w:r>
            <w:r>
              <w:rPr>
                <w:rFonts w:hint="eastAsia" w:ascii="仿宋_GB2312" w:hAnsi="仿宋_GB2312" w:eastAsia="仿宋_GB2312" w:cs="仿宋_GB2312"/>
                <w:b w:val="0"/>
                <w:i w:val="0"/>
                <w:caps w:val="0"/>
                <w:color w:val="333333"/>
                <w:spacing w:val="0"/>
                <w:sz w:val="32"/>
                <w:szCs w:val="32"/>
                <w:shd w:val="clear" w:color="auto" w:fill="FFFFFF"/>
                <w:lang w:val="en-US" w:eastAsia="zh-CN"/>
              </w:rPr>
              <w:t xml:space="preserve"> 221</w:t>
            </w:r>
            <w:r>
              <w:rPr>
                <w:rFonts w:hint="eastAsia" w:ascii="仿宋_GB2312" w:hAnsi="仿宋_GB2312" w:eastAsia="仿宋_GB2312" w:cs="仿宋_GB2312"/>
                <w:b w:val="0"/>
                <w:i w:val="0"/>
                <w:caps w:val="0"/>
                <w:color w:val="333333"/>
                <w:spacing w:val="0"/>
                <w:sz w:val="32"/>
                <w:szCs w:val="32"/>
                <w:shd w:val="clear" w:color="auto" w:fill="FFFFFF"/>
              </w:rPr>
              <w:t>条，通过门户网站公开信息</w:t>
            </w:r>
            <w:r>
              <w:rPr>
                <w:rFonts w:hint="eastAsia" w:ascii="仿宋_GB2312" w:hAnsi="仿宋_GB2312" w:eastAsia="仿宋_GB2312" w:cs="仿宋_GB2312"/>
                <w:b w:val="0"/>
                <w:i w:val="0"/>
                <w:caps w:val="0"/>
                <w:color w:val="333333"/>
                <w:spacing w:val="0"/>
                <w:sz w:val="32"/>
                <w:szCs w:val="32"/>
                <w:shd w:val="clear" w:color="auto" w:fill="FFFFFF"/>
                <w:lang w:val="en-US" w:eastAsia="zh-CN"/>
              </w:rPr>
              <w:t>23余</w:t>
            </w:r>
            <w:r>
              <w:rPr>
                <w:rFonts w:hint="eastAsia" w:ascii="仿宋_GB2312" w:hAnsi="仿宋_GB2312" w:eastAsia="仿宋_GB2312" w:cs="仿宋_GB2312"/>
                <w:b w:val="0"/>
                <w:i w:val="0"/>
                <w:caps w:val="0"/>
                <w:color w:val="333333"/>
                <w:spacing w:val="0"/>
                <w:sz w:val="32"/>
                <w:szCs w:val="32"/>
                <w:shd w:val="clear" w:color="auto" w:fill="FFFFFF"/>
              </w:rPr>
              <w:t>条，微信公众号发布信息</w:t>
            </w:r>
            <w:r>
              <w:rPr>
                <w:rFonts w:hint="eastAsia" w:ascii="仿宋_GB2312" w:hAnsi="仿宋_GB2312" w:eastAsia="仿宋_GB2312" w:cs="仿宋_GB2312"/>
                <w:b w:val="0"/>
                <w:i w:val="0"/>
                <w:caps w:val="0"/>
                <w:color w:val="333333"/>
                <w:spacing w:val="0"/>
                <w:sz w:val="32"/>
                <w:szCs w:val="32"/>
                <w:shd w:val="clear" w:color="auto" w:fill="FFFFFF"/>
                <w:lang w:val="en-US" w:eastAsia="zh-CN"/>
              </w:rPr>
              <w:t>198</w:t>
            </w:r>
            <w:r>
              <w:rPr>
                <w:rFonts w:hint="eastAsia" w:ascii="仿宋_GB2312" w:hAnsi="仿宋_GB2312" w:eastAsia="仿宋_GB2312" w:cs="仿宋_GB2312"/>
                <w:b w:val="0"/>
                <w:i w:val="0"/>
                <w:caps w:val="0"/>
                <w:color w:val="333333"/>
                <w:spacing w:val="0"/>
                <w:sz w:val="32"/>
                <w:szCs w:val="32"/>
                <w:shd w:val="clear" w:color="auto" w:fill="FFFFFF"/>
              </w:rPr>
              <w:t>条，涵盖了行政审批、便民服务、公共服务等多个领域，做到应公开的政府信息及时准确公开。其中工作动态</w:t>
            </w:r>
            <w:r>
              <w:rPr>
                <w:rFonts w:hint="eastAsia" w:ascii="仿宋_GB2312" w:hAnsi="仿宋_GB2312" w:eastAsia="仿宋_GB2312" w:cs="仿宋_GB2312"/>
                <w:b w:val="0"/>
                <w:i w:val="0"/>
                <w:caps w:val="0"/>
                <w:color w:val="333333"/>
                <w:spacing w:val="0"/>
                <w:sz w:val="32"/>
                <w:szCs w:val="32"/>
                <w:shd w:val="clear" w:color="auto" w:fill="FFFFFF"/>
                <w:lang w:val="en-US" w:eastAsia="zh-CN"/>
              </w:rPr>
              <w:t>204</w:t>
            </w:r>
            <w:r>
              <w:rPr>
                <w:rFonts w:hint="eastAsia" w:ascii="仿宋_GB2312" w:hAnsi="仿宋_GB2312" w:eastAsia="仿宋_GB2312" w:cs="仿宋_GB2312"/>
                <w:b w:val="0"/>
                <w:i w:val="0"/>
                <w:caps w:val="0"/>
                <w:color w:val="333333"/>
                <w:spacing w:val="0"/>
                <w:sz w:val="32"/>
                <w:szCs w:val="32"/>
                <w:shd w:val="clear" w:color="auto" w:fill="FFFFFF"/>
              </w:rPr>
              <w:t>条、通知公告1</w:t>
            </w:r>
            <w:r>
              <w:rPr>
                <w:rFonts w:hint="eastAsia" w:ascii="仿宋_GB2312" w:hAnsi="仿宋_GB2312" w:eastAsia="仿宋_GB2312" w:cs="仿宋_GB2312"/>
                <w:b w:val="0"/>
                <w:i w:val="0"/>
                <w:caps w:val="0"/>
                <w:color w:val="333333"/>
                <w:spacing w:val="0"/>
                <w:sz w:val="32"/>
                <w:szCs w:val="32"/>
                <w:shd w:val="clear" w:color="auto" w:fill="FFFFFF"/>
                <w:lang w:val="en-US" w:eastAsia="zh-CN"/>
              </w:rPr>
              <w:t>5</w:t>
            </w:r>
            <w:r>
              <w:rPr>
                <w:rFonts w:hint="eastAsia" w:ascii="仿宋_GB2312" w:hAnsi="仿宋_GB2312" w:eastAsia="仿宋_GB2312" w:cs="仿宋_GB2312"/>
                <w:b w:val="0"/>
                <w:i w:val="0"/>
                <w:caps w:val="0"/>
                <w:color w:val="333333"/>
                <w:spacing w:val="0"/>
                <w:sz w:val="32"/>
                <w:szCs w:val="32"/>
                <w:shd w:val="clear" w:color="auto" w:fill="FFFFFF"/>
              </w:rPr>
              <w:t>条、</w:t>
            </w:r>
            <w:r>
              <w:rPr>
                <w:rFonts w:hint="eastAsia" w:ascii="仿宋_GB2312" w:hAnsi="仿宋_GB2312" w:eastAsia="仿宋_GB2312" w:cs="仿宋_GB2312"/>
                <w:b w:val="0"/>
                <w:i w:val="0"/>
                <w:caps w:val="0"/>
                <w:color w:val="333333"/>
                <w:spacing w:val="0"/>
                <w:sz w:val="32"/>
                <w:szCs w:val="32"/>
                <w:shd w:val="clear" w:color="auto" w:fill="FFFFFF"/>
                <w:lang w:val="en-US" w:eastAsia="zh-CN"/>
              </w:rPr>
              <w:t>财务</w:t>
            </w:r>
            <w:r>
              <w:rPr>
                <w:rFonts w:hint="eastAsia" w:ascii="仿宋_GB2312" w:hAnsi="仿宋_GB2312" w:eastAsia="仿宋_GB2312" w:cs="仿宋_GB2312"/>
                <w:b w:val="0"/>
                <w:i w:val="0"/>
                <w:caps w:val="0"/>
                <w:color w:val="333333"/>
                <w:spacing w:val="0"/>
                <w:sz w:val="32"/>
                <w:szCs w:val="32"/>
                <w:shd w:val="clear" w:color="auto" w:fill="FFFFFF"/>
              </w:rPr>
              <w:t>公开信息</w:t>
            </w:r>
            <w:r>
              <w:rPr>
                <w:rFonts w:hint="eastAsia" w:ascii="仿宋_GB2312" w:hAnsi="仿宋_GB2312" w:eastAsia="仿宋_GB2312" w:cs="仿宋_GB2312"/>
                <w:b w:val="0"/>
                <w:i w:val="0"/>
                <w:caps w:val="0"/>
                <w:color w:val="333333"/>
                <w:spacing w:val="0"/>
                <w:sz w:val="32"/>
                <w:szCs w:val="32"/>
                <w:shd w:val="clear" w:color="auto" w:fill="FFFFFF"/>
                <w:lang w:val="en-US" w:eastAsia="zh-CN"/>
              </w:rPr>
              <w:t>2</w:t>
            </w:r>
            <w:r>
              <w:rPr>
                <w:rFonts w:hint="eastAsia" w:ascii="仿宋_GB2312" w:hAnsi="仿宋_GB2312" w:eastAsia="仿宋_GB2312" w:cs="仿宋_GB2312"/>
                <w:b w:val="0"/>
                <w:i w:val="0"/>
                <w:caps w:val="0"/>
                <w:color w:val="333333"/>
                <w:spacing w:val="0"/>
                <w:sz w:val="32"/>
                <w:szCs w:val="32"/>
                <w:shd w:val="clear" w:color="auto" w:fill="FFFFFF"/>
              </w:rPr>
              <w:t>条;公开窗口电话43个</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rPr>
              <w:t>通过LED显示屏、电子触摸屏公开行政审批事项及各窗口实时讯息，并制印发放可供随时取阅的办事指南，便民便企。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（二）依申请公开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rPr>
            </w:pPr>
            <w:r>
              <w:rPr>
                <w:rFonts w:hint="default" w:ascii="仿宋_GB2312" w:hAnsi="仿宋_GB2312" w:eastAsia="仿宋_GB2312" w:cs="仿宋_GB2312"/>
                <w:b w:val="0"/>
                <w:i w:val="0"/>
                <w:caps w:val="0"/>
                <w:color w:val="333333"/>
                <w:spacing w:val="0"/>
                <w:sz w:val="32"/>
                <w:szCs w:val="32"/>
                <w:shd w:val="clear" w:color="auto" w:fill="FFFFFF"/>
                <w:lang w:val="zh-CN" w:eastAsia="zh-CN"/>
              </w:rPr>
              <w:t>20</w:t>
            </w:r>
            <w:r>
              <w:rPr>
                <w:rFonts w:hint="eastAsia" w:ascii="仿宋_GB2312" w:hAnsi="仿宋_GB2312" w:eastAsia="仿宋_GB2312" w:cs="仿宋_GB2312"/>
                <w:b w:val="0"/>
                <w:i w:val="0"/>
                <w:caps w:val="0"/>
                <w:color w:val="333333"/>
                <w:spacing w:val="0"/>
                <w:sz w:val="32"/>
                <w:szCs w:val="32"/>
                <w:shd w:val="clear" w:color="auto" w:fill="FFFFFF"/>
                <w:lang w:val="en-US" w:eastAsia="zh-CN"/>
              </w:rPr>
              <w:t>19</w:t>
            </w:r>
            <w:r>
              <w:rPr>
                <w:rFonts w:hint="default" w:ascii="仿宋_GB2312" w:hAnsi="仿宋_GB2312" w:eastAsia="仿宋_GB2312" w:cs="仿宋_GB2312"/>
                <w:b w:val="0"/>
                <w:i w:val="0"/>
                <w:caps w:val="0"/>
                <w:color w:val="333333"/>
                <w:spacing w:val="0"/>
                <w:sz w:val="32"/>
                <w:szCs w:val="32"/>
                <w:shd w:val="clear" w:color="auto" w:fill="FFFFFF"/>
                <w:lang w:val="zh-CN" w:eastAsia="zh-CN"/>
              </w:rPr>
              <w:t>年，我</w:t>
            </w:r>
            <w:r>
              <w:rPr>
                <w:rFonts w:hint="eastAsia" w:ascii="仿宋_GB2312" w:hAnsi="仿宋_GB2312" w:eastAsia="仿宋_GB2312" w:cs="仿宋_GB2312"/>
                <w:b w:val="0"/>
                <w:i w:val="0"/>
                <w:caps w:val="0"/>
                <w:color w:val="333333"/>
                <w:spacing w:val="0"/>
                <w:sz w:val="32"/>
                <w:szCs w:val="32"/>
                <w:shd w:val="clear" w:color="auto" w:fill="FFFFFF"/>
                <w:lang w:val="en-US" w:eastAsia="zh-CN"/>
              </w:rPr>
              <w:t>局</w:t>
            </w:r>
            <w:r>
              <w:rPr>
                <w:rFonts w:hint="default" w:ascii="仿宋_GB2312" w:hAnsi="仿宋_GB2312" w:eastAsia="仿宋_GB2312" w:cs="仿宋_GB2312"/>
                <w:b w:val="0"/>
                <w:i w:val="0"/>
                <w:caps w:val="0"/>
                <w:color w:val="333333"/>
                <w:spacing w:val="0"/>
                <w:sz w:val="32"/>
                <w:szCs w:val="32"/>
                <w:shd w:val="clear" w:color="auto" w:fill="FFFFFF"/>
                <w:lang w:val="zh-CN" w:eastAsia="zh-CN"/>
              </w:rPr>
              <w:t>没有依申请公开政府信息办理事项。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（三）政府信息管理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rPr>
            </w:pPr>
            <w:r>
              <w:rPr>
                <w:rFonts w:hint="eastAsia" w:ascii="仿宋_GB2312" w:hAnsi="仿宋_GB2312" w:eastAsia="仿宋_GB2312" w:cs="仿宋_GB2312"/>
                <w:b w:val="0"/>
                <w:i w:val="0"/>
                <w:caps w:val="0"/>
                <w:color w:val="333333"/>
                <w:spacing w:val="0"/>
                <w:sz w:val="32"/>
                <w:szCs w:val="32"/>
                <w:shd w:val="clear" w:color="auto" w:fill="FFFFFF"/>
                <w:lang w:val="en-US" w:eastAsia="zh-CN"/>
              </w:rPr>
              <w:t>督促落实信息公开工作，按照“谁公开、谁负责”的原则，要求各审批科室按规定依时公开各类政务信息、政策法规等信息。进一步通过电子监察平台，对政务公开和政务服务事项的信息量、完整性、时效性、准确性等进行监察，确保信息公开及时、准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（四）平台建设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lang w:eastAsia="zh-CN"/>
              </w:rPr>
            </w:pPr>
            <w:r>
              <w:rPr>
                <w:rFonts w:hint="default" w:ascii="仿宋_GB2312" w:hAnsi="仿宋_GB2312" w:eastAsia="仿宋_GB2312" w:cs="仿宋_GB2312"/>
                <w:b w:val="0"/>
                <w:i w:val="0"/>
                <w:caps w:val="0"/>
                <w:color w:val="333333"/>
                <w:spacing w:val="0"/>
                <w:sz w:val="32"/>
                <w:szCs w:val="32"/>
                <w:shd w:val="clear" w:color="auto" w:fill="FFFFFF"/>
                <w:lang w:val="zh-CN" w:eastAsia="zh-CN"/>
              </w:rPr>
              <w:t>目前，</w:t>
            </w:r>
            <w:r>
              <w:rPr>
                <w:rFonts w:hint="eastAsia" w:ascii="仿宋_GB2312" w:hAnsi="仿宋_GB2312" w:eastAsia="仿宋_GB2312" w:cs="仿宋_GB2312"/>
                <w:b w:val="0"/>
                <w:i w:val="0"/>
                <w:caps w:val="0"/>
                <w:color w:val="333333"/>
                <w:spacing w:val="0"/>
                <w:sz w:val="32"/>
                <w:szCs w:val="32"/>
                <w:shd w:val="clear" w:color="auto" w:fill="FFFFFF"/>
                <w:lang w:val="en-US" w:eastAsia="zh-CN"/>
              </w:rPr>
              <w:t>正在使用</w:t>
            </w:r>
            <w:r>
              <w:rPr>
                <w:rFonts w:hint="default" w:ascii="仿宋_GB2312" w:hAnsi="仿宋_GB2312" w:eastAsia="仿宋_GB2312" w:cs="仿宋_GB2312"/>
                <w:b w:val="0"/>
                <w:i w:val="0"/>
                <w:caps w:val="0"/>
                <w:color w:val="333333"/>
                <w:spacing w:val="0"/>
                <w:sz w:val="32"/>
                <w:szCs w:val="32"/>
                <w:shd w:val="clear" w:color="auto" w:fill="FFFFFF"/>
                <w:lang w:val="zh-CN" w:eastAsia="zh-CN"/>
              </w:rPr>
              <w:t>的政务</w:t>
            </w:r>
            <w:r>
              <w:rPr>
                <w:rFonts w:hint="eastAsia" w:ascii="仿宋_GB2312" w:hAnsi="仿宋_GB2312" w:eastAsia="仿宋_GB2312" w:cs="仿宋_GB2312"/>
                <w:b w:val="0"/>
                <w:i w:val="0"/>
                <w:caps w:val="0"/>
                <w:color w:val="333333"/>
                <w:spacing w:val="0"/>
                <w:sz w:val="32"/>
                <w:szCs w:val="32"/>
                <w:shd w:val="clear" w:color="auto" w:fill="FFFFFF"/>
                <w:lang w:val="en-US" w:eastAsia="zh-CN"/>
              </w:rPr>
              <w:t>服务公开</w:t>
            </w:r>
            <w:r>
              <w:rPr>
                <w:rFonts w:hint="default" w:ascii="仿宋_GB2312" w:hAnsi="仿宋_GB2312" w:eastAsia="仿宋_GB2312" w:cs="仿宋_GB2312"/>
                <w:b w:val="0"/>
                <w:i w:val="0"/>
                <w:caps w:val="0"/>
                <w:color w:val="333333"/>
                <w:spacing w:val="0"/>
                <w:sz w:val="32"/>
                <w:szCs w:val="32"/>
                <w:shd w:val="clear" w:color="auto" w:fill="FFFFFF"/>
                <w:lang w:val="zh-CN" w:eastAsia="zh-CN"/>
              </w:rPr>
              <w:t>平台包括</w:t>
            </w:r>
            <w:r>
              <w:rPr>
                <w:rFonts w:hint="eastAsia" w:ascii="仿宋_GB2312" w:hAnsi="仿宋_GB2312" w:eastAsia="仿宋_GB2312" w:cs="仿宋_GB2312"/>
                <w:b w:val="0"/>
                <w:i w:val="0"/>
                <w:caps w:val="0"/>
                <w:color w:val="333333"/>
                <w:spacing w:val="0"/>
                <w:sz w:val="32"/>
                <w:szCs w:val="32"/>
                <w:shd w:val="clear" w:color="auto" w:fill="FFFFFF"/>
                <w:lang w:val="en-US" w:eastAsia="zh-CN"/>
              </w:rPr>
              <w:t>陕西省政务服务网、阎良区人民政府门户网、阎良政务微信公众号等线上平台和区政务服务中心、各单位办事窗口、各街道便民服务中心等线下平台均可</w:t>
            </w:r>
            <w:r>
              <w:rPr>
                <w:rFonts w:hint="default" w:ascii="仿宋_GB2312" w:hAnsi="仿宋_GB2312" w:eastAsia="仿宋_GB2312" w:cs="仿宋_GB2312"/>
                <w:b w:val="0"/>
                <w:i w:val="0"/>
                <w:caps w:val="0"/>
                <w:color w:val="333333"/>
                <w:spacing w:val="0"/>
                <w:sz w:val="32"/>
                <w:szCs w:val="32"/>
                <w:shd w:val="clear" w:color="auto" w:fill="FFFFFF"/>
                <w:lang w:val="zh-CN" w:eastAsia="zh-CN"/>
              </w:rPr>
              <w:t>为企业群众提供查询、办事等服务，</w:t>
            </w:r>
            <w:r>
              <w:rPr>
                <w:rFonts w:hint="eastAsia" w:ascii="仿宋_GB2312" w:hAnsi="仿宋_GB2312" w:eastAsia="仿宋_GB2312" w:cs="仿宋_GB2312"/>
                <w:b w:val="0"/>
                <w:i w:val="0"/>
                <w:caps w:val="0"/>
                <w:color w:val="333333"/>
                <w:spacing w:val="0"/>
                <w:sz w:val="32"/>
                <w:szCs w:val="32"/>
                <w:shd w:val="clear" w:color="auto" w:fill="FFFFFF"/>
                <w:lang w:val="en-US" w:eastAsia="zh-CN"/>
              </w:rPr>
              <w:t>对调整及公开权责清单、调整及公开审批服务事项清单、办事指南、进驻情况、“一网通办”工作开展情况、推进政务便民实体大厅政府信息查阅场所建设、支持政务大厅政府信息查阅场所建设等情况以抽查的方式进行考核，</w:t>
            </w:r>
            <w:r>
              <w:rPr>
                <w:rFonts w:hint="eastAsia" w:ascii="仿宋_GB2312" w:hAnsi="仿宋_GB2312" w:eastAsia="仿宋_GB2312" w:cs="仿宋_GB2312"/>
                <w:b w:val="0"/>
                <w:i w:val="0"/>
                <w:caps w:val="0"/>
                <w:color w:val="333333"/>
                <w:spacing w:val="0"/>
                <w:sz w:val="32"/>
                <w:szCs w:val="32"/>
                <w:shd w:val="clear" w:color="auto" w:fill="FFFFFF"/>
              </w:rPr>
              <w:t>有效推进政务公开</w:t>
            </w:r>
            <w:r>
              <w:rPr>
                <w:rFonts w:hint="eastAsia" w:ascii="仿宋_GB2312" w:hAnsi="仿宋_GB2312" w:eastAsia="仿宋_GB2312" w:cs="仿宋_GB2312"/>
                <w:b w:val="0"/>
                <w:i w:val="0"/>
                <w:caps w:val="0"/>
                <w:color w:val="333333"/>
                <w:spacing w:val="0"/>
                <w:sz w:val="32"/>
                <w:szCs w:val="32"/>
                <w:shd w:val="clear" w:color="auto" w:fill="FFFFFF"/>
                <w:lang w:val="en-US" w:eastAsia="zh-CN"/>
              </w:rPr>
              <w:t>工作</w:t>
            </w:r>
            <w:bookmarkStart w:id="0" w:name="_GoBack"/>
            <w:bookmarkEnd w:id="0"/>
            <w:r>
              <w:rPr>
                <w:rFonts w:hint="eastAsia" w:ascii="仿宋_GB2312" w:hAnsi="仿宋_GB2312" w:eastAsia="仿宋_GB2312" w:cs="仿宋_GB2312"/>
                <w:b w:val="0"/>
                <w:i w:val="0"/>
                <w:caps w:val="0"/>
                <w:color w:val="333333"/>
                <w:spacing w:val="0"/>
                <w:sz w:val="32"/>
                <w:szCs w:val="32"/>
                <w:shd w:val="clear" w:color="auto" w:fill="FFFFFF"/>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（五）监督保障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i w:val="0"/>
                <w:caps w:val="0"/>
                <w:color w:val="333333"/>
                <w:spacing w:val="0"/>
                <w:sz w:val="32"/>
                <w:szCs w:val="32"/>
                <w:shd w:val="clear" w:color="auto" w:fill="FFFFFF"/>
              </w:rPr>
            </w:pPr>
            <w:r>
              <w:rPr>
                <w:rFonts w:hint="eastAsia" w:ascii="仿宋_GB2312" w:hAnsi="仿宋_GB2312" w:eastAsia="仿宋_GB2312" w:cs="仿宋_GB2312"/>
                <w:b w:val="0"/>
                <w:i w:val="0"/>
                <w:caps w:val="0"/>
                <w:color w:val="333333"/>
                <w:spacing w:val="0"/>
                <w:sz w:val="32"/>
                <w:szCs w:val="32"/>
                <w:shd w:val="clear" w:color="auto" w:fill="FFFFFF"/>
                <w:lang w:val="en-US" w:eastAsia="zh-CN"/>
              </w:rPr>
              <w:t>在上级信息公开工作管理部门的业务指导下，进一步健全完善信息公开工作机制，切实加强对信息公开工作的监督检查,确保各项准备工作和措施落实到位。加强对信息公开工作的督查指导,研究解决工作中出现的新情况和新问题。对于出现问题的方面,给予通报和追究责任,促进信息公开工作有序、有效开展。建立和完善政府信息发布协调与处理机制,保证发布的政府信息准确一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i w:val="0"/>
                <w:caps w:val="0"/>
                <w:color w:val="333333"/>
                <w:spacing w:val="0"/>
                <w:sz w:val="32"/>
                <w:szCs w:val="32"/>
                <w:shd w:val="clear" w:color="auto" w:fill="FFFFFF"/>
              </w:rPr>
            </w:pPr>
            <w:r>
              <w:rPr>
                <w:rFonts w:hint="eastAsia" w:ascii="黑体" w:hAnsi="黑体" w:eastAsia="黑体" w:cs="黑体"/>
                <w:b w:val="0"/>
                <w:i w:val="0"/>
                <w:caps w:val="0"/>
                <w:color w:val="333333"/>
                <w:spacing w:val="0"/>
                <w:sz w:val="32"/>
                <w:szCs w:val="32"/>
                <w:shd w:val="clear" w:color="auto" w:fill="FFFFFF"/>
                <w:lang w:val="en-US" w:eastAsia="zh-CN"/>
              </w:rPr>
              <w:t>二、</w:t>
            </w:r>
            <w:r>
              <w:rPr>
                <w:rFonts w:hint="eastAsia" w:ascii="黑体" w:hAnsi="黑体" w:eastAsia="黑体" w:cs="黑体"/>
                <w:b w:val="0"/>
                <w:i w:val="0"/>
                <w:caps w:val="0"/>
                <w:color w:val="333333"/>
                <w:spacing w:val="0"/>
                <w:sz w:val="32"/>
                <w:szCs w:val="32"/>
                <w:shd w:val="clear" w:color="auto" w:fill="FFFFFF"/>
              </w:rPr>
              <w:t>行政机关主动公开政府信息情况</w:t>
            </w:r>
          </w:p>
          <w:tbl>
            <w:tblPr>
              <w:tblStyle w:val="7"/>
              <w:tblW w:w="8140" w:type="dxa"/>
              <w:jc w:val="center"/>
              <w:shd w:val="clear" w:color="auto" w:fill="auto"/>
              <w:tblLayout w:type="fixed"/>
              <w:tblCellMar>
                <w:top w:w="0" w:type="dxa"/>
                <w:left w:w="0" w:type="dxa"/>
                <w:bottom w:w="0" w:type="dxa"/>
                <w:right w:w="0" w:type="dxa"/>
              </w:tblCellMar>
            </w:tblPr>
            <w:tblGrid>
              <w:gridCol w:w="2490"/>
              <w:gridCol w:w="2079"/>
              <w:gridCol w:w="1690"/>
              <w:gridCol w:w="1881"/>
            </w:tblGrid>
            <w:tr>
              <w:tblPrEx>
                <w:shd w:val="clear" w:color="auto" w:fill="auto"/>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shd w:val="clear" w:color="auto" w:fill="auto"/>
                <w:tblCellMar>
                  <w:top w:w="0" w:type="dxa"/>
                  <w:left w:w="0" w:type="dxa"/>
                  <w:bottom w:w="0" w:type="dxa"/>
                  <w:right w:w="0" w:type="dxa"/>
                </w:tblCellMar>
              </w:tblPrEx>
              <w:trPr>
                <w:trHeight w:val="124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本年新</w:t>
                  </w:r>
                  <w:r>
                    <w:rPr>
                      <w:rFonts w:hint="eastAsia" w:ascii="仿宋_GB2312" w:hAnsi="仿宋_GB2312" w:eastAsia="仿宋_GB2312" w:cs="仿宋_GB2312"/>
                      <w:color w:val="000000"/>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制作数量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本年新</w:t>
                  </w:r>
                  <w:r>
                    <w:rPr>
                      <w:rFonts w:hint="eastAsia" w:ascii="仿宋_GB2312" w:hAnsi="仿宋_GB2312" w:eastAsia="仿宋_GB2312" w:cs="仿宋_GB2312"/>
                      <w:color w:val="000000"/>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对外公开总数量</w:t>
                  </w:r>
                </w:p>
              </w:tc>
            </w:tr>
            <w:tr>
              <w:tblPrEx>
                <w:shd w:val="clear" w:color="auto" w:fill="auto"/>
                <w:tblCellMar>
                  <w:top w:w="0" w:type="dxa"/>
                  <w:left w:w="0" w:type="dxa"/>
                  <w:bottom w:w="0" w:type="dxa"/>
                  <w:right w:w="0" w:type="dxa"/>
                </w:tblCellMar>
              </w:tblPrEx>
              <w:trPr>
                <w:trHeight w:val="52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规章</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7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规范性文件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第二十条第（五）项</w:t>
                  </w:r>
                </w:p>
              </w:tc>
            </w:tr>
            <w:tr>
              <w:tblPrEx>
                <w:shd w:val="clear" w:color="auto" w:fill="auto"/>
                <w:tblCellMar>
                  <w:top w:w="0" w:type="dxa"/>
                  <w:left w:w="0" w:type="dxa"/>
                  <w:bottom w:w="0" w:type="dxa"/>
                  <w:right w:w="0" w:type="dxa"/>
                </w:tblCellMar>
              </w:tblPrEx>
              <w:trPr>
                <w:trHeight w:val="1037"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处理决定数量</w:t>
                  </w:r>
                </w:p>
              </w:tc>
            </w:tr>
            <w:tr>
              <w:tblPrEx>
                <w:shd w:val="clear" w:color="auto" w:fill="auto"/>
                <w:tblCellMar>
                  <w:top w:w="0" w:type="dxa"/>
                  <w:left w:w="0" w:type="dxa"/>
                  <w:bottom w:w="0" w:type="dxa"/>
                  <w:right w:w="0" w:type="dxa"/>
                </w:tblCellMar>
              </w:tblPrEx>
              <w:trPr>
                <w:trHeight w:val="528"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行政许可</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 123</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bidi="ar"/>
                    </w:rPr>
                    <w:t>230</w:t>
                  </w:r>
                </w:p>
              </w:tc>
            </w:tr>
            <w:tr>
              <w:tblPrEx>
                <w:shd w:val="clear" w:color="auto" w:fill="auto"/>
                <w:tblCellMar>
                  <w:top w:w="0" w:type="dxa"/>
                  <w:left w:w="0" w:type="dxa"/>
                  <w:bottom w:w="0" w:type="dxa"/>
                  <w:right w:w="0" w:type="dxa"/>
                </w:tblCellMar>
              </w:tblPrEx>
              <w:trPr>
                <w:trHeight w:val="55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其他对外管理服务事项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第二十条第（六）项</w:t>
                  </w:r>
                </w:p>
              </w:tc>
            </w:tr>
            <w:tr>
              <w:tblPrEx>
                <w:shd w:val="clear" w:color="auto" w:fill="auto"/>
                <w:tblCellMar>
                  <w:top w:w="0" w:type="dxa"/>
                  <w:left w:w="0" w:type="dxa"/>
                  <w:bottom w:w="0" w:type="dxa"/>
                  <w:right w:w="0" w:type="dxa"/>
                </w:tblCellMar>
              </w:tblPrEx>
              <w:trPr>
                <w:trHeight w:val="634"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处理决定数量</w:t>
                  </w:r>
                </w:p>
              </w:tc>
            </w:tr>
            <w:tr>
              <w:tblPrEx>
                <w:shd w:val="clear" w:color="auto" w:fill="auto"/>
                <w:tblCellMar>
                  <w:top w:w="0" w:type="dxa"/>
                  <w:left w:w="0" w:type="dxa"/>
                  <w:bottom w:w="0" w:type="dxa"/>
                  <w:right w:w="0" w:type="dxa"/>
                </w:tblCellMar>
              </w:tblPrEx>
              <w:trPr>
                <w:trHeight w:val="43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行政处罚</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0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行政强制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第二十条第（八）项</w:t>
                  </w:r>
                </w:p>
              </w:tc>
            </w:tr>
            <w:tr>
              <w:tblPrEx>
                <w:shd w:val="clear" w:color="auto" w:fill="auto"/>
                <w:tblCellMar>
                  <w:top w:w="0" w:type="dxa"/>
                  <w:left w:w="0" w:type="dxa"/>
                  <w:bottom w:w="0" w:type="dxa"/>
                  <w:right w:w="0" w:type="dxa"/>
                </w:tblCellMar>
              </w:tblPrEx>
              <w:trPr>
                <w:trHeight w:val="27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上一年项目数量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本年增/减</w:t>
                  </w:r>
                </w:p>
              </w:tc>
            </w:tr>
            <w:tr>
              <w:tblPrEx>
                <w:shd w:val="clear" w:color="auto" w:fill="auto"/>
                <w:tblCellMar>
                  <w:top w:w="0" w:type="dxa"/>
                  <w:left w:w="0" w:type="dxa"/>
                  <w:bottom w:w="0" w:type="dxa"/>
                  <w:right w:w="0" w:type="dxa"/>
                </w:tblCellMar>
              </w:tblPrEx>
              <w:trPr>
                <w:trHeight w:val="55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行政事业性收费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0</w:t>
                  </w:r>
                </w:p>
              </w:tc>
            </w:tr>
            <w:tr>
              <w:tblPrEx>
                <w:shd w:val="clear" w:color="auto" w:fill="auto"/>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第二十条第（九）项</w:t>
                  </w:r>
                </w:p>
              </w:tc>
            </w:tr>
            <w:tr>
              <w:tblPrEx>
                <w:shd w:val="clear" w:color="auto" w:fill="auto"/>
                <w:tblCellMar>
                  <w:top w:w="0" w:type="dxa"/>
                  <w:left w:w="0" w:type="dxa"/>
                  <w:bottom w:w="0" w:type="dxa"/>
                  <w:right w:w="0" w:type="dxa"/>
                </w:tblCellMar>
              </w:tblPrEx>
              <w:trPr>
                <w:trHeight w:val="585"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采购项目数量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采购总金额</w:t>
                  </w:r>
                </w:p>
              </w:tc>
            </w:tr>
            <w:tr>
              <w:tblPrEx>
                <w:shd w:val="clear" w:color="auto" w:fill="auto"/>
                <w:tblCellMar>
                  <w:top w:w="0" w:type="dxa"/>
                  <w:left w:w="0" w:type="dxa"/>
                  <w:bottom w:w="0" w:type="dxa"/>
                  <w:right w:w="0" w:type="dxa"/>
                </w:tblCellMar>
              </w:tblPrEx>
              <w:trPr>
                <w:trHeight w:val="53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政府集中采购</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40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1</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28.35万</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i w:val="0"/>
                <w:caps w:val="0"/>
                <w:color w:val="333333"/>
                <w:spacing w:val="0"/>
                <w:sz w:val="32"/>
                <w:szCs w:val="32"/>
                <w:shd w:val="clear" w:color="auto" w:fill="FFFFFF"/>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i w:val="0"/>
                <w:caps w:val="0"/>
                <w:color w:val="333333"/>
                <w:spacing w:val="0"/>
                <w:sz w:val="32"/>
                <w:szCs w:val="32"/>
                <w:shd w:val="clear" w:color="auto" w:fill="FFFFFF"/>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i w:val="0"/>
                <w:caps w:val="0"/>
                <w:color w:val="333333"/>
                <w:spacing w:val="0"/>
                <w:sz w:val="32"/>
                <w:szCs w:val="32"/>
                <w:shd w:val="clear" w:color="auto" w:fill="FFFFFF"/>
                <w:lang w:val="en-US" w:eastAsia="zh-CN"/>
              </w:rPr>
            </w:pPr>
            <w:r>
              <w:rPr>
                <w:rFonts w:hint="eastAsia" w:ascii="黑体" w:hAnsi="黑体" w:eastAsia="黑体" w:cs="黑体"/>
                <w:b w:val="0"/>
                <w:i w:val="0"/>
                <w:caps w:val="0"/>
                <w:color w:val="333333"/>
                <w:spacing w:val="0"/>
                <w:sz w:val="32"/>
                <w:szCs w:val="32"/>
                <w:shd w:val="clear" w:color="auto" w:fill="FFFFFF"/>
                <w:lang w:val="en-US" w:eastAsia="zh-CN"/>
              </w:rPr>
              <w:t>（三）行政机关收到和处理政府信息公开申请情况</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87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i w:val="0"/>
                <w:caps w:val="0"/>
                <w:color w:val="333333"/>
                <w:spacing w:val="0"/>
                <w:sz w:val="32"/>
                <w:szCs w:val="32"/>
                <w:shd w:val="clear" w:color="auto" w:fill="FFFFFF"/>
                <w:lang w:val="en-US" w:eastAsia="zh-CN"/>
              </w:rPr>
            </w:pPr>
            <w:r>
              <w:rPr>
                <w:rFonts w:hint="eastAsia" w:ascii="黑体" w:hAnsi="黑体" w:eastAsia="黑体" w:cs="黑体"/>
                <w:b w:val="0"/>
                <w:i w:val="0"/>
                <w:caps w:val="0"/>
                <w:color w:val="333333"/>
                <w:spacing w:val="0"/>
                <w:sz w:val="32"/>
                <w:szCs w:val="32"/>
                <w:shd w:val="clear" w:color="auto" w:fill="FFFFFF"/>
                <w:lang w:val="en-US" w:eastAsia="zh-CN"/>
              </w:rPr>
              <w:t>（四）因政府信息公开工作被申请行政复议、提起行政诉讼情况</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360" w:lineRule="exact"/>
                    <w:ind w:left="0" w:leftChars="0" w:right="0" w:right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i w:val="0"/>
                <w:caps w:val="0"/>
                <w:color w:val="333333"/>
                <w:spacing w:val="0"/>
                <w:sz w:val="32"/>
                <w:szCs w:val="32"/>
                <w:shd w:val="clear" w:color="auto" w:fill="FFFFFF"/>
                <w:lang w:val="en-US" w:eastAsia="zh-CN"/>
              </w:rPr>
            </w:pPr>
            <w:r>
              <w:rPr>
                <w:rFonts w:hint="eastAsia" w:ascii="黑体" w:hAnsi="黑体" w:eastAsia="黑体" w:cs="黑体"/>
                <w:b w:val="0"/>
                <w:i w:val="0"/>
                <w:caps w:val="0"/>
                <w:color w:val="333333"/>
                <w:spacing w:val="0"/>
                <w:sz w:val="32"/>
                <w:szCs w:val="32"/>
                <w:shd w:val="clear" w:color="auto" w:fill="FFFFFF"/>
                <w:lang w:val="en-US" w:eastAsia="zh-CN"/>
              </w:rPr>
              <w:t>（五）政府信息公开工作存在的主要问题及改进情况。</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333333"/>
                <w:spacing w:val="0"/>
                <w:sz w:val="32"/>
                <w:szCs w:val="32"/>
                <w:shd w:val="clear" w:color="auto" w:fill="FFFFFF"/>
              </w:rPr>
              <w:t>201</w:t>
            </w:r>
            <w:r>
              <w:rPr>
                <w:rFonts w:hint="eastAsia" w:ascii="仿宋_GB2312" w:hAnsi="仿宋_GB2312" w:eastAsia="仿宋_GB2312" w:cs="仿宋_GB2312"/>
                <w:b w:val="0"/>
                <w:i w:val="0"/>
                <w:caps w:val="0"/>
                <w:color w:val="333333"/>
                <w:spacing w:val="0"/>
                <w:sz w:val="32"/>
                <w:szCs w:val="32"/>
                <w:shd w:val="clear" w:color="auto" w:fill="FFFFFF"/>
                <w:lang w:val="en-US" w:eastAsia="zh-CN"/>
              </w:rPr>
              <w:t>9</w:t>
            </w:r>
            <w:r>
              <w:rPr>
                <w:rFonts w:hint="eastAsia" w:ascii="仿宋_GB2312" w:hAnsi="仿宋_GB2312" w:eastAsia="仿宋_GB2312" w:cs="仿宋_GB2312"/>
                <w:b w:val="0"/>
                <w:i w:val="0"/>
                <w:caps w:val="0"/>
                <w:color w:val="333333"/>
                <w:spacing w:val="0"/>
                <w:sz w:val="32"/>
                <w:szCs w:val="32"/>
                <w:shd w:val="clear" w:color="auto" w:fill="FFFFFF"/>
              </w:rPr>
              <w:t>年我单位政府信息公开工作，取得一定成效。但与公众需求相比尚存在一些差距，公开形式、制度和便民性需要进一步提高。结合工作中存在的问题和不足，20</w:t>
            </w:r>
            <w:r>
              <w:rPr>
                <w:rFonts w:hint="eastAsia" w:ascii="仿宋_GB2312" w:hAnsi="仿宋_GB2312" w:eastAsia="仿宋_GB2312" w:cs="仿宋_GB2312"/>
                <w:b w:val="0"/>
                <w:i w:val="0"/>
                <w:caps w:val="0"/>
                <w:color w:val="333333"/>
                <w:spacing w:val="0"/>
                <w:sz w:val="32"/>
                <w:szCs w:val="32"/>
                <w:shd w:val="clear" w:color="auto" w:fill="FFFFFF"/>
                <w:lang w:val="en-US" w:eastAsia="zh-CN"/>
              </w:rPr>
              <w:t>20</w:t>
            </w:r>
            <w:r>
              <w:rPr>
                <w:rFonts w:hint="eastAsia" w:ascii="仿宋_GB2312" w:hAnsi="仿宋_GB2312" w:eastAsia="仿宋_GB2312" w:cs="仿宋_GB2312"/>
                <w:b w:val="0"/>
                <w:i w:val="0"/>
                <w:caps w:val="0"/>
                <w:color w:val="333333"/>
                <w:spacing w:val="0"/>
                <w:sz w:val="32"/>
                <w:szCs w:val="32"/>
                <w:shd w:val="clear" w:color="auto" w:fill="FFFFFF"/>
              </w:rPr>
              <w:t>年本单位政府信息公开工作将从以下几个方面进一步改进：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一是</w:t>
            </w:r>
            <w:r>
              <w:rPr>
                <w:rFonts w:hint="eastAsia" w:ascii="仿宋_GB2312" w:hAnsi="仿宋_GB2312" w:eastAsia="仿宋_GB2312" w:cs="仿宋_GB2312"/>
                <w:b w:val="0"/>
                <w:i w:val="0"/>
                <w:caps w:val="0"/>
                <w:color w:val="333333"/>
                <w:spacing w:val="0"/>
                <w:sz w:val="32"/>
                <w:szCs w:val="32"/>
                <w:shd w:val="clear" w:color="auto" w:fill="FFFFFF"/>
              </w:rPr>
              <w:t>创新政务公开方式。坚持“方便群众知情、便于群众监督”的原则，进一步拓展工作领域、深化公开内容、丰富公开形式，促进自身建设和管理创新，实现政务公开的规范化、标准化、常态化。坚持“问政于民、问需于民、问计于民”的方针，通过依靠群众的积极支持和广泛参与，进一步畅通政府和群众互动渠道，切实提高政务公开的社会效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二是</w:t>
            </w:r>
            <w:r>
              <w:rPr>
                <w:rFonts w:hint="eastAsia" w:ascii="仿宋_GB2312" w:hAnsi="仿宋_GB2312" w:eastAsia="仿宋_GB2312" w:cs="仿宋_GB2312"/>
                <w:b w:val="0"/>
                <w:i w:val="0"/>
                <w:caps w:val="0"/>
                <w:color w:val="333333"/>
                <w:spacing w:val="0"/>
                <w:sz w:val="32"/>
                <w:szCs w:val="32"/>
                <w:shd w:val="clear" w:color="auto" w:fill="FFFFFF"/>
              </w:rPr>
              <w:t>完善相关制度建设。进一步加强</w:t>
            </w:r>
            <w:r>
              <w:rPr>
                <w:rFonts w:hint="eastAsia" w:ascii="仿宋_GB2312" w:hAnsi="仿宋_GB2312" w:eastAsia="仿宋_GB2312" w:cs="仿宋_GB2312"/>
                <w:b w:val="0"/>
                <w:i w:val="0"/>
                <w:caps w:val="0"/>
                <w:color w:val="333333"/>
                <w:spacing w:val="0"/>
                <w:sz w:val="32"/>
                <w:szCs w:val="32"/>
                <w:shd w:val="clear" w:color="auto" w:fill="FFFFFF"/>
                <w:lang w:val="en-US" w:eastAsia="zh-CN"/>
              </w:rPr>
              <w:t>政务服务</w:t>
            </w:r>
            <w:r>
              <w:rPr>
                <w:rFonts w:hint="eastAsia" w:ascii="仿宋_GB2312" w:hAnsi="仿宋_GB2312" w:eastAsia="仿宋_GB2312" w:cs="仿宋_GB2312"/>
                <w:b w:val="0"/>
                <w:i w:val="0"/>
                <w:caps w:val="0"/>
                <w:color w:val="333333"/>
                <w:spacing w:val="0"/>
                <w:sz w:val="32"/>
                <w:szCs w:val="32"/>
                <w:shd w:val="clear" w:color="auto" w:fill="FFFFFF"/>
              </w:rPr>
              <w:t>中心</w:t>
            </w:r>
            <w:r>
              <w:rPr>
                <w:rFonts w:hint="eastAsia" w:ascii="仿宋_GB2312" w:hAnsi="仿宋_GB2312" w:eastAsia="仿宋_GB2312" w:cs="仿宋_GB2312"/>
                <w:b w:val="0"/>
                <w:i w:val="0"/>
                <w:caps w:val="0"/>
                <w:color w:val="333333"/>
                <w:spacing w:val="0"/>
                <w:sz w:val="32"/>
                <w:szCs w:val="32"/>
                <w:shd w:val="clear" w:color="auto" w:fill="FFFFFF"/>
                <w:lang w:eastAsia="zh-CN"/>
              </w:rPr>
              <w:t>微信公众平台的建</w:t>
            </w:r>
            <w:r>
              <w:rPr>
                <w:rFonts w:hint="eastAsia" w:ascii="仿宋_GB2312" w:hAnsi="仿宋_GB2312" w:eastAsia="仿宋_GB2312" w:cs="仿宋_GB2312"/>
                <w:b w:val="0"/>
                <w:i w:val="0"/>
                <w:caps w:val="0"/>
                <w:color w:val="333333"/>
                <w:spacing w:val="0"/>
                <w:sz w:val="32"/>
                <w:szCs w:val="32"/>
                <w:shd w:val="clear" w:color="auto" w:fill="FFFFFF"/>
              </w:rPr>
              <w:t>设，做好</w:t>
            </w:r>
            <w:r>
              <w:rPr>
                <w:rFonts w:hint="eastAsia" w:ascii="仿宋_GB2312" w:hAnsi="仿宋_GB2312" w:eastAsia="仿宋_GB2312" w:cs="仿宋_GB2312"/>
                <w:b w:val="0"/>
                <w:i w:val="0"/>
                <w:caps w:val="0"/>
                <w:color w:val="333333"/>
                <w:spacing w:val="0"/>
                <w:sz w:val="32"/>
                <w:szCs w:val="32"/>
                <w:shd w:val="clear" w:color="auto" w:fill="FFFFFF"/>
                <w:lang w:eastAsia="zh-CN"/>
              </w:rPr>
              <w:t>门户</w:t>
            </w:r>
            <w:r>
              <w:rPr>
                <w:rFonts w:hint="eastAsia" w:ascii="仿宋_GB2312" w:hAnsi="仿宋_GB2312" w:eastAsia="仿宋_GB2312" w:cs="仿宋_GB2312"/>
                <w:b w:val="0"/>
                <w:i w:val="0"/>
                <w:caps w:val="0"/>
                <w:color w:val="333333"/>
                <w:spacing w:val="0"/>
                <w:sz w:val="32"/>
                <w:szCs w:val="32"/>
                <w:shd w:val="clear" w:color="auto" w:fill="FFFFFF"/>
              </w:rPr>
              <w:t>网站公众留言答复、信息发布等工作，对网民提交的问题、建议和意见等及时进行回复，加强信息发布的准确性、时效性和规范性。同时，进一步健全信息公开长效机制，实现信息公开的制度化、规范化、常态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i w:val="0"/>
                <w:caps w:val="0"/>
                <w:color w:val="333333"/>
                <w:spacing w:val="0"/>
                <w:sz w:val="32"/>
                <w:szCs w:val="32"/>
                <w:shd w:val="clear" w:color="auto" w:fill="FFFFFF"/>
                <w:lang w:val="en-US" w:eastAsia="zh-CN"/>
              </w:rPr>
            </w:pPr>
            <w:r>
              <w:rPr>
                <w:rFonts w:hint="eastAsia" w:ascii="仿宋_GB2312" w:hAnsi="仿宋_GB2312" w:eastAsia="仿宋_GB2312" w:cs="仿宋_GB2312"/>
                <w:b/>
                <w:bCs/>
                <w:i w:val="0"/>
                <w:caps w:val="0"/>
                <w:color w:val="333333"/>
                <w:spacing w:val="0"/>
                <w:sz w:val="32"/>
                <w:szCs w:val="32"/>
                <w:shd w:val="clear" w:color="auto" w:fill="FFFFFF"/>
                <w:lang w:val="en-US" w:eastAsia="zh-CN"/>
              </w:rPr>
              <w:t>三是</w:t>
            </w:r>
            <w:r>
              <w:rPr>
                <w:rFonts w:hint="eastAsia" w:ascii="仿宋_GB2312" w:hAnsi="仿宋_GB2312" w:eastAsia="仿宋_GB2312" w:cs="仿宋_GB2312"/>
                <w:b w:val="0"/>
                <w:i w:val="0"/>
                <w:caps w:val="0"/>
                <w:color w:val="333333"/>
                <w:spacing w:val="0"/>
                <w:sz w:val="32"/>
                <w:szCs w:val="32"/>
                <w:shd w:val="clear" w:color="auto" w:fill="FFFFFF"/>
              </w:rPr>
              <w:t>深化政务服务功能</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lang w:val="en-US" w:eastAsia="zh-CN"/>
              </w:rPr>
              <w:t>扎实做好标准化，让窗口服务和群众办事简单明了。对划转和进驻的事项，逐项明确事项基本信息、材料要求、办事流程、结果样本等要素，形成切合阎良实际的事项库，并在此基础上不断优化审批流程，简化审批环节，压缩审批时限。同时，梳理行政权力清单和责任清单，完善“三级四同”审批服务事项、完成“一网通办”流程再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i w:val="0"/>
                <w:caps w:val="0"/>
                <w:color w:val="333333"/>
                <w:spacing w:val="0"/>
                <w:kern w:val="0"/>
                <w:sz w:val="32"/>
                <w:szCs w:val="32"/>
                <w:shd w:val="clear" w:color="auto" w:fill="FFFFFF"/>
                <w:lang w:val="en-US" w:eastAsia="zh-CN" w:bidi="ar-SA"/>
              </w:rPr>
            </w:pPr>
            <w:r>
              <w:rPr>
                <w:rFonts w:hint="eastAsia" w:ascii="黑体" w:hAnsi="黑体" w:eastAsia="黑体" w:cs="黑体"/>
                <w:b w:val="0"/>
                <w:i w:val="0"/>
                <w:caps w:val="0"/>
                <w:color w:val="333333"/>
                <w:spacing w:val="0"/>
                <w:kern w:val="0"/>
                <w:sz w:val="32"/>
                <w:szCs w:val="32"/>
                <w:shd w:val="clear" w:color="auto" w:fill="FFFFFF"/>
                <w:lang w:val="en-US" w:eastAsia="zh-CN" w:bidi="ar-SA"/>
              </w:rPr>
              <w:t>六、其他需要报告的事项:</w:t>
            </w:r>
            <w:r>
              <w:rPr>
                <w:rFonts w:hint="eastAsia" w:ascii="仿宋_GB2312" w:hAnsi="仿宋_GB2312" w:eastAsia="仿宋_GB2312" w:cs="仿宋_GB2312"/>
                <w:b w:val="0"/>
                <w:i w:val="0"/>
                <w:caps w:val="0"/>
                <w:color w:val="333333"/>
                <w:spacing w:val="0"/>
                <w:sz w:val="32"/>
                <w:szCs w:val="32"/>
                <w:shd w:val="clear" w:color="auto" w:fill="FFFFFF"/>
                <w:lang w:val="en-US" w:eastAsia="zh-CN"/>
              </w:rPr>
              <w:t>无。</w:t>
            </w:r>
          </w:p>
          <w:p>
            <w:pPr>
              <w:pStyle w:val="3"/>
              <w:ind w:firstLine="2200" w:firstLineChars="500"/>
              <w:rPr>
                <w:rFonts w:hint="eastAsia" w:ascii="方正小标宋简体" w:hAnsi="方正小标宋简体" w:eastAsia="方正小标宋简体" w:cs="方正小标宋简体"/>
                <w:b w:val="0"/>
                <w:bCs/>
                <w:i w:val="0"/>
                <w:caps w:val="0"/>
                <w:color w:val="333333"/>
                <w:spacing w:val="0"/>
                <w:kern w:val="0"/>
                <w:sz w:val="44"/>
                <w:szCs w:val="44"/>
                <w:shd w:val="clear" w:color="auto" w:fill="FFFFFF"/>
                <w:lang w:val="en-US" w:eastAsia="zh-CN" w:bidi="ar"/>
              </w:rPr>
            </w:pPr>
          </w:p>
          <w:p>
            <w:pPr>
              <w:pStyle w:val="3"/>
              <w:ind w:firstLine="4800" w:firstLineChars="1500"/>
              <w:rPr>
                <w:rFonts w:hint="eastAsia" w:ascii="仿宋_GB2312" w:hAnsi="仿宋_GB2312" w:eastAsia="仿宋_GB2312" w:cs="仿宋_GB2312"/>
                <w:b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i w:val="0"/>
                <w:caps w:val="0"/>
                <w:color w:val="333333"/>
                <w:spacing w:val="0"/>
                <w:kern w:val="0"/>
                <w:sz w:val="32"/>
                <w:szCs w:val="32"/>
                <w:shd w:val="clear" w:color="auto" w:fill="FFFFFF"/>
                <w:lang w:val="en-US" w:eastAsia="zh-CN" w:bidi="ar"/>
              </w:rPr>
              <w:t>阎良区行政审批服务局</w:t>
            </w:r>
          </w:p>
          <w:p>
            <w:pPr>
              <w:pStyle w:val="3"/>
              <w:ind w:firstLine="5120" w:firstLineChars="1600"/>
              <w:rPr>
                <w:rFonts w:hint="eastAsia" w:ascii="仿宋_GB2312" w:hAnsi="仿宋_GB2312" w:eastAsia="仿宋_GB2312" w:cs="仿宋_GB2312"/>
                <w:b/>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shd w:val="clear" w:color="auto" w:fill="FFFFFF"/>
                <w:lang w:val="en-US" w:eastAsia="zh-CN"/>
              </w:rPr>
              <w:t>2020年1月16日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right="0"/>
              <w:jc w:val="both"/>
              <w:rPr>
                <w:rFonts w:hint="default" w:ascii="仿宋_GB2312" w:hAnsi="仿宋_GB2312" w:eastAsia="仿宋_GB2312" w:cs="仿宋_GB2312"/>
                <w:sz w:val="32"/>
                <w:szCs w:val="32"/>
                <w:lang w:val="en-US" w:eastAsia="zh-CN"/>
              </w:rPr>
            </w:pPr>
          </w:p>
        </w:tc>
      </w:tr>
      <w:tr>
        <w:tblPrEx>
          <w:shd w:val="clear" w:color="auto" w:fill="FFFFFF"/>
          <w:tblCellMar>
            <w:top w:w="0" w:type="dxa"/>
            <w:left w:w="0" w:type="dxa"/>
            <w:bottom w:w="0" w:type="dxa"/>
            <w:right w:w="0" w:type="dxa"/>
          </w:tblCellMar>
        </w:tblPrEx>
        <w:trPr>
          <w:tblCellSpacing w:w="0" w:type="dxa"/>
        </w:trPr>
        <w:tc>
          <w:tcPr>
            <w:tcW w:w="9750" w:type="dxa"/>
            <w:shd w:val="clear" w:color="auto" w:fill="FFFFFF"/>
            <w:vAlign w:val="center"/>
          </w:tcPr>
          <w:p>
            <w:pPr>
              <w:jc w:val="left"/>
              <w:rPr>
                <w:rFonts w:hint="eastAsia" w:ascii="仿宋_GB2312" w:hAnsi="仿宋_GB2312" w:eastAsia="仿宋_GB2312" w:cs="仿宋_GB2312"/>
                <w:i w:val="0"/>
                <w:caps w:val="0"/>
                <w:color w:val="333333"/>
                <w:spacing w:val="0"/>
                <w:sz w:val="32"/>
                <w:szCs w:val="32"/>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color w:val="000000"/>
          <w:sz w:val="32"/>
          <w:szCs w:val="32"/>
          <w:lang w:val="en-US" w:eastAsia="zh-CN"/>
        </w:rPr>
      </w:pPr>
    </w:p>
    <w:p>
      <w:pPr>
        <w:pStyle w:val="3"/>
        <w:ind w:left="0" w:leftChars="0" w:firstLine="0" w:firstLineChars="0"/>
        <w:rPr>
          <w:rFonts w:hint="default" w:ascii="仿宋_GB2312" w:hAnsi="仿宋_GB2312" w:eastAsia="仿宋_GB2312" w:cs="仿宋_GB2312"/>
          <w:sz w:val="32"/>
          <w:szCs w:val="40"/>
          <w:lang w:val="en-US" w:eastAsia="zh-CN"/>
        </w:rPr>
      </w:pP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3358B"/>
    <w:rsid w:val="01EC2FC6"/>
    <w:rsid w:val="027D338A"/>
    <w:rsid w:val="03AC3897"/>
    <w:rsid w:val="08DC39E3"/>
    <w:rsid w:val="09C21831"/>
    <w:rsid w:val="0A785698"/>
    <w:rsid w:val="0D3B4430"/>
    <w:rsid w:val="0EE37D87"/>
    <w:rsid w:val="0FF37D34"/>
    <w:rsid w:val="10946730"/>
    <w:rsid w:val="10E91B4E"/>
    <w:rsid w:val="12D134FA"/>
    <w:rsid w:val="161749CD"/>
    <w:rsid w:val="175A6206"/>
    <w:rsid w:val="1D1663CC"/>
    <w:rsid w:val="1EAE4EE3"/>
    <w:rsid w:val="21CA4DD2"/>
    <w:rsid w:val="243015B9"/>
    <w:rsid w:val="2464456F"/>
    <w:rsid w:val="288D76AB"/>
    <w:rsid w:val="2C1438D4"/>
    <w:rsid w:val="2CE96FB0"/>
    <w:rsid w:val="2D48603E"/>
    <w:rsid w:val="2E0E64E6"/>
    <w:rsid w:val="31125E75"/>
    <w:rsid w:val="31725C57"/>
    <w:rsid w:val="31CC2C1F"/>
    <w:rsid w:val="31CD50D6"/>
    <w:rsid w:val="32666233"/>
    <w:rsid w:val="34E24DFD"/>
    <w:rsid w:val="36D278D5"/>
    <w:rsid w:val="3CC0566B"/>
    <w:rsid w:val="3E6D0A2A"/>
    <w:rsid w:val="3F2043AB"/>
    <w:rsid w:val="40484F16"/>
    <w:rsid w:val="40DA29AF"/>
    <w:rsid w:val="414E0E14"/>
    <w:rsid w:val="43F801CC"/>
    <w:rsid w:val="471879F6"/>
    <w:rsid w:val="47B378EF"/>
    <w:rsid w:val="48567B4D"/>
    <w:rsid w:val="48DC33D2"/>
    <w:rsid w:val="49C7748D"/>
    <w:rsid w:val="4D456C16"/>
    <w:rsid w:val="4D7B091F"/>
    <w:rsid w:val="532E6CFE"/>
    <w:rsid w:val="540A5704"/>
    <w:rsid w:val="55B57625"/>
    <w:rsid w:val="57D76EAC"/>
    <w:rsid w:val="594E0A45"/>
    <w:rsid w:val="5CE60C13"/>
    <w:rsid w:val="5F4C24E3"/>
    <w:rsid w:val="60BE34B2"/>
    <w:rsid w:val="612F44EA"/>
    <w:rsid w:val="61C45341"/>
    <w:rsid w:val="657D1898"/>
    <w:rsid w:val="671D1E00"/>
    <w:rsid w:val="67765B21"/>
    <w:rsid w:val="6ADC6F16"/>
    <w:rsid w:val="6E056E3F"/>
    <w:rsid w:val="6F17733B"/>
    <w:rsid w:val="701829B5"/>
    <w:rsid w:val="723C4342"/>
    <w:rsid w:val="7336301E"/>
    <w:rsid w:val="757768F5"/>
    <w:rsid w:val="77FE45ED"/>
    <w:rsid w:val="77FE4A81"/>
    <w:rsid w:val="7A046CB0"/>
    <w:rsid w:val="7A3C56BA"/>
    <w:rsid w:val="7AF33DE4"/>
    <w:rsid w:val="7DB20FAF"/>
    <w:rsid w:val="7EFD5641"/>
    <w:rsid w:val="7F0602A8"/>
    <w:rsid w:val="7FD10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34"/>
    <w:pPr>
      <w:ind w:firstLine="420"/>
    </w:pPr>
    <w:rPr>
      <w:rFonts w:ascii="Calibri" w:hAnsi="Calibri" w:eastAsia="宋体" w:cs="Times New Roman"/>
    </w:rPr>
  </w:style>
  <w:style w:type="paragraph" w:styleId="3">
    <w:name w:val="Normal Indent"/>
    <w:basedOn w:val="1"/>
    <w:qFormat/>
    <w:uiPriority w:val="0"/>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rFonts w:ascii="Times New Roman" w:hAnsi="Times New Roman" w:eastAsia="方正仿宋简体" w:cs="Times New Roman"/>
      <w:kern w:val="0"/>
      <w:sz w:val="24"/>
      <w:szCs w:val="20"/>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qFormat/>
    <w:uiPriority w:val="0"/>
    <w:rPr>
      <w:color w:val="555555"/>
      <w:u w:val="none"/>
    </w:rPr>
  </w:style>
  <w:style w:type="character" w:styleId="11">
    <w:name w:val="Hyperlink"/>
    <w:basedOn w:val="9"/>
    <w:qFormat/>
    <w:uiPriority w:val="0"/>
    <w:rPr>
      <w:color w:val="555555"/>
      <w:u w:val="none"/>
    </w:rPr>
  </w:style>
  <w:style w:type="character" w:customStyle="1" w:styleId="12">
    <w:name w:val="current"/>
    <w:basedOn w:val="9"/>
    <w:qFormat/>
    <w:uiPriority w:val="0"/>
    <w:rPr>
      <w:color w:val="FFFFFF"/>
      <w:u w:val="none"/>
      <w:bdr w:val="single" w:color="FB6E52" w:sz="6" w:space="0"/>
      <w:shd w:val="clear" w:fill="FB6E52"/>
    </w:rPr>
  </w:style>
  <w:style w:type="character" w:customStyle="1" w:styleId="13">
    <w:name w:val="current1"/>
    <w:basedOn w:val="9"/>
    <w:qFormat/>
    <w:uiPriority w:val="0"/>
    <w:rPr>
      <w:b/>
      <w:color w:val="FFFFFF"/>
      <w:bdr w:val="single" w:color="D80D00" w:sz="6" w:space="0"/>
      <w:shd w:val="clear" w:fill="D80D00"/>
    </w:rPr>
  </w:style>
  <w:style w:type="character" w:customStyle="1" w:styleId="14">
    <w:name w:val="disabled"/>
    <w:basedOn w:val="9"/>
    <w:qFormat/>
    <w:uiPriority w:val="0"/>
    <w:rPr>
      <w:color w:val="CCCCCC"/>
      <w:bdr w:val="single" w:color="F3F3F3" w:sz="6" w:space="0"/>
    </w:rPr>
  </w:style>
  <w:style w:type="character" w:customStyle="1" w:styleId="15">
    <w:name w:val="current2"/>
    <w:basedOn w:val="9"/>
    <w:qFormat/>
    <w:uiPriority w:val="0"/>
    <w:rPr>
      <w:color w:val="FFFFFF"/>
      <w:u w:val="none"/>
      <w:bdr w:val="single" w:color="FB6E52" w:sz="6" w:space="0"/>
      <w:shd w:val="clear" w:fill="FB6E52"/>
    </w:rPr>
  </w:style>
  <w:style w:type="character" w:customStyle="1" w:styleId="16">
    <w:name w:val="current3"/>
    <w:basedOn w:val="9"/>
    <w:qFormat/>
    <w:uiPriority w:val="0"/>
    <w:rPr>
      <w:b/>
      <w:color w:val="FFFFFF"/>
      <w:bdr w:val="single" w:color="D80D00" w:sz="6" w:space="0"/>
      <w:shd w:val="clear" w:fill="D80D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7</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zjn</dc:creator>
  <cp:lastModifiedBy>苏北</cp:lastModifiedBy>
  <cp:lastPrinted>2020-01-16T06:29:00Z</cp:lastPrinted>
  <dcterms:modified xsi:type="dcterms:W3CDTF">2020-01-16T09:48:26Z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