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hint="eastAsia" w:ascii="方正小标宋简体" w:hAnsi="仿宋_GB2312" w:eastAsia="方正小标宋简体" w:cs="仿宋_GB2312"/>
          <w:color w:val="333333"/>
          <w:sz w:val="44"/>
          <w:szCs w:val="44"/>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hint="eastAsia" w:ascii="方正小标宋简体" w:hAnsi="仿宋_GB2312" w:eastAsia="方正小标宋简体" w:cs="仿宋_GB2312"/>
          <w:color w:val="333333"/>
          <w:sz w:val="44"/>
          <w:szCs w:val="44"/>
        </w:rPr>
      </w:pPr>
      <w:bookmarkStart w:id="0" w:name="_GoBack"/>
      <w:r>
        <w:rPr>
          <w:rFonts w:hint="eastAsia" w:ascii="方正小标宋简体" w:hAnsi="仿宋_GB2312" w:eastAsia="方正小标宋简体" w:cs="仿宋_GB2312"/>
          <w:color w:val="333333"/>
          <w:sz w:val="44"/>
          <w:szCs w:val="44"/>
          <w:lang w:val="en-US" w:eastAsia="zh-CN"/>
        </w:rPr>
        <w:t>西安市阎良区</w:t>
      </w:r>
      <w:r>
        <w:rPr>
          <w:rFonts w:hint="eastAsia" w:ascii="方正小标宋简体" w:hAnsi="仿宋_GB2312" w:eastAsia="方正小标宋简体" w:cs="仿宋_GB2312"/>
          <w:color w:val="333333"/>
          <w:sz w:val="44"/>
          <w:szCs w:val="44"/>
        </w:rPr>
        <w:t>关山街道办事处</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方正小标宋简体" w:hAnsi="仿宋_GB2312" w:eastAsia="方正小标宋简体" w:cs="仿宋_GB2312"/>
          <w:sz w:val="44"/>
          <w:szCs w:val="44"/>
        </w:rPr>
      </w:pPr>
      <w:r>
        <w:rPr>
          <w:rFonts w:hint="eastAsia" w:ascii="方正小标宋简体" w:hAnsi="仿宋_GB2312" w:eastAsia="方正小标宋简体" w:cs="仿宋_GB2312"/>
          <w:color w:val="333333"/>
          <w:sz w:val="44"/>
          <w:szCs w:val="44"/>
          <w:lang w:val="en-US" w:eastAsia="zh-CN"/>
        </w:rPr>
        <w:t>2019年</w:t>
      </w:r>
      <w:r>
        <w:rPr>
          <w:rFonts w:hint="eastAsia" w:ascii="方正小标宋简体" w:hAnsi="仿宋_GB2312" w:eastAsia="方正小标宋简体" w:cs="仿宋_GB2312"/>
          <w:color w:val="333333"/>
          <w:sz w:val="44"/>
          <w:szCs w:val="44"/>
        </w:rPr>
        <w:t>政府信息公开工作年度报告</w:t>
      </w:r>
    </w:p>
    <w:bookmarkEnd w:id="0"/>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仿宋_GB2312" w:hAnsi="仿宋_GB2312" w:eastAsia="仿宋_GB2312" w:cs="仿宋_GB2312"/>
          <w:sz w:val="32"/>
          <w:szCs w:val="32"/>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黑体" w:hAnsi="黑体" w:eastAsia="黑体" w:cs="仿宋_GB2312"/>
          <w:sz w:val="32"/>
          <w:szCs w:val="32"/>
        </w:rPr>
      </w:pPr>
      <w:r>
        <w:rPr>
          <w:rFonts w:hint="eastAsia" w:ascii="黑体" w:hAnsi="黑体" w:eastAsia="黑体" w:cs="仿宋_GB2312"/>
          <w:color w:val="333333"/>
          <w:sz w:val="32"/>
          <w:szCs w:val="32"/>
        </w:rPr>
        <w:t>一、总体情况</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eastAsia" w:ascii="楷体_GB2312" w:hAnsi="仿宋_GB2312" w:eastAsia="楷体_GB2312" w:cs="仿宋_GB2312"/>
          <w:b/>
          <w:bCs/>
          <w:sz w:val="32"/>
          <w:szCs w:val="32"/>
          <w:lang w:eastAsia="zh-CN"/>
        </w:rPr>
      </w:pPr>
      <w:r>
        <w:rPr>
          <w:rFonts w:hint="eastAsia" w:ascii="楷体_GB2312" w:hAnsi="仿宋_GB2312" w:eastAsia="楷体_GB2312" w:cs="仿宋_GB2312"/>
          <w:b/>
          <w:bCs/>
          <w:sz w:val="32"/>
          <w:szCs w:val="32"/>
        </w:rPr>
        <w:t>（一）</w:t>
      </w:r>
      <w:r>
        <w:rPr>
          <w:rFonts w:hint="eastAsia" w:ascii="楷体_GB2312" w:hAnsi="仿宋_GB2312" w:eastAsia="楷体_GB2312" w:cs="仿宋_GB2312"/>
          <w:b/>
          <w:bCs/>
          <w:sz w:val="32"/>
          <w:szCs w:val="32"/>
          <w:lang w:eastAsia="zh-CN"/>
        </w:rPr>
        <w:t>主动公开</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今年我办依靠区政府网站、街道“魅力关山”微信公众平台及便民服务大厅共向社会公开信息</w:t>
      </w:r>
      <w:r>
        <w:rPr>
          <w:rFonts w:hint="eastAsia" w:ascii="仿宋_GB2312" w:hAnsi="仿宋_GB2312" w:eastAsia="仿宋_GB2312" w:cs="仿宋_GB2312"/>
          <w:b w:val="0"/>
          <w:bCs w:val="0"/>
          <w:sz w:val="32"/>
          <w:szCs w:val="32"/>
          <w:lang w:val="en-US" w:eastAsia="zh-CN"/>
        </w:rPr>
        <w:t>515</w:t>
      </w:r>
      <w:r>
        <w:rPr>
          <w:rFonts w:hint="eastAsia" w:ascii="仿宋_GB2312" w:hAnsi="仿宋_GB2312" w:eastAsia="仿宋_GB2312" w:cs="仿宋_GB2312"/>
          <w:b w:val="0"/>
          <w:bCs w:val="0"/>
          <w:sz w:val="32"/>
          <w:szCs w:val="32"/>
          <w:lang w:eastAsia="zh-CN"/>
        </w:rPr>
        <w:t>条，其中动态信息</w:t>
      </w:r>
      <w:r>
        <w:rPr>
          <w:rFonts w:hint="eastAsia" w:ascii="仿宋_GB2312" w:hAnsi="仿宋_GB2312" w:eastAsia="仿宋_GB2312" w:cs="仿宋_GB2312"/>
          <w:b w:val="0"/>
          <w:bCs w:val="0"/>
          <w:sz w:val="32"/>
          <w:szCs w:val="32"/>
          <w:lang w:val="en-US" w:eastAsia="zh-CN"/>
        </w:rPr>
        <w:t>405条，政策文件110条。</w:t>
      </w:r>
    </w:p>
    <w:p>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eastAsia" w:ascii="楷体_GB2312" w:hAnsi="仿宋_GB2312" w:eastAsia="楷体_GB2312" w:cs="仿宋_GB2312"/>
          <w:b/>
          <w:bCs/>
          <w:sz w:val="32"/>
          <w:szCs w:val="32"/>
          <w:lang w:val="en-US" w:eastAsia="zh-CN"/>
        </w:rPr>
      </w:pPr>
      <w:r>
        <w:rPr>
          <w:rFonts w:hint="eastAsia" w:ascii="楷体_GB2312" w:hAnsi="仿宋_GB2312" w:eastAsia="楷体_GB2312" w:cs="仿宋_GB2312"/>
          <w:b/>
          <w:bCs/>
          <w:sz w:val="32"/>
          <w:szCs w:val="32"/>
          <w:lang w:val="en-US" w:eastAsia="zh-CN"/>
        </w:rPr>
        <w:t>（二）依申请公开</w:t>
      </w:r>
    </w:p>
    <w:p>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严格按照上级部门和文件要求落实，遵照依申请公开制度及时公开相关信息。今年收到两件区政府批办的公开件，我办及时查阅资料，在要求时限内以邮件形式向申请群众进行了公开。</w:t>
      </w:r>
    </w:p>
    <w:p>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eastAsia" w:ascii="楷体_GB2312" w:hAnsi="仿宋_GB2312" w:eastAsia="楷体_GB2312" w:cs="仿宋_GB2312"/>
          <w:b/>
          <w:bCs/>
          <w:sz w:val="32"/>
          <w:szCs w:val="32"/>
          <w:lang w:val="en-US" w:eastAsia="zh-CN"/>
        </w:rPr>
      </w:pPr>
      <w:r>
        <w:rPr>
          <w:rFonts w:hint="eastAsia" w:ascii="楷体_GB2312" w:hAnsi="仿宋_GB2312" w:eastAsia="楷体_GB2312" w:cs="仿宋_GB2312"/>
          <w:b/>
          <w:bCs/>
          <w:sz w:val="32"/>
          <w:szCs w:val="32"/>
          <w:lang w:val="en-US" w:eastAsia="zh-CN"/>
        </w:rPr>
        <w:t>（三）政府信息管理</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val="0"/>
          <w:bCs w:val="0"/>
          <w:sz w:val="32"/>
          <w:szCs w:val="32"/>
          <w:lang w:val="en-US" w:eastAsia="zh-CN"/>
        </w:rPr>
        <w:t>我办</w:t>
      </w:r>
      <w:r>
        <w:rPr>
          <w:rFonts w:hint="eastAsia" w:ascii="仿宋_GB2312" w:hAnsi="仿宋_GB2312" w:eastAsia="仿宋_GB2312" w:cs="仿宋_GB2312"/>
          <w:sz w:val="32"/>
          <w:szCs w:val="32"/>
        </w:rPr>
        <w:t>健全</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政府信息公开、保密审查等工作制度，对信息的公开范围、方式和流程等做出了具体规定。</w:t>
      </w:r>
      <w:r>
        <w:rPr>
          <w:rFonts w:hint="eastAsia" w:ascii="仿宋_GB2312" w:hAnsi="仿宋_GB2312" w:eastAsia="仿宋_GB2312" w:cs="仿宋_GB2312"/>
          <w:b/>
          <w:bCs/>
          <w:sz w:val="32"/>
          <w:szCs w:val="32"/>
          <w:lang w:eastAsia="zh-CN"/>
        </w:rPr>
        <w:t>二是</w:t>
      </w:r>
      <w:r>
        <w:rPr>
          <w:rFonts w:hint="eastAsia" w:ascii="仿宋_GB2312" w:hAnsi="仿宋_GB2312" w:eastAsia="仿宋_GB2312" w:cs="仿宋_GB2312"/>
          <w:sz w:val="32"/>
          <w:szCs w:val="32"/>
        </w:rPr>
        <w:t>加强信息公开保密审查工作，坚持“谁提供，谁审核，谁负责”的原则，按照职能要求把好关，确保公开信息的准确性、权威性和时效性，全年未发生一次泄密事件或泄露个人隐私事件。</w:t>
      </w:r>
      <w:r>
        <w:rPr>
          <w:rFonts w:hint="eastAsia" w:ascii="仿宋_GB2312" w:hAnsi="仿宋_GB2312" w:eastAsia="仿宋_GB2312" w:cs="仿宋_GB2312"/>
          <w:b/>
          <w:bCs/>
          <w:sz w:val="32"/>
          <w:szCs w:val="32"/>
          <w:lang w:eastAsia="zh-CN"/>
        </w:rPr>
        <w:t>三是</w:t>
      </w:r>
      <w:r>
        <w:rPr>
          <w:rFonts w:hint="eastAsia" w:ascii="仿宋_GB2312" w:hAnsi="仿宋_GB2312" w:eastAsia="仿宋_GB2312" w:cs="仿宋_GB2312"/>
          <w:b w:val="0"/>
          <w:bCs w:val="0"/>
          <w:sz w:val="32"/>
          <w:szCs w:val="32"/>
          <w:lang w:val="en-US" w:eastAsia="zh-CN"/>
        </w:rPr>
        <w:t>建立了信息公开清单，明确了机关各科室信息公开责任的任务，确保我办信息公开工作实现“应公开尽公开”的目的。</w:t>
      </w:r>
    </w:p>
    <w:p>
      <w:pPr>
        <w:keepNext w:val="0"/>
        <w:keepLines w:val="0"/>
        <w:pageBreakBefore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平台建设</w:t>
      </w:r>
    </w:p>
    <w:p>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我办政务信息公开主要依托区政府网站、街办“魅力关山”微信公众号及街办便民服务大厅向社会公开信息，</w:t>
      </w:r>
      <w:r>
        <w:rPr>
          <w:rFonts w:hint="eastAsia" w:ascii="仿宋_GB2312" w:hAnsi="仿宋_GB2312" w:eastAsia="仿宋_GB2312" w:cs="仿宋_GB2312"/>
          <w:sz w:val="32"/>
          <w:szCs w:val="32"/>
          <w:lang w:eastAsia="zh-CN"/>
        </w:rPr>
        <w:t>并</w:t>
      </w:r>
      <w:r>
        <w:rPr>
          <w:rFonts w:ascii="仿宋_GB2312" w:hAnsi="仿宋_GB2312" w:eastAsia="仿宋_GB2312" w:cs="仿宋_GB2312"/>
          <w:sz w:val="32"/>
          <w:szCs w:val="32"/>
        </w:rPr>
        <w:t>制定了政务公开年度工作计划</w:t>
      </w:r>
      <w:r>
        <w:rPr>
          <w:rFonts w:hint="eastAsia" w:ascii="仿宋_GB2312" w:hAnsi="仿宋_GB2312" w:eastAsia="仿宋_GB2312" w:cs="仿宋_GB2312"/>
          <w:sz w:val="32"/>
          <w:szCs w:val="32"/>
        </w:rPr>
        <w:t>，在公开基本内容的基础上，重点公开与群众利益密切相关的事项，方便群众知情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截至目前，各项平台均有专人进行运行和管理，从上传到审核严格把关，“魅力关山”微信公众平台发布内容多次被西安组工、阎良组工、今日阎良等媒体转发。</w:t>
      </w:r>
    </w:p>
    <w:p>
      <w:pPr>
        <w:keepNext w:val="0"/>
        <w:keepLines w:val="0"/>
        <w:pageBreakBefore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3"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（五）监督保障</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街道办事处高度重视信息公开工作，将其列入重要议事日程，主要领导多次就信息公开工作召开会议进行安排部署，主动听取公开工作情况汇报，研究解决突出问题。结合街道实际，成立了以街道办主任为组长，党工委副书记、纪工委副书记、街道办副主任等为副组长和有关职能部门领导为成员的政务公开工作领导小组，以加强对政务公开工作的领导，形成主要领导亲自抓、分管领导具体抓的工作机制。</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黑体" w:hAnsi="黑体" w:eastAsia="黑体" w:cs="仿宋_GB2312"/>
          <w:color w:val="333333"/>
          <w:sz w:val="32"/>
          <w:szCs w:val="32"/>
        </w:rPr>
      </w:pPr>
      <w:r>
        <w:rPr>
          <w:rFonts w:hint="eastAsia" w:ascii="黑体" w:hAnsi="黑体" w:eastAsia="黑体" w:cs="仿宋_GB2312"/>
          <w:color w:val="333333"/>
          <w:sz w:val="32"/>
          <w:szCs w:val="32"/>
        </w:rPr>
        <w:t>二、主动公开政府信息情况</w:t>
      </w:r>
    </w:p>
    <w:tbl>
      <w:tblPr>
        <w:tblStyle w:val="4"/>
        <w:tblW w:w="8861" w:type="dxa"/>
        <w:jc w:val="center"/>
        <w:tblLayout w:type="fixed"/>
        <w:tblCellMar>
          <w:top w:w="0" w:type="dxa"/>
          <w:left w:w="0" w:type="dxa"/>
          <w:bottom w:w="0" w:type="dxa"/>
          <w:right w:w="0" w:type="dxa"/>
        </w:tblCellMar>
      </w:tblPr>
      <w:tblGrid>
        <w:gridCol w:w="2546"/>
        <w:gridCol w:w="2630"/>
        <w:gridCol w:w="1629"/>
        <w:gridCol w:w="2056"/>
      </w:tblGrid>
      <w:tr>
        <w:tblPrEx>
          <w:tblCellMar>
            <w:top w:w="0" w:type="dxa"/>
            <w:left w:w="0" w:type="dxa"/>
            <w:bottom w:w="0" w:type="dxa"/>
            <w:right w:w="0" w:type="dxa"/>
          </w:tblCellMar>
        </w:tblPrEx>
        <w:trPr>
          <w:trHeight w:val="495" w:hRule="atLeast"/>
          <w:jc w:val="center"/>
        </w:trPr>
        <w:tc>
          <w:tcPr>
            <w:tcW w:w="8861" w:type="dxa"/>
            <w:gridSpan w:val="4"/>
            <w:tcBorders>
              <w:top w:val="single" w:color="auto" w:sz="8" w:space="0"/>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第二十条第（一）项</w:t>
            </w:r>
          </w:p>
        </w:tc>
      </w:tr>
      <w:tr>
        <w:tblPrEx>
          <w:tblCellMar>
            <w:top w:w="0" w:type="dxa"/>
            <w:left w:w="0" w:type="dxa"/>
            <w:bottom w:w="0" w:type="dxa"/>
            <w:right w:w="0" w:type="dxa"/>
          </w:tblCellMar>
        </w:tblPrEx>
        <w:trPr>
          <w:trHeight w:val="983"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本年新</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sz w:val="32"/>
                <w:szCs w:val="32"/>
              </w:rPr>
              <w:t>制作数量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本年新</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sz w:val="32"/>
                <w:szCs w:val="32"/>
              </w:rPr>
              <w:t>公开数量</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对外公开总数量</w:t>
            </w:r>
          </w:p>
        </w:tc>
      </w:tr>
      <w:tr>
        <w:tblPrEx>
          <w:tblCellMar>
            <w:top w:w="0" w:type="dxa"/>
            <w:left w:w="0" w:type="dxa"/>
            <w:bottom w:w="0" w:type="dxa"/>
            <w:right w:w="0" w:type="dxa"/>
          </w:tblCellMar>
        </w:tblPrEx>
        <w:trPr>
          <w:trHeight w:val="523"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规章</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宋体" w:hAnsi="宋体" w:eastAsia="宋体" w:cs="宋体"/>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r>
      <w:tr>
        <w:tblPrEx>
          <w:tblCellMar>
            <w:top w:w="0" w:type="dxa"/>
            <w:left w:w="0" w:type="dxa"/>
            <w:bottom w:w="0" w:type="dxa"/>
            <w:right w:w="0" w:type="dxa"/>
          </w:tblCellMar>
        </w:tblPrEx>
        <w:trPr>
          <w:trHeight w:val="471"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规范性文件</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宋体" w:hAnsi="宋体" w:eastAsia="宋体" w:cs="宋体"/>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r>
      <w:tr>
        <w:tblPrEx>
          <w:tblCellMar>
            <w:top w:w="0" w:type="dxa"/>
            <w:left w:w="0" w:type="dxa"/>
            <w:bottom w:w="0" w:type="dxa"/>
            <w:right w:w="0" w:type="dxa"/>
          </w:tblCellMar>
        </w:tblPrEx>
        <w:trPr>
          <w:trHeight w:val="480"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第二十条第（五）项</w:t>
            </w:r>
          </w:p>
        </w:tc>
      </w:tr>
      <w:tr>
        <w:tblPrEx>
          <w:tblCellMar>
            <w:top w:w="0" w:type="dxa"/>
            <w:left w:w="0" w:type="dxa"/>
            <w:bottom w:w="0" w:type="dxa"/>
            <w:right w:w="0" w:type="dxa"/>
          </w:tblCellMar>
        </w:tblPrEx>
        <w:trPr>
          <w:trHeight w:val="1037"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处理决定数量</w:t>
            </w:r>
          </w:p>
        </w:tc>
      </w:tr>
      <w:tr>
        <w:tblPrEx>
          <w:tblCellMar>
            <w:top w:w="0" w:type="dxa"/>
            <w:left w:w="0" w:type="dxa"/>
            <w:bottom w:w="0" w:type="dxa"/>
            <w:right w:w="0" w:type="dxa"/>
          </w:tblCellMar>
        </w:tblPrEx>
        <w:trPr>
          <w:trHeight w:val="528"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行政许可</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3</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r>
      <w:tr>
        <w:tblPrEx>
          <w:tblCellMar>
            <w:top w:w="0" w:type="dxa"/>
            <w:left w:w="0" w:type="dxa"/>
            <w:bottom w:w="0" w:type="dxa"/>
            <w:right w:w="0" w:type="dxa"/>
          </w:tblCellMar>
        </w:tblPrEx>
        <w:trPr>
          <w:trHeight w:val="778"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其他对外管理服务事项</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20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2692</w:t>
            </w:r>
          </w:p>
        </w:tc>
      </w:tr>
      <w:tr>
        <w:tblPrEx>
          <w:tblCellMar>
            <w:top w:w="0" w:type="dxa"/>
            <w:left w:w="0" w:type="dxa"/>
            <w:bottom w:w="0" w:type="dxa"/>
            <w:right w:w="0" w:type="dxa"/>
          </w:tblCellMar>
        </w:tblPrEx>
        <w:trPr>
          <w:trHeight w:val="406"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第二十条第（六）项</w:t>
            </w:r>
          </w:p>
        </w:tc>
      </w:tr>
      <w:tr>
        <w:tblPrEx>
          <w:tblCellMar>
            <w:top w:w="0" w:type="dxa"/>
            <w:left w:w="0" w:type="dxa"/>
            <w:bottom w:w="0" w:type="dxa"/>
            <w:right w:w="0" w:type="dxa"/>
          </w:tblCellMar>
        </w:tblPrEx>
        <w:trPr>
          <w:trHeight w:val="634"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162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处理决定数量</w:t>
            </w:r>
          </w:p>
        </w:tc>
      </w:tr>
      <w:tr>
        <w:tblPrEx>
          <w:tblCellMar>
            <w:top w:w="0" w:type="dxa"/>
            <w:left w:w="0" w:type="dxa"/>
            <w:bottom w:w="0" w:type="dxa"/>
            <w:right w:w="0" w:type="dxa"/>
          </w:tblCellMar>
        </w:tblPrEx>
        <w:trPr>
          <w:trHeight w:val="430"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行政处罚</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4</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r>
      <w:tr>
        <w:tblPrEx>
          <w:tblCellMar>
            <w:top w:w="0" w:type="dxa"/>
            <w:left w:w="0" w:type="dxa"/>
            <w:bottom w:w="0" w:type="dxa"/>
            <w:right w:w="0" w:type="dxa"/>
          </w:tblCellMar>
        </w:tblPrEx>
        <w:trPr>
          <w:trHeight w:val="409"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行政强制</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162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205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r>
      <w:tr>
        <w:tblPrEx>
          <w:tblCellMar>
            <w:top w:w="0" w:type="dxa"/>
            <w:left w:w="0" w:type="dxa"/>
            <w:bottom w:w="0" w:type="dxa"/>
            <w:right w:w="0" w:type="dxa"/>
          </w:tblCellMar>
        </w:tblPrEx>
        <w:trPr>
          <w:trHeight w:val="474"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第二十条第（八）项</w:t>
            </w:r>
          </w:p>
        </w:tc>
      </w:tr>
      <w:tr>
        <w:tblPrEx>
          <w:tblCellMar>
            <w:top w:w="0" w:type="dxa"/>
            <w:left w:w="0" w:type="dxa"/>
            <w:bottom w:w="0" w:type="dxa"/>
            <w:right w:w="0" w:type="dxa"/>
          </w:tblCellMar>
        </w:tblPrEx>
        <w:trPr>
          <w:trHeight w:val="270"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上一年项目数量</w:t>
            </w:r>
          </w:p>
        </w:tc>
        <w:tc>
          <w:tcPr>
            <w:tcW w:w="3685"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本年增/减</w:t>
            </w:r>
          </w:p>
        </w:tc>
      </w:tr>
      <w:tr>
        <w:tblPrEx>
          <w:tblCellMar>
            <w:top w:w="0" w:type="dxa"/>
            <w:left w:w="0" w:type="dxa"/>
            <w:bottom w:w="0" w:type="dxa"/>
            <w:right w:w="0" w:type="dxa"/>
          </w:tblCellMar>
        </w:tblPrEx>
        <w:trPr>
          <w:trHeight w:val="551"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行政事业性收费</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3685"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color w:val="000000"/>
                <w:sz w:val="32"/>
                <w:szCs w:val="32"/>
              </w:rPr>
              <w:t>0 </w:t>
            </w:r>
          </w:p>
        </w:tc>
      </w:tr>
      <w:tr>
        <w:tblPrEx>
          <w:tblCellMar>
            <w:top w:w="0" w:type="dxa"/>
            <w:left w:w="0" w:type="dxa"/>
            <w:bottom w:w="0" w:type="dxa"/>
            <w:right w:w="0" w:type="dxa"/>
          </w:tblCellMar>
        </w:tblPrEx>
        <w:trPr>
          <w:trHeight w:val="476" w:hRule="atLeast"/>
          <w:jc w:val="center"/>
        </w:trPr>
        <w:tc>
          <w:tcPr>
            <w:tcW w:w="8861" w:type="dxa"/>
            <w:gridSpan w:val="4"/>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第二十条第（九）项</w:t>
            </w:r>
          </w:p>
        </w:tc>
      </w:tr>
      <w:tr>
        <w:tblPrEx>
          <w:tblCellMar>
            <w:top w:w="0" w:type="dxa"/>
            <w:left w:w="0" w:type="dxa"/>
            <w:bottom w:w="0" w:type="dxa"/>
            <w:right w:w="0" w:type="dxa"/>
          </w:tblCellMar>
        </w:tblPrEx>
        <w:trPr>
          <w:trHeight w:val="689"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信息内容</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采购项目数量</w:t>
            </w:r>
          </w:p>
        </w:tc>
        <w:tc>
          <w:tcPr>
            <w:tcW w:w="3685"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采购总金额</w:t>
            </w:r>
          </w:p>
        </w:tc>
      </w:tr>
      <w:tr>
        <w:tblPrEx>
          <w:tblCellMar>
            <w:top w:w="0" w:type="dxa"/>
            <w:left w:w="0" w:type="dxa"/>
            <w:bottom w:w="0" w:type="dxa"/>
            <w:right w:w="0" w:type="dxa"/>
          </w:tblCellMar>
        </w:tblPrEx>
        <w:trPr>
          <w:trHeight w:val="539" w:hRule="atLeast"/>
          <w:jc w:val="center"/>
        </w:trPr>
        <w:tc>
          <w:tcPr>
            <w:tcW w:w="25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政府集中采购</w:t>
            </w:r>
          </w:p>
        </w:tc>
        <w:tc>
          <w:tcPr>
            <w:tcW w:w="26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　0</w:t>
            </w:r>
          </w:p>
        </w:tc>
        <w:tc>
          <w:tcPr>
            <w:tcW w:w="3685"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b/>
          <w:color w:val="333333"/>
          <w:sz w:val="32"/>
          <w:szCs w:val="32"/>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黑体" w:hAnsi="黑体" w:eastAsia="黑体" w:cs="仿宋_GB2312"/>
          <w:sz w:val="32"/>
          <w:szCs w:val="32"/>
        </w:rPr>
      </w:pPr>
      <w:r>
        <w:rPr>
          <w:rFonts w:hint="eastAsia" w:ascii="黑体" w:hAnsi="黑体" w:eastAsia="黑体" w:cs="仿宋_GB2312"/>
          <w:color w:val="333333"/>
          <w:sz w:val="32"/>
          <w:szCs w:val="32"/>
        </w:rPr>
        <w:t>三、收到和处理政府信息公开申请情况</w:t>
      </w: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7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0</w:t>
            </w:r>
          </w:p>
        </w:tc>
      </w:tr>
    </w:tbl>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仿宋_GB2312" w:hAnsi="仿宋_GB2312" w:eastAsia="仿宋_GB2312" w:cs="仿宋_GB2312"/>
          <w:sz w:val="32"/>
          <w:szCs w:val="32"/>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仿宋_GB2312" w:hAnsi="仿宋_GB2312" w:eastAsia="仿宋_GB2312" w:cs="仿宋_GB2312"/>
          <w:b/>
          <w:color w:val="333333"/>
          <w:sz w:val="32"/>
          <w:szCs w:val="32"/>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黑体" w:hAnsi="黑体" w:eastAsia="黑体" w:cs="仿宋_GB2312"/>
          <w:sz w:val="32"/>
          <w:szCs w:val="32"/>
        </w:rPr>
      </w:pPr>
      <w:r>
        <w:rPr>
          <w:rFonts w:hint="eastAsia" w:ascii="黑体" w:hAnsi="黑体" w:eastAsia="黑体" w:cs="仿宋_GB2312"/>
          <w:color w:val="333333"/>
          <w:sz w:val="32"/>
          <w:szCs w:val="32"/>
        </w:rPr>
        <w:t>四、政府信息公开行政复议、行政诉讼情况</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420"/>
        <w:jc w:val="both"/>
        <w:textAlignment w:val="auto"/>
        <w:rPr>
          <w:rFonts w:ascii="仿宋_GB2312" w:hAnsi="仿宋_GB2312" w:eastAsia="仿宋_GB2312" w:cs="仿宋_GB2312"/>
          <w:sz w:val="32"/>
          <w:szCs w:val="32"/>
        </w:rPr>
      </w:pPr>
    </w:p>
    <w:tbl>
      <w:tblPr>
        <w:tblStyle w:val="4"/>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败诉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color w:val="000000"/>
                <w:sz w:val="32"/>
                <w:szCs w:val="32"/>
              </w:rPr>
              <w:t> 1</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color w:val="000000"/>
                <w:sz w:val="32"/>
                <w:szCs w:val="32"/>
              </w:rPr>
              <w:t>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kern w:val="2"/>
                <w:sz w:val="32"/>
                <w:szCs w:val="32"/>
              </w:rPr>
            </w:pPr>
            <w:r>
              <w:rPr>
                <w:rFonts w:hint="eastAsia" w:ascii="宋体" w:hAnsi="宋体" w:eastAsia="宋体" w:cs="宋体"/>
                <w:sz w:val="32"/>
                <w:szCs w:val="32"/>
              </w:rPr>
              <w:t>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both"/>
              <w:textAlignment w:val="auto"/>
              <w:rPr>
                <w:rFonts w:ascii="仿宋_GB2312" w:hAnsi="仿宋_GB2312" w:eastAsia="仿宋_GB2312" w:cs="仿宋_GB2312"/>
                <w:kern w:val="2"/>
                <w:sz w:val="32"/>
                <w:szCs w:val="32"/>
              </w:rPr>
            </w:pPr>
          </w:p>
        </w:tc>
      </w:tr>
    </w:tbl>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jc w:val="center"/>
        <w:textAlignment w:val="auto"/>
        <w:rPr>
          <w:rFonts w:ascii="仿宋_GB2312" w:hAnsi="仿宋_GB2312" w:eastAsia="仿宋_GB2312" w:cs="仿宋_GB2312"/>
          <w:color w:val="333333"/>
          <w:kern w:val="2"/>
          <w:sz w:val="32"/>
          <w:szCs w:val="32"/>
        </w:rPr>
      </w:pP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黑体" w:hAnsi="黑体" w:eastAsia="黑体" w:cs="仿宋_GB2312"/>
          <w:sz w:val="32"/>
          <w:szCs w:val="32"/>
        </w:rPr>
      </w:pPr>
      <w:r>
        <w:rPr>
          <w:rFonts w:hint="eastAsia" w:ascii="黑体" w:hAnsi="黑体" w:eastAsia="黑体" w:cs="仿宋_GB2312"/>
          <w:color w:val="333333"/>
          <w:sz w:val="32"/>
          <w:szCs w:val="32"/>
        </w:rPr>
        <w:t>五、存在的主要问题及改进情况</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问题：政务</w:t>
      </w:r>
      <w:r>
        <w:rPr>
          <w:rFonts w:ascii="仿宋_GB2312" w:hAnsi="仿宋_GB2312" w:eastAsia="仿宋_GB2312" w:cs="仿宋_GB2312"/>
          <w:sz w:val="32"/>
          <w:szCs w:val="32"/>
        </w:rPr>
        <w:t>公开工作</w:t>
      </w:r>
      <w:r>
        <w:rPr>
          <w:rFonts w:hint="eastAsia" w:ascii="仿宋_GB2312" w:hAnsi="仿宋_GB2312" w:eastAsia="仿宋_GB2312" w:cs="仿宋_GB2312"/>
          <w:sz w:val="32"/>
          <w:szCs w:val="32"/>
        </w:rPr>
        <w:t>时效性不够强，流于形式；公开的内容较单一、不够全面</w:t>
      </w:r>
      <w:r>
        <w:rPr>
          <w:rFonts w:ascii="仿宋_GB2312" w:hAnsi="仿宋_GB2312" w:eastAsia="仿宋_GB2312" w:cs="仿宋_GB2312"/>
          <w:sz w:val="32"/>
          <w:szCs w:val="32"/>
        </w:rPr>
        <w:t>。</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hAnsi="仿宋_GB2312" w:eastAsia="仿宋_GB2312" w:cs="仿宋_GB2312"/>
          <w:sz w:val="32"/>
          <w:szCs w:val="32"/>
        </w:rPr>
        <w:t>措施：</w:t>
      </w:r>
      <w:r>
        <w:rPr>
          <w:rFonts w:hint="eastAsia" w:ascii="仿宋_GB2312" w:eastAsia="仿宋_GB2312"/>
          <w:sz w:val="32"/>
          <w:szCs w:val="32"/>
        </w:rPr>
        <w:t>加大政府信息采集和发布力度，提高信息质量，丰富公开内容。广泛听取群众的意见和建议，重点公开人民群众普遍关心的热点、焦点问题。创新工作方式，拓宽公开渠道。努力探索信息公开的新路子，因地制宜选取形式多样的信息公开方式，畅通公开渠道，方便群众获取政府信息。</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在今后的工作中，我办将继续贯彻落实上级有关文件精神，做好信息公开工作，不断完善公开栏目和公开指南，加强对信息员的技能培训，增加信息来源，从而进一步加大公开力度，丰富网上公开的内容。同时多运用电话、传真、网络、标语、宣传栏等形式和方法，加大信息沟通，以便捷的手段和灵活的方法为群众服务，进一步推动我办信息化建设，不断提高政务信息公开工作。</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jc w:val="both"/>
        <w:textAlignment w:val="auto"/>
        <w:rPr>
          <w:rFonts w:ascii="黑体" w:hAnsi="黑体" w:eastAsia="黑体" w:cs="仿宋_GB2312"/>
          <w:sz w:val="32"/>
          <w:szCs w:val="32"/>
        </w:rPr>
      </w:pPr>
      <w:r>
        <w:rPr>
          <w:rFonts w:hint="eastAsia" w:ascii="黑体" w:hAnsi="黑体" w:eastAsia="黑体" w:cs="仿宋_GB2312"/>
          <w:color w:val="333333"/>
          <w:sz w:val="32"/>
          <w:szCs w:val="32"/>
        </w:rPr>
        <w:t>六、其他需要报告的事项</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560" w:lineRule="exact"/>
        <w:ind w:firstLine="640" w:firstLineChars="200"/>
        <w:textAlignment w:val="auto"/>
      </w:pPr>
      <w:r>
        <w:rPr>
          <w:rFonts w:hint="eastAsia" w:ascii="仿宋_GB2312" w:hAnsi="仿宋_GB2312" w:eastAsia="仿宋_GB2312" w:cs="仿宋_GB2312"/>
          <w:color w:val="333333"/>
          <w:kern w:val="2"/>
          <w:sz w:val="32"/>
          <w:szCs w:val="32"/>
        </w:rPr>
        <w:t>无。</w:t>
      </w:r>
    </w:p>
    <w:sectPr>
      <w:pgSz w:w="11906" w:h="16838"/>
      <w:pgMar w:top="1440" w:right="1474" w:bottom="1440"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FDD56C"/>
    <w:multiLevelType w:val="singleLevel"/>
    <w:tmpl w:val="8EFDD56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000000"/>
    <w:rsid w:val="13081B6A"/>
    <w:rsid w:val="13F21917"/>
    <w:rsid w:val="2F966304"/>
    <w:rsid w:val="454137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321</Words>
  <Characters>1832</Characters>
  <Lines>15</Lines>
  <Paragraphs>4</Paragraphs>
  <TotalTime>2</TotalTime>
  <ScaleCrop>false</ScaleCrop>
  <LinksUpToDate>false</LinksUpToDate>
  <CharactersWithSpaces>2149</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dc:creator>
  <cp:lastModifiedBy>zjn</cp:lastModifiedBy>
  <dcterms:modified xsi:type="dcterms:W3CDTF">2020-01-19T02:24:17Z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