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after="0" w:line="560" w:lineRule="exact"/>
        <w:jc w:val="center"/>
        <w:rPr>
          <w:rFonts w:ascii="方正小标宋简体" w:hAnsi="仿宋_GB2312" w:eastAsia="方正小标宋简体" w:cs="仿宋_GB2312"/>
          <w:sz w:val="44"/>
          <w:szCs w:val="44"/>
        </w:rPr>
      </w:pPr>
      <w:r>
        <w:rPr>
          <w:rFonts w:hint="eastAsia" w:ascii="方正小标宋简体" w:hAnsi="仿宋_GB2312" w:eastAsia="方正小标宋简体" w:cs="仿宋_GB2312"/>
          <w:color w:val="333333"/>
          <w:sz w:val="44"/>
          <w:szCs w:val="44"/>
        </w:rPr>
        <w:t xml:space="preserve"> </w:t>
      </w:r>
      <w:r>
        <w:rPr>
          <w:rFonts w:ascii="方正小标宋简体" w:hAnsi="仿宋_GB2312" w:eastAsia="方正小标宋简体" w:cs="仿宋_GB2312"/>
          <w:color w:val="333333"/>
          <w:sz w:val="44"/>
          <w:szCs w:val="44"/>
        </w:rPr>
        <w:t xml:space="preserve">  </w:t>
      </w:r>
      <w:r>
        <w:rPr>
          <w:rFonts w:hint="eastAsia" w:ascii="方正小标宋简体" w:hAnsi="仿宋_GB2312" w:eastAsia="方正小标宋简体" w:cs="仿宋_GB2312"/>
          <w:color w:val="333333"/>
          <w:sz w:val="44"/>
          <w:szCs w:val="44"/>
          <w:lang w:val="en-US" w:eastAsia="zh-CN"/>
        </w:rPr>
        <w:t>西安市阎良区</w:t>
      </w:r>
      <w:bookmarkStart w:id="3" w:name="_GoBack"/>
      <w:bookmarkEnd w:id="3"/>
      <w:r>
        <w:rPr>
          <w:rFonts w:hint="eastAsia" w:ascii="方正小标宋简体" w:hAnsi="仿宋_GB2312" w:eastAsia="方正小标宋简体" w:cs="仿宋_GB2312"/>
          <w:color w:val="333333"/>
          <w:sz w:val="44"/>
          <w:szCs w:val="44"/>
        </w:rPr>
        <w:t>新兴街道办事处2</w:t>
      </w:r>
      <w:r>
        <w:rPr>
          <w:rFonts w:ascii="方正小标宋简体" w:hAnsi="仿宋_GB2312" w:eastAsia="方正小标宋简体" w:cs="仿宋_GB2312"/>
          <w:color w:val="333333"/>
          <w:sz w:val="44"/>
          <w:szCs w:val="44"/>
        </w:rPr>
        <w:t>019</w:t>
      </w:r>
      <w:r>
        <w:rPr>
          <w:rFonts w:hint="eastAsia" w:ascii="方正小标宋简体" w:hAnsi="仿宋_GB2312" w:eastAsia="方正小标宋简体" w:cs="仿宋_GB2312"/>
          <w:color w:val="333333"/>
          <w:sz w:val="44"/>
          <w:szCs w:val="44"/>
        </w:rPr>
        <w:t>年政府信息公开工作年度报告</w:t>
      </w:r>
    </w:p>
    <w:p>
      <w:pPr>
        <w:adjustRightInd/>
        <w:snapToGrid/>
        <w:spacing w:after="0" w:line="560" w:lineRule="exact"/>
        <w:ind w:firstLine="420"/>
        <w:jc w:val="both"/>
        <w:rPr>
          <w:rFonts w:ascii="仿宋_GB2312" w:hAnsi="仿宋_GB2312" w:eastAsia="仿宋_GB2312" w:cs="仿宋_GB2312"/>
          <w:sz w:val="32"/>
          <w:szCs w:val="32"/>
        </w:rPr>
      </w:pPr>
    </w:p>
    <w:p>
      <w:pPr>
        <w:adjustRightInd/>
        <w:snapToGrid/>
        <w:spacing w:after="0" w:line="560" w:lineRule="exact"/>
        <w:ind w:firstLine="640" w:firstLineChars="200"/>
        <w:jc w:val="both"/>
        <w:rPr>
          <w:rFonts w:ascii="黑体" w:hAnsi="黑体" w:eastAsia="黑体" w:cs="仿宋_GB2312"/>
          <w:sz w:val="32"/>
          <w:szCs w:val="32"/>
        </w:rPr>
      </w:pPr>
      <w:r>
        <w:rPr>
          <w:rFonts w:hint="eastAsia" w:ascii="黑体" w:hAnsi="黑体" w:eastAsia="黑体" w:cs="仿宋_GB2312"/>
          <w:color w:val="333333"/>
          <w:sz w:val="32"/>
          <w:szCs w:val="32"/>
        </w:rPr>
        <w:t>一、总体情况</w:t>
      </w:r>
    </w:p>
    <w:p>
      <w:pPr>
        <w:adjustRightInd/>
        <w:snapToGrid/>
        <w:spacing w:after="0" w:line="560" w:lineRule="exact"/>
        <w:ind w:firstLine="640" w:firstLineChars="200"/>
        <w:jc w:val="both"/>
        <w:rPr>
          <w:rFonts w:ascii="楷体_GB2312" w:hAnsi="仿宋_GB2312" w:eastAsia="楷体_GB2312" w:cs="仿宋_GB2312"/>
          <w:color w:val="333333"/>
          <w:sz w:val="32"/>
          <w:szCs w:val="32"/>
        </w:rPr>
      </w:pPr>
      <w:r>
        <w:rPr>
          <w:rFonts w:hint="eastAsia" w:ascii="楷体_GB2312" w:hAnsi="仿宋_GB2312" w:eastAsia="楷体_GB2312" w:cs="仿宋_GB2312"/>
          <w:sz w:val="32"/>
          <w:szCs w:val="32"/>
        </w:rPr>
        <w:t>（一）领导高度重视</w:t>
      </w:r>
    </w:p>
    <w:p>
      <w:pPr>
        <w:widowControl w:val="0"/>
        <w:adjustRightInd/>
        <w:snapToGrid/>
        <w:spacing w:after="0" w:line="560" w:lineRule="exact"/>
        <w:ind w:firstLine="640" w:firstLineChars="200"/>
        <w:jc w:val="both"/>
        <w:rPr>
          <w:rFonts w:ascii="仿宋_GB2312" w:hAnsi="等线" w:eastAsia="仿宋_GB2312" w:cs="Times New Roman"/>
          <w:kern w:val="2"/>
          <w:sz w:val="32"/>
          <w:szCs w:val="32"/>
        </w:rPr>
      </w:pPr>
      <w:r>
        <w:rPr>
          <w:rFonts w:ascii="仿宋_GB2312" w:hAnsi="等线" w:eastAsia="仿宋_GB2312" w:cs="Times New Roman"/>
          <w:kern w:val="2"/>
          <w:sz w:val="32"/>
          <w:szCs w:val="32"/>
        </w:rPr>
        <w:t>2019</w:t>
      </w:r>
      <w:r>
        <w:rPr>
          <w:rFonts w:hint="eastAsia" w:ascii="仿宋_GB2312" w:hAnsi="等线" w:eastAsia="仿宋_GB2312" w:cs="Times New Roman"/>
          <w:kern w:val="2"/>
          <w:sz w:val="32"/>
          <w:szCs w:val="32"/>
        </w:rPr>
        <w:t>年以来，我办高度重视政府信息公开工作</w:t>
      </w:r>
      <w:r>
        <w:rPr>
          <w:rFonts w:hint="eastAsia" w:ascii="仿宋_GB2312" w:hAnsi="仿宋_GB2312" w:eastAsia="仿宋_GB2312" w:cs="仿宋_GB2312"/>
          <w:sz w:val="32"/>
          <w:szCs w:val="32"/>
        </w:rPr>
        <w:t>，</w:t>
      </w:r>
      <w:r>
        <w:rPr>
          <w:rFonts w:hint="eastAsia" w:ascii="仿宋_GB2312" w:hAnsi="等线" w:eastAsia="仿宋_GB2312" w:cs="Times New Roman"/>
          <w:kern w:val="2"/>
          <w:sz w:val="32"/>
          <w:szCs w:val="32"/>
        </w:rPr>
        <w:t>由街道行政主要领导任组长，其他班子成员任副组长，机关相关科室负责人为成员成立了新兴街道政府信息公开工作领导小组，日常有街道党工委副书记、党工委组织员分管，由街道党政办负责日常工作，机关各科室相互配合，并且指定由专人负责具体工作。</w:t>
      </w:r>
    </w:p>
    <w:p>
      <w:pPr>
        <w:adjustRightInd/>
        <w:snapToGrid/>
        <w:spacing w:after="0" w:line="560" w:lineRule="exact"/>
        <w:ind w:firstLine="640" w:firstLineChars="200"/>
        <w:jc w:val="both"/>
        <w:rPr>
          <w:rFonts w:ascii="楷体_GB2312" w:hAnsi="仿宋_GB2312" w:eastAsia="楷体_GB2312" w:cs="仿宋_GB2312"/>
          <w:sz w:val="32"/>
          <w:szCs w:val="32"/>
        </w:rPr>
      </w:pPr>
      <w:r>
        <w:rPr>
          <w:rFonts w:hint="eastAsia" w:ascii="楷体_GB2312" w:hAnsi="仿宋_GB2312" w:eastAsia="楷体_GB2312" w:cs="仿宋_GB2312"/>
          <w:sz w:val="32"/>
          <w:szCs w:val="32"/>
        </w:rPr>
        <w:t>（二）健全各项制度</w:t>
      </w:r>
    </w:p>
    <w:p>
      <w:pPr>
        <w:adjustRightInd/>
        <w:snapToGrid/>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结合新兴工作实际，依据政府信息公开工作的实际需要，建立健全政府信息公开、保密审查等工作制度，对信息的公开范围、方式和流程等做出了具体规定。同时，加强信息公开保密审查工作，结合工作实际，按照机关各科室职能要求把好关，确保公开信息的准确性、权威性和时效性，全年未发生一次泄密事件。</w:t>
      </w:r>
    </w:p>
    <w:p>
      <w:pPr>
        <w:adjustRightInd/>
        <w:snapToGrid/>
        <w:spacing w:after="0" w:line="560" w:lineRule="exact"/>
        <w:ind w:firstLine="640" w:firstLineChars="200"/>
        <w:jc w:val="both"/>
        <w:rPr>
          <w:rFonts w:ascii="楷体_GB2312" w:hAnsi="仿宋_GB2312" w:eastAsia="楷体_GB2312" w:cs="仿宋_GB2312"/>
          <w:sz w:val="32"/>
          <w:szCs w:val="32"/>
        </w:rPr>
      </w:pPr>
      <w:r>
        <w:rPr>
          <w:rFonts w:hint="eastAsia" w:ascii="楷体_GB2312" w:hAnsi="仿宋_GB2312" w:eastAsia="楷体_GB2312" w:cs="仿宋_GB2312"/>
          <w:sz w:val="32"/>
          <w:szCs w:val="32"/>
        </w:rPr>
        <w:t>（三）信息公开情况</w:t>
      </w:r>
    </w:p>
    <w:p>
      <w:pPr>
        <w:spacing w:line="560" w:lineRule="exact"/>
        <w:ind w:firstLine="640" w:firstLineChars="200"/>
        <w:rPr>
          <w:rFonts w:hint="eastAsia" w:ascii="仿宋_GB2312" w:hAnsi="等线" w:eastAsia="仿宋_GB2312" w:cs="Times New Roman"/>
          <w:kern w:val="2"/>
          <w:sz w:val="32"/>
          <w:szCs w:val="32"/>
        </w:rPr>
      </w:pPr>
      <w:bookmarkStart w:id="0" w:name="_Hlk29975822"/>
      <w:r>
        <w:rPr>
          <w:rFonts w:hint="eastAsia" w:ascii="仿宋_GB2312" w:hAnsi="等线" w:eastAsia="仿宋_GB2312" w:cs="Times New Roman"/>
          <w:kern w:val="2"/>
          <w:sz w:val="32"/>
          <w:szCs w:val="32"/>
        </w:rPr>
        <w:t>2</w:t>
      </w:r>
      <w:r>
        <w:rPr>
          <w:rFonts w:ascii="仿宋_GB2312" w:hAnsi="等线" w:eastAsia="仿宋_GB2312" w:cs="Times New Roman"/>
          <w:kern w:val="2"/>
          <w:sz w:val="32"/>
          <w:szCs w:val="32"/>
        </w:rPr>
        <w:t>019</w:t>
      </w:r>
      <w:r>
        <w:rPr>
          <w:rFonts w:hint="eastAsia" w:ascii="仿宋_GB2312" w:hAnsi="等线" w:eastAsia="仿宋_GB2312" w:cs="Times New Roman"/>
          <w:kern w:val="2"/>
          <w:sz w:val="32"/>
          <w:szCs w:val="32"/>
        </w:rPr>
        <w:t>年我办政府信息公开的工作任务相对比较少，只有2项，分别为2</w:t>
      </w:r>
      <w:r>
        <w:rPr>
          <w:rFonts w:ascii="仿宋_GB2312" w:hAnsi="等线" w:eastAsia="仿宋_GB2312" w:cs="Times New Roman"/>
          <w:kern w:val="2"/>
          <w:sz w:val="32"/>
          <w:szCs w:val="32"/>
        </w:rPr>
        <w:t>018</w:t>
      </w:r>
      <w:r>
        <w:rPr>
          <w:rFonts w:hint="eastAsia" w:ascii="仿宋_GB2312" w:hAnsi="等线" w:eastAsia="仿宋_GB2312" w:cs="Times New Roman"/>
          <w:kern w:val="2"/>
          <w:sz w:val="32"/>
          <w:szCs w:val="32"/>
        </w:rPr>
        <w:t>年度部门决算及“三公”经费公开和2</w:t>
      </w:r>
      <w:r>
        <w:rPr>
          <w:rFonts w:ascii="仿宋_GB2312" w:hAnsi="等线" w:eastAsia="仿宋_GB2312" w:cs="Times New Roman"/>
          <w:kern w:val="2"/>
          <w:sz w:val="32"/>
          <w:szCs w:val="32"/>
        </w:rPr>
        <w:t>019</w:t>
      </w:r>
      <w:r>
        <w:rPr>
          <w:rFonts w:hint="eastAsia" w:ascii="仿宋_GB2312" w:hAnsi="等线" w:eastAsia="仿宋_GB2312" w:cs="Times New Roman"/>
          <w:kern w:val="2"/>
          <w:sz w:val="32"/>
          <w:szCs w:val="32"/>
        </w:rPr>
        <w:t>年部门综合预算公开。</w:t>
      </w:r>
      <w:bookmarkEnd w:id="0"/>
      <w:r>
        <w:rPr>
          <w:rFonts w:hint="eastAsia" w:ascii="仿宋_GB2312" w:hAnsi="等线" w:eastAsia="仿宋_GB2312" w:cs="Times New Roman"/>
          <w:kern w:val="2"/>
          <w:sz w:val="32"/>
          <w:szCs w:val="32"/>
        </w:rPr>
        <w:t>根据区政府办的要求，我办均在第一时间安排财务人员将资料报送至区数据中心由其审核并发布到区政府网站。</w:t>
      </w:r>
      <w:bookmarkStart w:id="1" w:name="_Hlk29976150"/>
      <w:r>
        <w:rPr>
          <w:rFonts w:hint="eastAsia" w:ascii="仿宋_GB2312" w:hAnsi="等线" w:eastAsia="仿宋_GB2312" w:cs="Times New Roman"/>
          <w:kern w:val="2"/>
          <w:sz w:val="32"/>
          <w:szCs w:val="32"/>
        </w:rPr>
        <w:t>2</w:t>
      </w:r>
      <w:r>
        <w:rPr>
          <w:rFonts w:ascii="仿宋_GB2312" w:hAnsi="等线" w:eastAsia="仿宋_GB2312" w:cs="Times New Roman"/>
          <w:kern w:val="2"/>
          <w:sz w:val="32"/>
          <w:szCs w:val="32"/>
        </w:rPr>
        <w:t>019</w:t>
      </w:r>
      <w:r>
        <w:rPr>
          <w:rFonts w:hint="eastAsia" w:ascii="仿宋_GB2312" w:hAnsi="等线" w:eastAsia="仿宋_GB2312" w:cs="Times New Roman"/>
          <w:kern w:val="2"/>
          <w:sz w:val="32"/>
          <w:szCs w:val="32"/>
        </w:rPr>
        <w:t>全年我办未收到政府信息公开申请</w:t>
      </w:r>
      <w:bookmarkEnd w:id="1"/>
      <w:r>
        <w:rPr>
          <w:rFonts w:hint="eastAsia" w:ascii="仿宋_GB2312" w:hAnsi="等线" w:eastAsia="仿宋_GB2312" w:cs="Times New Roman"/>
          <w:kern w:val="2"/>
          <w:sz w:val="32"/>
          <w:szCs w:val="32"/>
        </w:rPr>
        <w:t>，也</w:t>
      </w:r>
      <w:bookmarkStart w:id="2" w:name="_Hlk29977004"/>
      <w:r>
        <w:rPr>
          <w:rFonts w:hint="eastAsia" w:ascii="仿宋_GB2312" w:hAnsi="等线" w:eastAsia="仿宋_GB2312" w:cs="Times New Roman"/>
          <w:kern w:val="2"/>
          <w:sz w:val="32"/>
          <w:szCs w:val="32"/>
        </w:rPr>
        <w:t>不存在政府信息公开行政复议、行政诉讼情况。</w:t>
      </w:r>
      <w:bookmarkEnd w:id="2"/>
    </w:p>
    <w:p>
      <w:pPr>
        <w:adjustRightInd/>
        <w:snapToGrid/>
        <w:spacing w:after="240" w:line="560" w:lineRule="exact"/>
        <w:ind w:firstLine="420"/>
        <w:jc w:val="both"/>
        <w:rPr>
          <w:rFonts w:ascii="黑体" w:hAnsi="黑体" w:eastAsia="黑体" w:cs="仿宋_GB2312"/>
          <w:color w:val="333333"/>
          <w:sz w:val="32"/>
          <w:szCs w:val="32"/>
        </w:rPr>
      </w:pPr>
      <w:r>
        <w:rPr>
          <w:rFonts w:hint="eastAsia" w:ascii="黑体" w:hAnsi="黑体" w:eastAsia="黑体" w:cs="仿宋_GB2312"/>
          <w:color w:val="333333"/>
          <w:sz w:val="32"/>
          <w:szCs w:val="32"/>
        </w:rPr>
        <w:t>二、主动公开政府信息情况</w:t>
      </w:r>
    </w:p>
    <w:tbl>
      <w:tblPr>
        <w:tblStyle w:val="4"/>
        <w:tblW w:w="8861" w:type="dxa"/>
        <w:jc w:val="center"/>
        <w:tblLayout w:type="fixed"/>
        <w:tblCellMar>
          <w:top w:w="0" w:type="dxa"/>
          <w:left w:w="0" w:type="dxa"/>
          <w:bottom w:w="0" w:type="dxa"/>
          <w:right w:w="0" w:type="dxa"/>
        </w:tblCellMar>
      </w:tblPr>
      <w:tblGrid>
        <w:gridCol w:w="2546"/>
        <w:gridCol w:w="2630"/>
        <w:gridCol w:w="1629"/>
        <w:gridCol w:w="2056"/>
      </w:tblGrid>
      <w:tr>
        <w:tblPrEx>
          <w:tblCellMar>
            <w:top w:w="0" w:type="dxa"/>
            <w:left w:w="0" w:type="dxa"/>
            <w:bottom w:w="0" w:type="dxa"/>
            <w:right w:w="0" w:type="dxa"/>
          </w:tblCellMar>
        </w:tblPrEx>
        <w:trPr>
          <w:trHeight w:val="495" w:hRule="atLeast"/>
          <w:jc w:val="center"/>
        </w:trPr>
        <w:tc>
          <w:tcPr>
            <w:tcW w:w="8861"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第二十条第（一）项</w:t>
            </w:r>
          </w:p>
        </w:tc>
      </w:tr>
      <w:tr>
        <w:tblPrEx>
          <w:tblCellMar>
            <w:top w:w="0" w:type="dxa"/>
            <w:left w:w="0" w:type="dxa"/>
            <w:bottom w:w="0" w:type="dxa"/>
            <w:right w:w="0" w:type="dxa"/>
          </w:tblCellMar>
        </w:tblPrEx>
        <w:trPr>
          <w:trHeight w:val="983" w:hRule="atLeast"/>
          <w:jc w:val="center"/>
        </w:trPr>
        <w:tc>
          <w:tcPr>
            <w:tcW w:w="2546"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信息内容</w:t>
            </w:r>
          </w:p>
        </w:tc>
        <w:tc>
          <w:tcPr>
            <w:tcW w:w="2630"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本年新</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sz w:val="32"/>
                <w:szCs w:val="32"/>
              </w:rPr>
              <w:t>制作数量</w:t>
            </w:r>
          </w:p>
        </w:tc>
        <w:tc>
          <w:tcPr>
            <w:tcW w:w="162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本年新</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sz w:val="32"/>
                <w:szCs w:val="32"/>
              </w:rPr>
              <w:t>公开数量</w:t>
            </w:r>
          </w:p>
        </w:tc>
        <w:tc>
          <w:tcPr>
            <w:tcW w:w="2056"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对外公开总数量</w:t>
            </w:r>
          </w:p>
        </w:tc>
      </w:tr>
      <w:tr>
        <w:tblPrEx>
          <w:tblCellMar>
            <w:top w:w="0" w:type="dxa"/>
            <w:left w:w="0" w:type="dxa"/>
            <w:bottom w:w="0" w:type="dxa"/>
            <w:right w:w="0" w:type="dxa"/>
          </w:tblCellMar>
        </w:tblPrEx>
        <w:trPr>
          <w:trHeight w:val="523" w:hRule="atLeast"/>
          <w:jc w:val="center"/>
        </w:trPr>
        <w:tc>
          <w:tcPr>
            <w:tcW w:w="2546"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规章</w:t>
            </w:r>
          </w:p>
        </w:tc>
        <w:tc>
          <w:tcPr>
            <w:tcW w:w="263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0</w:t>
            </w:r>
          </w:p>
        </w:tc>
        <w:tc>
          <w:tcPr>
            <w:tcW w:w="1629"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color w:val="000000"/>
                <w:sz w:val="32"/>
                <w:szCs w:val="32"/>
              </w:rPr>
              <w:t>0</w:t>
            </w:r>
          </w:p>
        </w:tc>
        <w:tc>
          <w:tcPr>
            <w:tcW w:w="2056"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0</w:t>
            </w:r>
          </w:p>
        </w:tc>
      </w:tr>
      <w:tr>
        <w:tblPrEx>
          <w:tblCellMar>
            <w:top w:w="0" w:type="dxa"/>
            <w:left w:w="0" w:type="dxa"/>
            <w:bottom w:w="0" w:type="dxa"/>
            <w:right w:w="0" w:type="dxa"/>
          </w:tblCellMar>
        </w:tblPrEx>
        <w:trPr>
          <w:trHeight w:val="471" w:hRule="atLeast"/>
          <w:jc w:val="center"/>
        </w:trPr>
        <w:tc>
          <w:tcPr>
            <w:tcW w:w="2546"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规范性文件</w:t>
            </w:r>
          </w:p>
        </w:tc>
        <w:tc>
          <w:tcPr>
            <w:tcW w:w="263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0</w:t>
            </w:r>
          </w:p>
        </w:tc>
        <w:tc>
          <w:tcPr>
            <w:tcW w:w="1629"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color w:val="000000"/>
                <w:sz w:val="32"/>
                <w:szCs w:val="32"/>
              </w:rPr>
              <w:t>0</w:t>
            </w:r>
          </w:p>
        </w:tc>
        <w:tc>
          <w:tcPr>
            <w:tcW w:w="2056"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0</w:t>
            </w:r>
          </w:p>
        </w:tc>
      </w:tr>
      <w:tr>
        <w:tblPrEx>
          <w:tblCellMar>
            <w:top w:w="0" w:type="dxa"/>
            <w:left w:w="0" w:type="dxa"/>
            <w:bottom w:w="0" w:type="dxa"/>
            <w:right w:w="0" w:type="dxa"/>
          </w:tblCellMar>
        </w:tblPrEx>
        <w:trPr>
          <w:trHeight w:val="480" w:hRule="atLeast"/>
          <w:jc w:val="center"/>
        </w:trPr>
        <w:tc>
          <w:tcPr>
            <w:tcW w:w="8861"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第二十条第（五）项</w:t>
            </w:r>
          </w:p>
        </w:tc>
      </w:tr>
      <w:tr>
        <w:tblPrEx>
          <w:tblCellMar>
            <w:top w:w="0" w:type="dxa"/>
            <w:left w:w="0" w:type="dxa"/>
            <w:bottom w:w="0" w:type="dxa"/>
            <w:right w:w="0" w:type="dxa"/>
          </w:tblCellMar>
        </w:tblPrEx>
        <w:trPr>
          <w:trHeight w:val="1037" w:hRule="atLeast"/>
          <w:jc w:val="center"/>
        </w:trPr>
        <w:tc>
          <w:tcPr>
            <w:tcW w:w="2546"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信息内容</w:t>
            </w:r>
          </w:p>
        </w:tc>
        <w:tc>
          <w:tcPr>
            <w:tcW w:w="2630"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上一年项目数量</w:t>
            </w:r>
          </w:p>
        </w:tc>
        <w:tc>
          <w:tcPr>
            <w:tcW w:w="162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本年增/减</w:t>
            </w:r>
          </w:p>
        </w:tc>
        <w:tc>
          <w:tcPr>
            <w:tcW w:w="2056"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处理决定数量</w:t>
            </w:r>
          </w:p>
        </w:tc>
      </w:tr>
      <w:tr>
        <w:tblPrEx>
          <w:tblCellMar>
            <w:top w:w="0" w:type="dxa"/>
            <w:left w:w="0" w:type="dxa"/>
            <w:bottom w:w="0" w:type="dxa"/>
            <w:right w:w="0" w:type="dxa"/>
          </w:tblCellMar>
        </w:tblPrEx>
        <w:trPr>
          <w:trHeight w:val="528" w:hRule="atLeast"/>
          <w:jc w:val="center"/>
        </w:trPr>
        <w:tc>
          <w:tcPr>
            <w:tcW w:w="2546"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行政许可</w:t>
            </w:r>
          </w:p>
        </w:tc>
        <w:tc>
          <w:tcPr>
            <w:tcW w:w="263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0</w:t>
            </w:r>
          </w:p>
        </w:tc>
        <w:tc>
          <w:tcPr>
            <w:tcW w:w="162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0</w:t>
            </w:r>
          </w:p>
        </w:tc>
        <w:tc>
          <w:tcPr>
            <w:tcW w:w="2056"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0</w:t>
            </w:r>
          </w:p>
        </w:tc>
      </w:tr>
      <w:tr>
        <w:tblPrEx>
          <w:tblCellMar>
            <w:top w:w="0" w:type="dxa"/>
            <w:left w:w="0" w:type="dxa"/>
            <w:bottom w:w="0" w:type="dxa"/>
            <w:right w:w="0" w:type="dxa"/>
          </w:tblCellMar>
        </w:tblPrEx>
        <w:trPr>
          <w:trHeight w:val="778" w:hRule="atLeast"/>
          <w:jc w:val="center"/>
        </w:trPr>
        <w:tc>
          <w:tcPr>
            <w:tcW w:w="2546"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其他对外管理服务事项</w:t>
            </w:r>
          </w:p>
        </w:tc>
        <w:tc>
          <w:tcPr>
            <w:tcW w:w="263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20</w:t>
            </w:r>
          </w:p>
        </w:tc>
        <w:tc>
          <w:tcPr>
            <w:tcW w:w="162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0</w:t>
            </w:r>
          </w:p>
        </w:tc>
        <w:tc>
          <w:tcPr>
            <w:tcW w:w="2056"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1832</w:t>
            </w:r>
          </w:p>
        </w:tc>
      </w:tr>
      <w:tr>
        <w:tblPrEx>
          <w:tblCellMar>
            <w:top w:w="0" w:type="dxa"/>
            <w:left w:w="0" w:type="dxa"/>
            <w:bottom w:w="0" w:type="dxa"/>
            <w:right w:w="0" w:type="dxa"/>
          </w:tblCellMar>
        </w:tblPrEx>
        <w:trPr>
          <w:trHeight w:val="406" w:hRule="atLeast"/>
          <w:jc w:val="center"/>
        </w:trPr>
        <w:tc>
          <w:tcPr>
            <w:tcW w:w="8861"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第二十条第（六）项</w:t>
            </w:r>
          </w:p>
        </w:tc>
      </w:tr>
      <w:tr>
        <w:tblPrEx>
          <w:tblCellMar>
            <w:top w:w="0" w:type="dxa"/>
            <w:left w:w="0" w:type="dxa"/>
            <w:bottom w:w="0" w:type="dxa"/>
            <w:right w:w="0" w:type="dxa"/>
          </w:tblCellMar>
        </w:tblPrEx>
        <w:trPr>
          <w:trHeight w:val="634" w:hRule="atLeast"/>
          <w:jc w:val="center"/>
        </w:trPr>
        <w:tc>
          <w:tcPr>
            <w:tcW w:w="2546"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信息内容</w:t>
            </w:r>
          </w:p>
        </w:tc>
        <w:tc>
          <w:tcPr>
            <w:tcW w:w="2630"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上一年项目数量</w:t>
            </w:r>
          </w:p>
        </w:tc>
        <w:tc>
          <w:tcPr>
            <w:tcW w:w="162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本年增/减</w:t>
            </w:r>
          </w:p>
        </w:tc>
        <w:tc>
          <w:tcPr>
            <w:tcW w:w="2056"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处理决定数量</w:t>
            </w:r>
          </w:p>
        </w:tc>
      </w:tr>
      <w:tr>
        <w:tblPrEx>
          <w:tblCellMar>
            <w:top w:w="0" w:type="dxa"/>
            <w:left w:w="0" w:type="dxa"/>
            <w:bottom w:w="0" w:type="dxa"/>
            <w:right w:w="0" w:type="dxa"/>
          </w:tblCellMar>
        </w:tblPrEx>
        <w:trPr>
          <w:trHeight w:val="430" w:hRule="atLeast"/>
          <w:jc w:val="center"/>
        </w:trPr>
        <w:tc>
          <w:tcPr>
            <w:tcW w:w="2546"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行政处罚</w:t>
            </w:r>
          </w:p>
        </w:tc>
        <w:tc>
          <w:tcPr>
            <w:tcW w:w="263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0</w:t>
            </w:r>
          </w:p>
        </w:tc>
        <w:tc>
          <w:tcPr>
            <w:tcW w:w="162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0</w:t>
            </w:r>
          </w:p>
        </w:tc>
        <w:tc>
          <w:tcPr>
            <w:tcW w:w="2056"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0</w:t>
            </w:r>
          </w:p>
        </w:tc>
      </w:tr>
      <w:tr>
        <w:tblPrEx>
          <w:tblCellMar>
            <w:top w:w="0" w:type="dxa"/>
            <w:left w:w="0" w:type="dxa"/>
            <w:bottom w:w="0" w:type="dxa"/>
            <w:right w:w="0" w:type="dxa"/>
          </w:tblCellMar>
        </w:tblPrEx>
        <w:trPr>
          <w:trHeight w:val="409" w:hRule="atLeast"/>
          <w:jc w:val="center"/>
        </w:trPr>
        <w:tc>
          <w:tcPr>
            <w:tcW w:w="2546"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行政强制</w:t>
            </w:r>
          </w:p>
        </w:tc>
        <w:tc>
          <w:tcPr>
            <w:tcW w:w="263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0</w:t>
            </w:r>
          </w:p>
        </w:tc>
        <w:tc>
          <w:tcPr>
            <w:tcW w:w="162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0</w:t>
            </w:r>
          </w:p>
        </w:tc>
        <w:tc>
          <w:tcPr>
            <w:tcW w:w="2056"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0</w:t>
            </w:r>
          </w:p>
        </w:tc>
      </w:tr>
      <w:tr>
        <w:tblPrEx>
          <w:tblCellMar>
            <w:top w:w="0" w:type="dxa"/>
            <w:left w:w="0" w:type="dxa"/>
            <w:bottom w:w="0" w:type="dxa"/>
            <w:right w:w="0" w:type="dxa"/>
          </w:tblCellMar>
        </w:tblPrEx>
        <w:trPr>
          <w:trHeight w:val="474" w:hRule="atLeast"/>
          <w:jc w:val="center"/>
        </w:trPr>
        <w:tc>
          <w:tcPr>
            <w:tcW w:w="8861"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第二十条第（八）项</w:t>
            </w:r>
          </w:p>
        </w:tc>
      </w:tr>
      <w:tr>
        <w:tblPrEx>
          <w:tblCellMar>
            <w:top w:w="0" w:type="dxa"/>
            <w:left w:w="0" w:type="dxa"/>
            <w:bottom w:w="0" w:type="dxa"/>
            <w:right w:w="0" w:type="dxa"/>
          </w:tblCellMar>
        </w:tblPrEx>
        <w:trPr>
          <w:trHeight w:val="270" w:hRule="atLeast"/>
          <w:jc w:val="center"/>
        </w:trPr>
        <w:tc>
          <w:tcPr>
            <w:tcW w:w="2546"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信息内容</w:t>
            </w:r>
          </w:p>
        </w:tc>
        <w:tc>
          <w:tcPr>
            <w:tcW w:w="263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上一年项目数量</w:t>
            </w:r>
          </w:p>
        </w:tc>
        <w:tc>
          <w:tcPr>
            <w:tcW w:w="3685" w:type="dxa"/>
            <w:gridSpan w:val="2"/>
            <w:tcBorders>
              <w:top w:val="single" w:color="auto" w:sz="8" w:space="0"/>
              <w:left w:val="nil"/>
              <w:bottom w:val="single" w:color="auto" w:sz="8" w:space="0"/>
              <w:right w:val="single" w:color="000000"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本年增/减</w:t>
            </w:r>
          </w:p>
        </w:tc>
      </w:tr>
      <w:tr>
        <w:tblPrEx>
          <w:tblCellMar>
            <w:top w:w="0" w:type="dxa"/>
            <w:left w:w="0" w:type="dxa"/>
            <w:bottom w:w="0" w:type="dxa"/>
            <w:right w:w="0" w:type="dxa"/>
          </w:tblCellMar>
        </w:tblPrEx>
        <w:trPr>
          <w:trHeight w:val="551" w:hRule="atLeast"/>
          <w:jc w:val="center"/>
        </w:trPr>
        <w:tc>
          <w:tcPr>
            <w:tcW w:w="2546"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行政事业性收费</w:t>
            </w:r>
          </w:p>
        </w:tc>
        <w:tc>
          <w:tcPr>
            <w:tcW w:w="263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0</w:t>
            </w:r>
          </w:p>
        </w:tc>
        <w:tc>
          <w:tcPr>
            <w:tcW w:w="3685" w:type="dxa"/>
            <w:gridSpan w:val="2"/>
            <w:tcBorders>
              <w:top w:val="nil"/>
              <w:left w:val="nil"/>
              <w:bottom w:val="single" w:color="auto" w:sz="8" w:space="0"/>
              <w:right w:val="single" w:color="000000"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color w:val="000000"/>
                <w:sz w:val="32"/>
                <w:szCs w:val="32"/>
              </w:rPr>
              <w:t>0</w:t>
            </w:r>
          </w:p>
        </w:tc>
      </w:tr>
      <w:tr>
        <w:tblPrEx>
          <w:tblCellMar>
            <w:top w:w="0" w:type="dxa"/>
            <w:left w:w="0" w:type="dxa"/>
            <w:bottom w:w="0" w:type="dxa"/>
            <w:right w:w="0" w:type="dxa"/>
          </w:tblCellMar>
        </w:tblPrEx>
        <w:trPr>
          <w:trHeight w:val="476" w:hRule="atLeast"/>
          <w:jc w:val="center"/>
        </w:trPr>
        <w:tc>
          <w:tcPr>
            <w:tcW w:w="8861"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第二十条第（九）项</w:t>
            </w:r>
          </w:p>
        </w:tc>
      </w:tr>
      <w:tr>
        <w:tblPrEx>
          <w:tblCellMar>
            <w:top w:w="0" w:type="dxa"/>
            <w:left w:w="0" w:type="dxa"/>
            <w:bottom w:w="0" w:type="dxa"/>
            <w:right w:w="0" w:type="dxa"/>
          </w:tblCellMar>
        </w:tblPrEx>
        <w:trPr>
          <w:trHeight w:val="689" w:hRule="atLeast"/>
          <w:jc w:val="center"/>
        </w:trPr>
        <w:tc>
          <w:tcPr>
            <w:tcW w:w="2546"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信息内容</w:t>
            </w:r>
          </w:p>
        </w:tc>
        <w:tc>
          <w:tcPr>
            <w:tcW w:w="263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采购项目数量</w:t>
            </w:r>
          </w:p>
        </w:tc>
        <w:tc>
          <w:tcPr>
            <w:tcW w:w="3685" w:type="dxa"/>
            <w:gridSpan w:val="2"/>
            <w:tcBorders>
              <w:top w:val="single" w:color="auto" w:sz="8" w:space="0"/>
              <w:left w:val="nil"/>
              <w:bottom w:val="single" w:color="auto" w:sz="8" w:space="0"/>
              <w:right w:val="single" w:color="000000"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采购总金额</w:t>
            </w:r>
          </w:p>
        </w:tc>
      </w:tr>
      <w:tr>
        <w:tblPrEx>
          <w:tblCellMar>
            <w:top w:w="0" w:type="dxa"/>
            <w:left w:w="0" w:type="dxa"/>
            <w:bottom w:w="0" w:type="dxa"/>
            <w:right w:w="0" w:type="dxa"/>
          </w:tblCellMar>
        </w:tblPrEx>
        <w:trPr>
          <w:trHeight w:val="539" w:hRule="atLeast"/>
          <w:jc w:val="center"/>
        </w:trPr>
        <w:tc>
          <w:tcPr>
            <w:tcW w:w="2546"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政府集中采购</w:t>
            </w:r>
          </w:p>
        </w:tc>
        <w:tc>
          <w:tcPr>
            <w:tcW w:w="263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0</w:t>
            </w:r>
          </w:p>
        </w:tc>
        <w:tc>
          <w:tcPr>
            <w:tcW w:w="3685" w:type="dxa"/>
            <w:gridSpan w:val="2"/>
            <w:tcBorders>
              <w:top w:val="nil"/>
              <w:left w:val="nil"/>
              <w:bottom w:val="single" w:color="auto" w:sz="8" w:space="0"/>
              <w:right w:val="single" w:color="000000" w:sz="8" w:space="0"/>
            </w:tcBorders>
            <w:shd w:val="clear" w:color="auto" w:fill="auto"/>
            <w:noWrap/>
            <w:tcMar>
              <w:left w:w="108" w:type="dxa"/>
              <w:right w:w="108" w:type="dxa"/>
            </w:tcMar>
            <w:vAlign w:val="center"/>
          </w:tcPr>
          <w:p>
            <w:pPr>
              <w:widowControl w:val="0"/>
              <w:adjustRightInd/>
              <w:snapToGrid/>
              <w:spacing w:after="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bl>
    <w:p>
      <w:pPr>
        <w:adjustRightInd/>
        <w:snapToGrid/>
        <w:spacing w:after="240" w:line="560" w:lineRule="exact"/>
        <w:jc w:val="both"/>
        <w:rPr>
          <w:rFonts w:ascii="仿宋_GB2312" w:hAnsi="仿宋_GB2312" w:eastAsia="仿宋_GB2312" w:cs="仿宋_GB2312"/>
          <w:b/>
          <w:color w:val="333333"/>
          <w:sz w:val="32"/>
          <w:szCs w:val="32"/>
        </w:rPr>
      </w:pPr>
    </w:p>
    <w:p>
      <w:pPr>
        <w:adjustRightInd/>
        <w:snapToGrid/>
        <w:spacing w:after="240" w:line="560" w:lineRule="exact"/>
        <w:ind w:firstLine="420"/>
        <w:jc w:val="both"/>
        <w:rPr>
          <w:rFonts w:ascii="黑体" w:hAnsi="黑体" w:eastAsia="黑体" w:cs="仿宋_GB2312"/>
          <w:sz w:val="32"/>
          <w:szCs w:val="32"/>
        </w:rPr>
      </w:pPr>
      <w:r>
        <w:rPr>
          <w:rFonts w:hint="eastAsia" w:ascii="黑体" w:hAnsi="黑体" w:eastAsia="黑体" w:cs="仿宋_GB2312"/>
          <w:color w:val="333333"/>
          <w:sz w:val="32"/>
          <w:szCs w:val="32"/>
        </w:rPr>
        <w:t>三、收到和处理政府信息公开申请情况</w:t>
      </w:r>
    </w:p>
    <w:tbl>
      <w:tblPr>
        <w:tblStyle w:val="4"/>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494"/>
        <w:gridCol w:w="855"/>
        <w:gridCol w:w="2130"/>
        <w:gridCol w:w="825"/>
        <w:gridCol w:w="765"/>
        <w:gridCol w:w="765"/>
        <w:gridCol w:w="825"/>
        <w:gridCol w:w="990"/>
        <w:gridCol w:w="720"/>
        <w:gridCol w:w="70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（本列数据的勾稽关系为：第一项加第二项之和，等于第三项加第四项之和）</w:t>
            </w:r>
          </w:p>
        </w:tc>
        <w:tc>
          <w:tcPr>
            <w:tcW w:w="5592"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82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自然人</w:t>
            </w:r>
          </w:p>
        </w:tc>
        <w:tc>
          <w:tcPr>
            <w:tcW w:w="4065"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法人或其他组织</w:t>
            </w:r>
          </w:p>
        </w:tc>
        <w:tc>
          <w:tcPr>
            <w:tcW w:w="702"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871" w:hRule="atLeast"/>
          <w:jc w:val="center"/>
        </w:trPr>
        <w:tc>
          <w:tcPr>
            <w:tcW w:w="3479"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82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商业企业</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科研机构</w:t>
            </w:r>
          </w:p>
        </w:tc>
        <w:tc>
          <w:tcPr>
            <w:tcW w:w="82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社会公益组织</w:t>
            </w:r>
          </w:p>
        </w:tc>
        <w:tc>
          <w:tcPr>
            <w:tcW w:w="9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法律服务机构</w:t>
            </w:r>
          </w:p>
        </w:tc>
        <w:tc>
          <w:tcPr>
            <w:tcW w:w="72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其他</w:t>
            </w:r>
          </w:p>
        </w:tc>
        <w:tc>
          <w:tcPr>
            <w:tcW w:w="702"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一、本年新收政府信息公开申请数量</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二、上年结转政府信息公开申请数量</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三、本年度办理结果</w:t>
            </w: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（一）予以公开</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（二）部分公开（区分处理的，只计这一情形，不计其他情形）</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（三）不予公开</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1.属于国家秘密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2.其他法律行政法规禁止公开</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3.危及“三安全一稳定”</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4.保护第三方合法权益</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5.属于三类内部事务信息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6.属于四类过程性信息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7.属于行政执法案卷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8.属于行政查询事项</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（四）无法提供</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1.本机关不掌握相关政府信息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2.没有现成信息需要另行制作</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3.补正后申请内容仍不明确</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（五）不予处理</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1.信访举报投诉类申请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2.重复申请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3.要求提供公开出版物</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4.无正当理由大量反复申请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5.要求行政机关确认或重新出具已获取信息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（六）其他处理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（七）总计</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四、结转下年度继续办理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宋体" w:eastAsia="仿宋_GB2312"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bl>
    <w:p>
      <w:pPr>
        <w:adjustRightInd/>
        <w:snapToGrid/>
        <w:spacing w:after="0" w:line="560" w:lineRule="exact"/>
        <w:ind w:firstLine="420"/>
        <w:jc w:val="both"/>
        <w:rPr>
          <w:rFonts w:ascii="仿宋_GB2312" w:hAnsi="仿宋_GB2312" w:eastAsia="仿宋_GB2312" w:cs="仿宋_GB2312"/>
          <w:sz w:val="32"/>
          <w:szCs w:val="32"/>
        </w:rPr>
      </w:pPr>
    </w:p>
    <w:p>
      <w:pPr>
        <w:adjustRightInd/>
        <w:snapToGrid/>
        <w:spacing w:after="0" w:line="560" w:lineRule="exact"/>
        <w:ind w:firstLine="420"/>
        <w:jc w:val="both"/>
        <w:rPr>
          <w:rFonts w:ascii="黑体" w:hAnsi="黑体" w:eastAsia="黑体" w:cs="仿宋_GB2312"/>
          <w:sz w:val="32"/>
          <w:szCs w:val="32"/>
        </w:rPr>
      </w:pPr>
      <w:r>
        <w:rPr>
          <w:rFonts w:hint="eastAsia" w:ascii="黑体" w:hAnsi="黑体" w:eastAsia="黑体" w:cs="仿宋_GB2312"/>
          <w:color w:val="333333"/>
          <w:sz w:val="32"/>
          <w:szCs w:val="32"/>
        </w:rPr>
        <w:t>四、政府信息公开行政复议、行政诉讼情况</w:t>
      </w:r>
    </w:p>
    <w:p>
      <w:pPr>
        <w:adjustRightInd/>
        <w:snapToGrid/>
        <w:spacing w:after="0" w:line="560" w:lineRule="exact"/>
        <w:ind w:firstLine="420"/>
        <w:jc w:val="both"/>
        <w:rPr>
          <w:rFonts w:ascii="仿宋_GB2312" w:hAnsi="仿宋_GB2312" w:eastAsia="仿宋_GB2312" w:cs="仿宋_GB2312"/>
          <w:sz w:val="32"/>
          <w:szCs w:val="32"/>
        </w:rPr>
      </w:pPr>
    </w:p>
    <w:tbl>
      <w:tblPr>
        <w:tblStyle w:val="4"/>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结果维持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尚未审结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总计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ascii="仿宋_GB2312" w:hAnsi="仿宋_GB2312" w:eastAsia="仿宋_GB2312" w:cs="仿宋_GB2312"/>
                <w:kern w:val="2"/>
                <w:sz w:val="32"/>
                <w:szCs w:val="32"/>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val="0"/>
              <w:adjustRightInd/>
              <w:snapToGrid/>
              <w:spacing w:after="0" w:line="560" w:lineRule="exact"/>
              <w:jc w:val="both"/>
              <w:rPr>
                <w:rFonts w:hint="eastAsia" w:ascii="仿宋_GB2312" w:hAnsi="仿宋_GB2312" w:eastAsia="仿宋_GB2312" w:cs="仿宋_GB2312"/>
                <w:kern w:val="2"/>
                <w:sz w:val="32"/>
                <w:szCs w:val="32"/>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其他结果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尚未审结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其他结果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adjustRightInd/>
              <w:snapToGrid/>
              <w:spacing w:after="180" w:line="560" w:lineRule="exact"/>
              <w:jc w:val="center"/>
              <w:rPr>
                <w:rFonts w:hint="eastAsia"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tcPr>
          <w:p>
            <w:pPr>
              <w:spacing w:line="560" w:lineRule="exact"/>
              <w:jc w:val="center"/>
            </w:pPr>
          </w:p>
        </w:tc>
        <w:tc>
          <w:tcPr>
            <w:tcW w:w="604" w:type="dxa"/>
            <w:tcBorders>
              <w:top w:val="nil"/>
              <w:left w:val="nil"/>
              <w:bottom w:val="single" w:color="auto" w:sz="8" w:space="0"/>
              <w:right w:val="single" w:color="auto" w:sz="8" w:space="0"/>
            </w:tcBorders>
            <w:shd w:val="clear" w:color="auto" w:fill="auto"/>
            <w:tcMar>
              <w:left w:w="108" w:type="dxa"/>
              <w:right w:w="108" w:type="dxa"/>
            </w:tcMar>
          </w:tcPr>
          <w:p>
            <w:pPr>
              <w:spacing w:line="560" w:lineRule="exact"/>
              <w:jc w:val="center"/>
              <w:rPr>
                <w:rFonts w:hint="eastAsia" w:ascii="仿宋_GB2312" w:eastAsia="仿宋_GB2312"/>
              </w:rPr>
            </w:pPr>
          </w:p>
        </w:tc>
        <w:tc>
          <w:tcPr>
            <w:tcW w:w="604" w:type="dxa"/>
            <w:tcBorders>
              <w:top w:val="nil"/>
              <w:left w:val="nil"/>
              <w:bottom w:val="single" w:color="auto" w:sz="8" w:space="0"/>
              <w:right w:val="single" w:color="auto" w:sz="8" w:space="0"/>
            </w:tcBorders>
            <w:shd w:val="clear" w:color="auto" w:fill="auto"/>
            <w:tcMar>
              <w:left w:w="108" w:type="dxa"/>
              <w:right w:w="108" w:type="dxa"/>
            </w:tcMar>
          </w:tcPr>
          <w:p>
            <w:pPr>
              <w:spacing w:line="560" w:lineRule="exact"/>
              <w:jc w:val="center"/>
              <w:rPr>
                <w:rFonts w:hint="eastAsia" w:ascii="仿宋_GB2312" w:eastAsia="仿宋_GB2312"/>
              </w:rPr>
            </w:pPr>
          </w:p>
        </w:tc>
        <w:tc>
          <w:tcPr>
            <w:tcW w:w="604" w:type="dxa"/>
            <w:tcBorders>
              <w:top w:val="nil"/>
              <w:left w:val="nil"/>
              <w:bottom w:val="single" w:color="auto" w:sz="8" w:space="0"/>
              <w:right w:val="single" w:color="auto" w:sz="8" w:space="0"/>
            </w:tcBorders>
            <w:shd w:val="clear" w:color="auto" w:fill="auto"/>
            <w:tcMar>
              <w:left w:w="108" w:type="dxa"/>
              <w:right w:w="108" w:type="dxa"/>
            </w:tcMar>
          </w:tcPr>
          <w:p>
            <w:pPr>
              <w:spacing w:line="560" w:lineRule="exact"/>
              <w:jc w:val="center"/>
              <w:rPr>
                <w:rFonts w:hint="eastAsia" w:ascii="仿宋_GB2312" w:eastAsia="仿宋_GB2312"/>
              </w:rPr>
            </w:pPr>
          </w:p>
        </w:tc>
        <w:tc>
          <w:tcPr>
            <w:tcW w:w="658" w:type="dxa"/>
            <w:tcBorders>
              <w:top w:val="nil"/>
              <w:left w:val="nil"/>
              <w:bottom w:val="single" w:color="auto" w:sz="8" w:space="0"/>
              <w:right w:val="single" w:color="auto" w:sz="8" w:space="0"/>
            </w:tcBorders>
            <w:shd w:val="clear" w:color="auto" w:fill="auto"/>
            <w:tcMar>
              <w:left w:w="108" w:type="dxa"/>
              <w:right w:w="108" w:type="dxa"/>
            </w:tcMar>
          </w:tcPr>
          <w:p>
            <w:pPr>
              <w:spacing w:line="560" w:lineRule="exact"/>
              <w:jc w:val="center"/>
              <w:rPr>
                <w:rFonts w:hint="eastAsia" w:ascii="仿宋_GB2312" w:eastAsia="仿宋_GB2312"/>
              </w:rPr>
            </w:pPr>
            <w:r>
              <w:rPr>
                <w:rFonts w:hint="eastAsia" w:ascii="仿宋_GB2312" w:hAnsi="宋体" w:eastAsia="仿宋_GB2312" w:cs="宋体"/>
                <w:sz w:val="32"/>
                <w:szCs w:val="32"/>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tcPr>
          <w:p>
            <w:pPr>
              <w:spacing w:line="560" w:lineRule="exact"/>
              <w:jc w:val="center"/>
              <w:rPr>
                <w:rFonts w:hint="eastAsia" w:ascii="仿宋_GB2312" w:eastAsia="仿宋_GB2312"/>
              </w:rPr>
            </w:pPr>
          </w:p>
        </w:tc>
        <w:tc>
          <w:tcPr>
            <w:tcW w:w="605" w:type="dxa"/>
            <w:tcBorders>
              <w:top w:val="nil"/>
              <w:left w:val="nil"/>
              <w:bottom w:val="single" w:color="auto" w:sz="8" w:space="0"/>
              <w:right w:val="single" w:color="auto" w:sz="8" w:space="0"/>
            </w:tcBorders>
            <w:shd w:val="clear" w:color="auto" w:fill="auto"/>
            <w:tcMar>
              <w:left w:w="108" w:type="dxa"/>
              <w:right w:w="108" w:type="dxa"/>
            </w:tcMar>
          </w:tcPr>
          <w:p>
            <w:pPr>
              <w:spacing w:line="560" w:lineRule="exact"/>
              <w:jc w:val="center"/>
              <w:rPr>
                <w:rFonts w:hint="eastAsia" w:ascii="仿宋_GB2312" w:eastAsia="仿宋_GB2312"/>
              </w:rPr>
            </w:pPr>
          </w:p>
        </w:tc>
        <w:tc>
          <w:tcPr>
            <w:tcW w:w="605" w:type="dxa"/>
            <w:tcBorders>
              <w:top w:val="nil"/>
              <w:left w:val="nil"/>
              <w:bottom w:val="single" w:color="auto" w:sz="8" w:space="0"/>
              <w:right w:val="single" w:color="auto" w:sz="8" w:space="0"/>
            </w:tcBorders>
            <w:shd w:val="clear" w:color="auto" w:fill="auto"/>
            <w:tcMar>
              <w:left w:w="108" w:type="dxa"/>
              <w:right w:w="108" w:type="dxa"/>
            </w:tcMar>
          </w:tcPr>
          <w:p>
            <w:pPr>
              <w:spacing w:line="560" w:lineRule="exact"/>
              <w:jc w:val="center"/>
              <w:rPr>
                <w:rFonts w:hint="eastAsia" w:ascii="仿宋_GB2312" w:eastAsia="仿宋_GB2312"/>
              </w:rPr>
            </w:pPr>
          </w:p>
        </w:tc>
        <w:tc>
          <w:tcPr>
            <w:tcW w:w="605" w:type="dxa"/>
            <w:tcBorders>
              <w:top w:val="nil"/>
              <w:left w:val="nil"/>
              <w:bottom w:val="single" w:color="auto" w:sz="8" w:space="0"/>
              <w:right w:val="single" w:color="auto" w:sz="8" w:space="0"/>
            </w:tcBorders>
            <w:shd w:val="clear" w:color="auto" w:fill="auto"/>
            <w:tcMar>
              <w:left w:w="108" w:type="dxa"/>
              <w:right w:w="108" w:type="dxa"/>
            </w:tcMar>
          </w:tcPr>
          <w:p>
            <w:pPr>
              <w:spacing w:line="560" w:lineRule="exact"/>
              <w:jc w:val="center"/>
              <w:rPr>
                <w:rFonts w:hint="eastAsia" w:ascii="仿宋_GB2312" w:eastAsia="仿宋_GB2312"/>
              </w:rPr>
            </w:pPr>
          </w:p>
        </w:tc>
        <w:tc>
          <w:tcPr>
            <w:tcW w:w="605" w:type="dxa"/>
            <w:tcBorders>
              <w:top w:val="nil"/>
              <w:left w:val="nil"/>
              <w:bottom w:val="single" w:color="auto" w:sz="8" w:space="0"/>
              <w:right w:val="single" w:color="auto" w:sz="8" w:space="0"/>
            </w:tcBorders>
            <w:shd w:val="clear" w:color="auto" w:fill="auto"/>
            <w:tcMar>
              <w:left w:w="108" w:type="dxa"/>
              <w:right w:w="108" w:type="dxa"/>
            </w:tcMar>
          </w:tcPr>
          <w:p>
            <w:pPr>
              <w:spacing w:line="560" w:lineRule="exact"/>
              <w:jc w:val="center"/>
              <w:rPr>
                <w:rFonts w:hint="eastAsia" w:ascii="仿宋_GB2312" w:eastAsia="仿宋_GB2312"/>
              </w:rPr>
            </w:pPr>
          </w:p>
        </w:tc>
        <w:tc>
          <w:tcPr>
            <w:tcW w:w="605" w:type="dxa"/>
            <w:tcBorders>
              <w:top w:val="nil"/>
              <w:left w:val="nil"/>
              <w:bottom w:val="single" w:color="auto" w:sz="8" w:space="0"/>
              <w:right w:val="single" w:color="auto" w:sz="8" w:space="0"/>
            </w:tcBorders>
            <w:shd w:val="clear" w:color="auto" w:fill="auto"/>
            <w:tcMar>
              <w:left w:w="108" w:type="dxa"/>
              <w:right w:w="108" w:type="dxa"/>
            </w:tcMar>
          </w:tcPr>
          <w:p>
            <w:pPr>
              <w:spacing w:line="560" w:lineRule="exact"/>
              <w:jc w:val="center"/>
              <w:rPr>
                <w:rFonts w:hint="eastAsia" w:ascii="仿宋_GB2312" w:eastAsia="仿宋_GB2312"/>
              </w:rPr>
            </w:pPr>
          </w:p>
        </w:tc>
        <w:tc>
          <w:tcPr>
            <w:tcW w:w="605" w:type="dxa"/>
            <w:tcBorders>
              <w:top w:val="nil"/>
              <w:left w:val="nil"/>
              <w:bottom w:val="single" w:color="auto" w:sz="8" w:space="0"/>
              <w:right w:val="single" w:color="auto" w:sz="8" w:space="0"/>
            </w:tcBorders>
            <w:shd w:val="clear" w:color="auto" w:fill="auto"/>
            <w:tcMar>
              <w:left w:w="108" w:type="dxa"/>
              <w:right w:w="108" w:type="dxa"/>
            </w:tcMar>
          </w:tcPr>
          <w:p>
            <w:pPr>
              <w:spacing w:line="560" w:lineRule="exact"/>
              <w:jc w:val="center"/>
              <w:rPr>
                <w:rFonts w:hint="eastAsia" w:ascii="仿宋_GB2312" w:eastAsia="仿宋_GB2312"/>
              </w:rPr>
            </w:pPr>
          </w:p>
        </w:tc>
        <w:tc>
          <w:tcPr>
            <w:tcW w:w="605" w:type="dxa"/>
            <w:tcBorders>
              <w:top w:val="nil"/>
              <w:left w:val="nil"/>
              <w:bottom w:val="single" w:color="auto" w:sz="8" w:space="0"/>
              <w:right w:val="single" w:color="auto" w:sz="8" w:space="0"/>
            </w:tcBorders>
            <w:shd w:val="clear" w:color="auto" w:fill="auto"/>
            <w:tcMar>
              <w:left w:w="108" w:type="dxa"/>
              <w:right w:w="108" w:type="dxa"/>
            </w:tcMar>
          </w:tcPr>
          <w:p>
            <w:pPr>
              <w:spacing w:line="560" w:lineRule="exact"/>
              <w:jc w:val="center"/>
              <w:rPr>
                <w:rFonts w:hint="eastAsia" w:ascii="仿宋_GB2312" w:eastAsia="仿宋_GB2312"/>
              </w:rPr>
            </w:pPr>
          </w:p>
        </w:tc>
        <w:tc>
          <w:tcPr>
            <w:tcW w:w="606" w:type="dxa"/>
            <w:tcBorders>
              <w:top w:val="nil"/>
              <w:left w:val="nil"/>
              <w:bottom w:val="single" w:color="auto" w:sz="8" w:space="0"/>
              <w:right w:val="single" w:color="auto" w:sz="8" w:space="0"/>
            </w:tcBorders>
            <w:shd w:val="clear" w:color="auto" w:fill="auto"/>
            <w:tcMar>
              <w:left w:w="108" w:type="dxa"/>
              <w:right w:w="108" w:type="dxa"/>
            </w:tcMar>
          </w:tcPr>
          <w:p>
            <w:pPr>
              <w:spacing w:line="560" w:lineRule="exact"/>
              <w:jc w:val="center"/>
              <w:rPr>
                <w:rFonts w:hint="eastAsia" w:ascii="仿宋_GB2312" w:eastAsia="仿宋_GB2312"/>
              </w:rPr>
            </w:pPr>
          </w:p>
        </w:tc>
        <w:tc>
          <w:tcPr>
            <w:tcW w:w="606" w:type="dxa"/>
            <w:tcBorders>
              <w:top w:val="nil"/>
              <w:left w:val="nil"/>
              <w:bottom w:val="single" w:color="auto" w:sz="8" w:space="0"/>
              <w:right w:val="single" w:color="auto" w:sz="8" w:space="0"/>
            </w:tcBorders>
            <w:shd w:val="clear" w:color="auto" w:fill="auto"/>
            <w:tcMar>
              <w:left w:w="108" w:type="dxa"/>
              <w:right w:w="108" w:type="dxa"/>
            </w:tcMar>
          </w:tcPr>
          <w:p>
            <w:pPr>
              <w:spacing w:line="560" w:lineRule="exact"/>
              <w:jc w:val="center"/>
              <w:rPr>
                <w:rFonts w:hint="eastAsia" w:ascii="仿宋_GB2312" w:eastAsia="仿宋_GB2312"/>
              </w:rPr>
            </w:pPr>
            <w:r>
              <w:rPr>
                <w:rFonts w:hint="eastAsia" w:ascii="仿宋_GB2312" w:hAnsi="宋体" w:eastAsia="仿宋_GB2312" w:cs="宋体"/>
                <w:sz w:val="32"/>
                <w:szCs w:val="32"/>
              </w:rPr>
              <w:t>0</w:t>
            </w:r>
          </w:p>
        </w:tc>
      </w:tr>
    </w:tbl>
    <w:p>
      <w:pPr>
        <w:adjustRightInd/>
        <w:snapToGrid/>
        <w:spacing w:after="0" w:line="560" w:lineRule="exact"/>
        <w:jc w:val="center"/>
        <w:rPr>
          <w:rFonts w:ascii="仿宋_GB2312" w:hAnsi="仿宋_GB2312" w:eastAsia="仿宋_GB2312" w:cs="仿宋_GB2312"/>
          <w:color w:val="333333"/>
          <w:kern w:val="2"/>
          <w:sz w:val="32"/>
          <w:szCs w:val="32"/>
        </w:rPr>
      </w:pPr>
    </w:p>
    <w:p>
      <w:pPr>
        <w:adjustRightInd/>
        <w:snapToGrid/>
        <w:spacing w:after="0" w:line="560" w:lineRule="exact"/>
        <w:ind w:firstLine="640" w:firstLineChars="200"/>
        <w:jc w:val="both"/>
        <w:rPr>
          <w:rFonts w:ascii="黑体" w:hAnsi="黑体" w:eastAsia="黑体" w:cs="仿宋_GB2312"/>
          <w:sz w:val="32"/>
          <w:szCs w:val="32"/>
        </w:rPr>
      </w:pPr>
      <w:r>
        <w:rPr>
          <w:rFonts w:hint="eastAsia" w:ascii="黑体" w:hAnsi="黑体" w:eastAsia="黑体" w:cs="仿宋_GB2312"/>
          <w:color w:val="333333"/>
          <w:sz w:val="32"/>
          <w:szCs w:val="32"/>
        </w:rPr>
        <w:t>五、存在的主要问题及改进情况</w:t>
      </w:r>
    </w:p>
    <w:p>
      <w:pPr>
        <w:widowControl w:val="0"/>
        <w:adjustRightInd/>
        <w:snapToGrid/>
        <w:spacing w:after="0" w:line="560" w:lineRule="exact"/>
        <w:ind w:firstLine="640" w:firstLineChars="200"/>
        <w:jc w:val="both"/>
        <w:rPr>
          <w:rFonts w:ascii="仿宋_GB2312" w:hAnsi="等线" w:eastAsia="仿宋_GB2312" w:cs="Times New Roman"/>
          <w:kern w:val="2"/>
          <w:sz w:val="32"/>
          <w:szCs w:val="32"/>
        </w:rPr>
      </w:pPr>
      <w:r>
        <w:rPr>
          <w:rFonts w:hint="eastAsia" w:ascii="仿宋_GB2312" w:hAnsi="等线" w:eastAsia="仿宋_GB2312" w:cs="Times New Roman"/>
          <w:kern w:val="2"/>
          <w:sz w:val="32"/>
          <w:szCs w:val="32"/>
        </w:rPr>
        <w:t>1</w:t>
      </w:r>
      <w:r>
        <w:rPr>
          <w:rFonts w:ascii="仿宋_GB2312" w:hAnsi="等线" w:eastAsia="仿宋_GB2312" w:cs="Times New Roman"/>
          <w:kern w:val="2"/>
          <w:sz w:val="32"/>
          <w:szCs w:val="32"/>
        </w:rPr>
        <w:t>.</w:t>
      </w:r>
      <w:r>
        <w:rPr>
          <w:rFonts w:hint="eastAsia" w:ascii="仿宋_GB2312" w:hAnsi="等线" w:eastAsia="仿宋_GB2312" w:cs="Times New Roman"/>
          <w:kern w:val="2"/>
          <w:sz w:val="32"/>
          <w:szCs w:val="32"/>
        </w:rPr>
        <w:t>存在的问题：对政务公开等业务不够熟悉，有待进一步提高。</w:t>
      </w:r>
    </w:p>
    <w:p>
      <w:pPr>
        <w:widowControl w:val="0"/>
        <w:adjustRightInd/>
        <w:snapToGrid/>
        <w:spacing w:after="0" w:line="560" w:lineRule="exact"/>
        <w:ind w:firstLine="640" w:firstLineChars="200"/>
        <w:jc w:val="both"/>
        <w:rPr>
          <w:rFonts w:ascii="仿宋_GB2312" w:hAnsi="等线" w:eastAsia="仿宋_GB2312" w:cs="Times New Roman"/>
          <w:kern w:val="2"/>
          <w:sz w:val="32"/>
          <w:szCs w:val="32"/>
        </w:rPr>
      </w:pPr>
      <w:r>
        <w:rPr>
          <w:rFonts w:hint="eastAsia" w:ascii="仿宋_GB2312" w:hAnsi="等线" w:eastAsia="仿宋_GB2312" w:cs="Times New Roman"/>
          <w:kern w:val="2"/>
          <w:sz w:val="32"/>
          <w:szCs w:val="32"/>
        </w:rPr>
        <w:t>2</w:t>
      </w:r>
      <w:r>
        <w:rPr>
          <w:rFonts w:ascii="仿宋_GB2312" w:hAnsi="等线" w:eastAsia="仿宋_GB2312" w:cs="Times New Roman"/>
          <w:kern w:val="2"/>
          <w:sz w:val="32"/>
          <w:szCs w:val="32"/>
        </w:rPr>
        <w:t>.</w:t>
      </w:r>
      <w:r>
        <w:rPr>
          <w:rFonts w:hint="eastAsia" w:ascii="仿宋_GB2312" w:hAnsi="等线" w:eastAsia="仿宋_GB2312" w:cs="Times New Roman"/>
          <w:kern w:val="2"/>
          <w:sz w:val="32"/>
          <w:szCs w:val="32"/>
        </w:rPr>
        <w:t>改进情况：要求相关干部加强业务学习，熟悉相关工作，提升工作效率及水平。</w:t>
      </w:r>
    </w:p>
    <w:p>
      <w:pPr>
        <w:adjustRightInd/>
        <w:snapToGrid/>
        <w:spacing w:after="0" w:line="560" w:lineRule="exact"/>
        <w:ind w:firstLine="640" w:firstLineChars="200"/>
        <w:jc w:val="both"/>
        <w:rPr>
          <w:rFonts w:ascii="黑体" w:hAnsi="黑体" w:eastAsia="黑体" w:cs="仿宋_GB2312"/>
          <w:sz w:val="32"/>
          <w:szCs w:val="32"/>
        </w:rPr>
      </w:pPr>
      <w:r>
        <w:rPr>
          <w:rFonts w:hint="eastAsia" w:ascii="黑体" w:hAnsi="黑体" w:eastAsia="黑体" w:cs="仿宋_GB2312"/>
          <w:color w:val="333333"/>
          <w:sz w:val="32"/>
          <w:szCs w:val="32"/>
        </w:rPr>
        <w:t>六、其他需要报告的事项</w:t>
      </w:r>
    </w:p>
    <w:p>
      <w:pPr>
        <w:widowControl w:val="0"/>
        <w:adjustRightInd/>
        <w:snapToGrid/>
        <w:spacing w:after="0" w:line="560" w:lineRule="exact"/>
        <w:ind w:firstLine="640" w:firstLineChars="200"/>
        <w:jc w:val="both"/>
        <w:rPr>
          <w:rFonts w:ascii="仿宋_GB2312" w:hAnsi="等线" w:eastAsia="仿宋_GB2312" w:cs="Times New Roman"/>
          <w:kern w:val="2"/>
          <w:sz w:val="32"/>
          <w:szCs w:val="32"/>
        </w:rPr>
      </w:pPr>
      <w:r>
        <w:rPr>
          <w:rFonts w:hint="eastAsia" w:ascii="仿宋_GB2312" w:hAnsi="等线" w:eastAsia="仿宋_GB2312" w:cs="Times New Roman"/>
          <w:kern w:val="2"/>
          <w:sz w:val="32"/>
          <w:szCs w:val="32"/>
        </w:rPr>
        <w:t>我办目前尚无其他需要报告的事项</w:t>
      </w:r>
    </w:p>
    <w:p>
      <w:pPr>
        <w:widowControl w:val="0"/>
        <w:adjustRightInd/>
        <w:snapToGrid/>
        <w:spacing w:after="0" w:line="560" w:lineRule="exact"/>
        <w:ind w:firstLine="640" w:firstLineChars="200"/>
        <w:jc w:val="both"/>
        <w:rPr>
          <w:rFonts w:ascii="仿宋_GB2312" w:hAnsi="等线" w:eastAsia="仿宋_GB2312" w:cs="Times New Roman"/>
          <w:kern w:val="2"/>
          <w:sz w:val="32"/>
          <w:szCs w:val="32"/>
        </w:rPr>
      </w:pPr>
    </w:p>
    <w:p>
      <w:pPr>
        <w:widowControl w:val="0"/>
        <w:adjustRightInd/>
        <w:snapToGrid/>
        <w:spacing w:after="0" w:line="560" w:lineRule="exact"/>
        <w:ind w:firstLine="640" w:firstLineChars="200"/>
        <w:jc w:val="both"/>
        <w:rPr>
          <w:rFonts w:ascii="仿宋_GB2312" w:hAnsi="等线" w:eastAsia="仿宋_GB2312" w:cs="Times New Roman"/>
          <w:kern w:val="2"/>
          <w:sz w:val="32"/>
          <w:szCs w:val="32"/>
        </w:rPr>
      </w:pPr>
    </w:p>
    <w:p>
      <w:pPr>
        <w:widowControl w:val="0"/>
        <w:adjustRightInd/>
        <w:snapToGrid/>
        <w:spacing w:after="0" w:line="560" w:lineRule="exact"/>
        <w:ind w:firstLine="640" w:firstLineChars="200"/>
        <w:jc w:val="both"/>
        <w:rPr>
          <w:rFonts w:ascii="仿宋_GB2312" w:hAnsi="等线" w:eastAsia="仿宋_GB2312" w:cs="Times New Roman"/>
          <w:kern w:val="2"/>
          <w:sz w:val="32"/>
          <w:szCs w:val="32"/>
        </w:rPr>
      </w:pPr>
    </w:p>
    <w:p>
      <w:pPr>
        <w:widowControl w:val="0"/>
        <w:adjustRightInd/>
        <w:snapToGrid/>
        <w:spacing w:after="0" w:line="560" w:lineRule="exact"/>
        <w:ind w:firstLine="640" w:firstLineChars="200"/>
        <w:jc w:val="both"/>
        <w:rPr>
          <w:rFonts w:ascii="仿宋_GB2312" w:hAnsi="等线" w:eastAsia="仿宋_GB2312" w:cs="Times New Roman"/>
          <w:kern w:val="2"/>
          <w:sz w:val="32"/>
          <w:szCs w:val="32"/>
        </w:rPr>
      </w:pPr>
    </w:p>
    <w:p>
      <w:pPr>
        <w:widowControl w:val="0"/>
        <w:adjustRightInd/>
        <w:snapToGrid/>
        <w:spacing w:after="0" w:line="560" w:lineRule="exact"/>
        <w:ind w:firstLine="640" w:firstLineChars="200"/>
        <w:jc w:val="both"/>
        <w:rPr>
          <w:rFonts w:hint="eastAsia" w:ascii="仿宋_GB2312" w:hAnsi="等线" w:eastAsia="仿宋_GB2312" w:cs="Times New Roman"/>
          <w:kern w:val="2"/>
          <w:sz w:val="32"/>
          <w:szCs w:val="32"/>
        </w:rPr>
      </w:pPr>
    </w:p>
    <w:p>
      <w:pPr>
        <w:widowControl w:val="0"/>
        <w:adjustRightInd/>
        <w:snapToGrid/>
        <w:spacing w:after="0" w:line="560" w:lineRule="exact"/>
        <w:ind w:firstLine="5120" w:firstLineChars="1600"/>
        <w:jc w:val="both"/>
        <w:rPr>
          <w:rFonts w:ascii="仿宋_GB2312" w:hAnsi="等线" w:eastAsia="仿宋_GB2312" w:cs="Times New Roman"/>
          <w:kern w:val="2"/>
          <w:sz w:val="32"/>
          <w:szCs w:val="32"/>
        </w:rPr>
      </w:pPr>
    </w:p>
    <w:sectPr>
      <w:pgSz w:w="11906" w:h="16838"/>
      <w:pgMar w:top="1440" w:right="1474" w:bottom="1440" w:left="1588"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002D5A"/>
    <w:rsid w:val="00103E03"/>
    <w:rsid w:val="0018616C"/>
    <w:rsid w:val="001C5644"/>
    <w:rsid w:val="002911C1"/>
    <w:rsid w:val="002B3B94"/>
    <w:rsid w:val="00317D04"/>
    <w:rsid w:val="00323B43"/>
    <w:rsid w:val="00327BE1"/>
    <w:rsid w:val="003A7583"/>
    <w:rsid w:val="003D37D8"/>
    <w:rsid w:val="00426133"/>
    <w:rsid w:val="004358AB"/>
    <w:rsid w:val="004B0A27"/>
    <w:rsid w:val="004B580E"/>
    <w:rsid w:val="005D02A0"/>
    <w:rsid w:val="00616290"/>
    <w:rsid w:val="00666111"/>
    <w:rsid w:val="006737A0"/>
    <w:rsid w:val="006E1BBC"/>
    <w:rsid w:val="006E7677"/>
    <w:rsid w:val="00721405"/>
    <w:rsid w:val="007F44D1"/>
    <w:rsid w:val="008B7726"/>
    <w:rsid w:val="009369F6"/>
    <w:rsid w:val="00941708"/>
    <w:rsid w:val="00994F03"/>
    <w:rsid w:val="00A208EB"/>
    <w:rsid w:val="00AA7381"/>
    <w:rsid w:val="00AC705D"/>
    <w:rsid w:val="00B306F9"/>
    <w:rsid w:val="00B97016"/>
    <w:rsid w:val="00BE7D38"/>
    <w:rsid w:val="00C20E3E"/>
    <w:rsid w:val="00C73843"/>
    <w:rsid w:val="00C957D3"/>
    <w:rsid w:val="00CB5E51"/>
    <w:rsid w:val="00CE15BA"/>
    <w:rsid w:val="00D31D50"/>
    <w:rsid w:val="00D91938"/>
    <w:rsid w:val="00DE4413"/>
    <w:rsid w:val="00DE6FE2"/>
    <w:rsid w:val="00E113FA"/>
    <w:rsid w:val="00E307EF"/>
    <w:rsid w:val="00E43DA2"/>
    <w:rsid w:val="00EB48EF"/>
    <w:rsid w:val="00F228B9"/>
    <w:rsid w:val="00F73359"/>
    <w:rsid w:val="00FE7AE7"/>
    <w:rsid w:val="06CA7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jc w:val="center"/>
    </w:pPr>
    <w:rPr>
      <w:sz w:val="18"/>
      <w:szCs w:val="18"/>
    </w:rPr>
  </w:style>
  <w:style w:type="character" w:customStyle="1" w:styleId="6">
    <w:name w:val="页眉 字符"/>
    <w:basedOn w:val="5"/>
    <w:link w:val="3"/>
    <w:uiPriority w:val="99"/>
    <w:rPr>
      <w:rFonts w:ascii="Tahoma" w:hAnsi="Tahoma"/>
      <w:sz w:val="18"/>
      <w:szCs w:val="18"/>
    </w:rPr>
  </w:style>
  <w:style w:type="character" w:customStyle="1" w:styleId="7">
    <w:name w:val="页脚 字符"/>
    <w:basedOn w:val="5"/>
    <w:link w:val="2"/>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284</Words>
  <Characters>1623</Characters>
  <Lines>13</Lines>
  <Paragraphs>3</Paragraphs>
  <TotalTime>162</TotalTime>
  <ScaleCrop>false</ScaleCrop>
  <LinksUpToDate>false</LinksUpToDate>
  <CharactersWithSpaces>1904</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81668382</dc:creator>
  <cp:lastModifiedBy>zjn</cp:lastModifiedBy>
  <dcterms:modified xsi:type="dcterms:W3CDTF">2020-01-19T07:48:25Z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