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440" w:lineRule="exact"/>
        <w:jc w:val="center"/>
        <w:rPr>
          <w:rFonts w:ascii="方正小标宋简体" w:hAnsi="微软雅黑" w:eastAsia="方正小标宋简体"/>
          <w:color w:val="6C6C6C"/>
          <w:sz w:val="44"/>
          <w:szCs w:val="44"/>
        </w:rPr>
      </w:pPr>
      <w:r>
        <w:rPr>
          <w:rFonts w:hint="eastAsia" w:ascii="方正小标宋简体" w:hAnsi="微软雅黑" w:eastAsia="方正小标宋简体"/>
          <w:color w:val="6C6C6C"/>
          <w:sz w:val="44"/>
          <w:szCs w:val="44"/>
        </w:rPr>
        <w:t>西安市阎良区民政局2019年度</w:t>
      </w:r>
    </w:p>
    <w:p>
      <w:pPr>
        <w:pStyle w:val="4"/>
        <w:spacing w:line="440" w:lineRule="exact"/>
        <w:jc w:val="center"/>
        <w:rPr>
          <w:rFonts w:ascii="方正小标宋简体" w:hAnsi="微软雅黑" w:eastAsia="方正小标宋简体"/>
          <w:color w:val="6C6C6C"/>
          <w:sz w:val="44"/>
          <w:szCs w:val="44"/>
        </w:rPr>
      </w:pPr>
      <w:r>
        <w:rPr>
          <w:rFonts w:hint="eastAsia" w:ascii="方正小标宋简体" w:hAnsi="微软雅黑" w:eastAsia="方正小标宋简体"/>
          <w:color w:val="6C6C6C"/>
          <w:sz w:val="44"/>
          <w:szCs w:val="44"/>
        </w:rPr>
        <w:t>政府信息公开工作年度报告</w:t>
      </w:r>
    </w:p>
    <w:p>
      <w:pPr>
        <w:pStyle w:val="4"/>
        <w:ind w:firstLine="480"/>
        <w:rPr>
          <w:rFonts w:ascii="微软雅黑" w:hAnsi="微软雅黑" w:eastAsia="微软雅黑"/>
          <w:color w:val="6C6C6C"/>
          <w:sz w:val="21"/>
          <w:szCs w:val="21"/>
        </w:rPr>
      </w:pPr>
      <w:bookmarkStart w:id="0" w:name="_GoBack"/>
      <w:bookmarkEnd w:id="0"/>
    </w:p>
    <w:p>
      <w:pPr>
        <w:pStyle w:val="4"/>
        <w:widowControl w:val="0"/>
        <w:spacing w:before="0" w:beforeAutospacing="0" w:after="0" w:afterAutospacing="0" w:line="578" w:lineRule="exact"/>
        <w:ind w:firstLine="640" w:firstLineChars="200"/>
        <w:rPr>
          <w:rFonts w:ascii="仿宋" w:hAnsi="仿宋" w:eastAsia="仿宋"/>
          <w:sz w:val="32"/>
          <w:szCs w:val="32"/>
        </w:rPr>
      </w:pPr>
      <w:r>
        <w:rPr>
          <w:rFonts w:hint="eastAsia" w:ascii="仿宋" w:hAnsi="仿宋" w:eastAsia="仿宋"/>
          <w:sz w:val="32"/>
          <w:szCs w:val="32"/>
        </w:rPr>
        <w:t>2019年，阎良区民政局按照《中华人民共和国政府信息公开条例》和阎良区政府信息公开工作的统一部署和要求，结合工作实际，大力推进政府信息公开机构建设，不断规范政府信息公开制度，提高政府公开信息水平，有力辅助促进其他工作开展。报告包括总体公开信息情况、主动公开信息情况、重点领域信息公开情况、“互联网+政务服务”情况、建议提案办理结果、政策解读情况、舆情处置回应情况、依申请公开情况、信息公开举报复议诉讼情况、制度机制建设情况、其他应报告事项等10个部分。</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报告中所列数据的统计期限自2019年1月1日起至2019年12月31日止。本报告全文在阎良区政府网站公布，欢迎查阅。如对本报告有疑问，可与民政局综合科联系（地址：阎良区凤凰路街道文化西路1号，邮编：710089，电话：029-86202509）。</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一、总体情况</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2019年，民政局以履职尽责督促检查为宗旨，认真执行信息审核发布制度和主动公开及依申请公开办事程序。本局政府信息公开工作运行正常，政府信息公开咨询、申请以及答复工作均得到了顺利的发展。</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（一）主动公开政府信息情况</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1.主动公开的数量：2019年主动公开信息11条。其中与公众密切相关的文件及惠民政策5条；民政动态、财政信息等6条。</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2.主动公开的主要类别情况：主动公开了包括机构职能、政策文件、业务工作、公开年报、财政信息等各类信息。</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3.主动公开的途径：通过阎良区政府门户网站等方式进行公开。</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（二）重点领域政府信息公开工作情况</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公开扶贫和社会救助信息每月1次，共12次，内容是城乡低保及特困供养对象、临时救助对象公示名单。</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（三）抓好“互联网+政务服务”工作情况</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成立民政局“互联网+政务服务”工作领导小组，明确局长为“互联网+政务服务”第一责任人，分管副局长为直接责任人，把“互联网+政务服务”抓好落实。</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（四）建议提案办理结果公开情况</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2019年我局共收到议案、提案11件。主要涉及民生养老、社区治理、基层政权建设、脱贫攻坚等5个方面。全部提案办理均达到“三个100%”，即上会率100%，答复率100%，满意率100%，已全部上报。</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（五）开展政策解读情况</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2019年暂无开展政策解读工作情况。</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（六）政务舆情处置回应情况</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依托区政府网站的留言查看栏目，与公众进行良性互动。对涉及本市民政方面的重要政务舆情、媒体和公众关切的热点问题，都及时给予了回应。全年回应救助、养老、脱贫攻坚方面问题8件，满意率100%。</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（七）依申请公开工作详细情况</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我局未收到依申请公开政府信息。</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（八）信息公开相关举报、复议、诉讼情况</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2019年我局未发生针对本单位有关政府信息公开事务的举报案件；未发生针对本单位有关政府信息公开事务的行政复议案；未发生针对本单位有关政府信息公开事务的行政诉讼案。</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（九）制度机制建设情况</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目前，我局按照市有关要求，结合本单位实际情况，已经建立和实施有关政府信息公开工作制度，确保了本单位政府信息公开工作的顺利开展。一是建立并执行主动公开、申请公开的工作制度；二是建立并执行政府信息公开发布前审查制度；三是建立并执行政府信息发布协调机制。</w:t>
      </w:r>
    </w:p>
    <w:p>
      <w:pPr>
        <w:pStyle w:val="4"/>
        <w:widowControl w:val="0"/>
        <w:spacing w:before="0" w:beforeAutospacing="0" w:after="0" w:afterAutospacing="0" w:line="578" w:lineRule="exact"/>
        <w:ind w:firstLine="482"/>
        <w:rPr>
          <w:rFonts w:ascii="仿宋" w:hAnsi="仿宋" w:eastAsia="仿宋"/>
          <w:b/>
          <w:sz w:val="32"/>
          <w:szCs w:val="32"/>
        </w:rPr>
      </w:pPr>
      <w:r>
        <w:rPr>
          <w:rFonts w:hint="eastAsia" w:ascii="仿宋" w:hAnsi="仿宋" w:eastAsia="仿宋"/>
          <w:b/>
          <w:sz w:val="32"/>
          <w:szCs w:val="32"/>
        </w:rPr>
        <w:t>（10）其他应报告的事项</w:t>
      </w:r>
    </w:p>
    <w:p>
      <w:pPr>
        <w:pStyle w:val="4"/>
        <w:widowControl w:val="0"/>
        <w:spacing w:before="0" w:beforeAutospacing="0" w:after="0" w:afterAutospacing="0" w:line="578" w:lineRule="exact"/>
        <w:ind w:firstLine="482"/>
        <w:rPr>
          <w:rFonts w:ascii="仿宋" w:hAnsi="仿宋" w:eastAsia="仿宋"/>
          <w:sz w:val="32"/>
          <w:szCs w:val="32"/>
        </w:rPr>
      </w:pPr>
      <w:r>
        <w:rPr>
          <w:rFonts w:hint="eastAsia" w:ascii="仿宋" w:hAnsi="仿宋" w:eastAsia="仿宋"/>
          <w:sz w:val="32"/>
          <w:szCs w:val="32"/>
        </w:rPr>
        <w:t>我局暂无其他应报告的事项。</w:t>
      </w:r>
    </w:p>
    <w:p>
      <w:pPr>
        <w:pStyle w:val="4"/>
        <w:spacing w:before="0" w:beforeAutospacing="0" w:after="240" w:afterAutospacing="0" w:line="432" w:lineRule="atLeast"/>
        <w:ind w:firstLine="42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二、主动公开政府信息情况</w:t>
      </w:r>
    </w:p>
    <w:tbl>
      <w:tblPr>
        <w:tblStyle w:val="5"/>
        <w:tblW w:w="8261" w:type="dxa"/>
        <w:jc w:val="center"/>
        <w:tblLayout w:type="fixed"/>
        <w:tblCellMar>
          <w:top w:w="0" w:type="dxa"/>
          <w:left w:w="0" w:type="dxa"/>
          <w:bottom w:w="0" w:type="dxa"/>
          <w:right w:w="0" w:type="dxa"/>
        </w:tblCellMar>
      </w:tblPr>
      <w:tblGrid>
        <w:gridCol w:w="2672"/>
        <w:gridCol w:w="1964"/>
        <w:gridCol w:w="1715"/>
        <w:gridCol w:w="1910"/>
      </w:tblGrid>
      <w:tr>
        <w:tblPrEx>
          <w:tblCellMar>
            <w:top w:w="0" w:type="dxa"/>
            <w:left w:w="0" w:type="dxa"/>
            <w:bottom w:w="0" w:type="dxa"/>
            <w:right w:w="0" w:type="dxa"/>
          </w:tblCellMar>
        </w:tblPrEx>
        <w:trPr>
          <w:trHeight w:val="505" w:hRule="atLeast"/>
          <w:jc w:val="center"/>
        </w:trPr>
        <w:tc>
          <w:tcPr>
            <w:tcW w:w="8261"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第二十条第（一）项</w:t>
            </w:r>
          </w:p>
        </w:tc>
      </w:tr>
      <w:tr>
        <w:tblPrEx>
          <w:tblCellMar>
            <w:top w:w="0" w:type="dxa"/>
            <w:left w:w="0" w:type="dxa"/>
            <w:bottom w:w="0" w:type="dxa"/>
            <w:right w:w="0" w:type="dxa"/>
          </w:tblCellMar>
        </w:tblPrEx>
        <w:trPr>
          <w:trHeight w:val="978"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信息内容</w:t>
            </w:r>
          </w:p>
        </w:tc>
        <w:tc>
          <w:tcPr>
            <w:tcW w:w="1964"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本年新</w:t>
            </w:r>
            <w:r>
              <w:rPr>
                <w:rFonts w:hint="eastAsia" w:ascii="仿宋" w:hAnsi="仿宋" w:eastAsia="仿宋" w:cs="仿宋_GB2312"/>
                <w:color w:val="000000"/>
                <w:kern w:val="0"/>
                <w:sz w:val="24"/>
                <w:szCs w:val="24"/>
              </w:rPr>
              <w:br w:type="textWrapping"/>
            </w:r>
            <w:r>
              <w:rPr>
                <w:rFonts w:hint="eastAsia" w:ascii="仿宋" w:hAnsi="仿宋" w:eastAsia="仿宋" w:cs="仿宋_GB2312"/>
                <w:kern w:val="0"/>
                <w:sz w:val="24"/>
                <w:szCs w:val="24"/>
              </w:rPr>
              <w:t>制作数量</w:t>
            </w:r>
          </w:p>
        </w:tc>
        <w:tc>
          <w:tcPr>
            <w:tcW w:w="171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本年新</w:t>
            </w:r>
            <w:r>
              <w:rPr>
                <w:rFonts w:hint="eastAsia" w:ascii="仿宋" w:hAnsi="仿宋" w:eastAsia="仿宋" w:cs="仿宋_GB2312"/>
                <w:color w:val="000000"/>
                <w:kern w:val="0"/>
                <w:sz w:val="24"/>
                <w:szCs w:val="24"/>
              </w:rPr>
              <w:br w:type="textWrapping"/>
            </w:r>
            <w:r>
              <w:rPr>
                <w:rFonts w:hint="eastAsia" w:ascii="仿宋" w:hAnsi="仿宋" w:eastAsia="仿宋" w:cs="仿宋_GB2312"/>
                <w:kern w:val="0"/>
                <w:sz w:val="24"/>
                <w:szCs w:val="24"/>
              </w:rPr>
              <w:t>公开数量</w:t>
            </w:r>
          </w:p>
        </w:tc>
        <w:tc>
          <w:tcPr>
            <w:tcW w:w="191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对外公开总数量</w:t>
            </w:r>
          </w:p>
        </w:tc>
      </w:tr>
      <w:tr>
        <w:tblPrEx>
          <w:tblCellMar>
            <w:top w:w="0" w:type="dxa"/>
            <w:left w:w="0" w:type="dxa"/>
            <w:bottom w:w="0" w:type="dxa"/>
            <w:right w:w="0" w:type="dxa"/>
          </w:tblCellMar>
        </w:tblPrEx>
        <w:trPr>
          <w:trHeight w:val="493"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规章</w:t>
            </w:r>
          </w:p>
        </w:tc>
        <w:tc>
          <w:tcPr>
            <w:tcW w:w="196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17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191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r>
      <w:tr>
        <w:tblPrEx>
          <w:tblCellMar>
            <w:top w:w="0" w:type="dxa"/>
            <w:left w:w="0" w:type="dxa"/>
            <w:bottom w:w="0" w:type="dxa"/>
            <w:right w:w="0" w:type="dxa"/>
          </w:tblCellMar>
        </w:tblPrEx>
        <w:trPr>
          <w:trHeight w:val="444"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规范性文件</w:t>
            </w:r>
          </w:p>
        </w:tc>
        <w:tc>
          <w:tcPr>
            <w:tcW w:w="196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　0</w:t>
            </w:r>
          </w:p>
        </w:tc>
        <w:tc>
          <w:tcPr>
            <w:tcW w:w="17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 0</w:t>
            </w:r>
          </w:p>
        </w:tc>
        <w:tc>
          <w:tcPr>
            <w:tcW w:w="191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　0</w:t>
            </w:r>
          </w:p>
        </w:tc>
      </w:tr>
      <w:tr>
        <w:tblPrEx>
          <w:tblCellMar>
            <w:top w:w="0" w:type="dxa"/>
            <w:left w:w="0" w:type="dxa"/>
            <w:bottom w:w="0" w:type="dxa"/>
            <w:right w:w="0" w:type="dxa"/>
          </w:tblCellMar>
        </w:tblPrEx>
        <w:trPr>
          <w:trHeight w:val="452" w:hRule="atLeast"/>
          <w:jc w:val="center"/>
        </w:trPr>
        <w:tc>
          <w:tcPr>
            <w:tcW w:w="826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第二十条第（五）项</w:t>
            </w:r>
          </w:p>
        </w:tc>
      </w:tr>
      <w:tr>
        <w:tblPrEx>
          <w:tblCellMar>
            <w:top w:w="0" w:type="dxa"/>
            <w:left w:w="0" w:type="dxa"/>
            <w:bottom w:w="0" w:type="dxa"/>
            <w:right w:w="0" w:type="dxa"/>
          </w:tblCellMar>
        </w:tblPrEx>
        <w:trPr>
          <w:trHeight w:val="977"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信息内容</w:t>
            </w:r>
          </w:p>
        </w:tc>
        <w:tc>
          <w:tcPr>
            <w:tcW w:w="1964"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上一年项目数量</w:t>
            </w:r>
          </w:p>
        </w:tc>
        <w:tc>
          <w:tcPr>
            <w:tcW w:w="171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本年增/减</w:t>
            </w:r>
          </w:p>
        </w:tc>
        <w:tc>
          <w:tcPr>
            <w:tcW w:w="191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处理决定数量</w:t>
            </w:r>
          </w:p>
        </w:tc>
      </w:tr>
      <w:tr>
        <w:tblPrEx>
          <w:tblCellMar>
            <w:top w:w="0" w:type="dxa"/>
            <w:left w:w="0" w:type="dxa"/>
            <w:bottom w:w="0" w:type="dxa"/>
            <w:right w:w="0" w:type="dxa"/>
          </w:tblCellMar>
        </w:tblPrEx>
        <w:trPr>
          <w:trHeight w:val="497"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行政许可</w:t>
            </w:r>
          </w:p>
        </w:tc>
        <w:tc>
          <w:tcPr>
            <w:tcW w:w="196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171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191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r>
      <w:tr>
        <w:tblPrEx>
          <w:tblCellMar>
            <w:top w:w="0" w:type="dxa"/>
            <w:left w:w="0" w:type="dxa"/>
            <w:bottom w:w="0" w:type="dxa"/>
            <w:right w:w="0" w:type="dxa"/>
          </w:tblCellMar>
        </w:tblPrEx>
        <w:trPr>
          <w:trHeight w:val="518"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其他对外管理服务事项</w:t>
            </w:r>
          </w:p>
        </w:tc>
        <w:tc>
          <w:tcPr>
            <w:tcW w:w="196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171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191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r>
      <w:tr>
        <w:tblPrEx>
          <w:tblCellMar>
            <w:top w:w="0" w:type="dxa"/>
            <w:left w:w="0" w:type="dxa"/>
            <w:bottom w:w="0" w:type="dxa"/>
            <w:right w:w="0" w:type="dxa"/>
          </w:tblCellMar>
        </w:tblPrEx>
        <w:trPr>
          <w:trHeight w:val="382" w:hRule="atLeast"/>
          <w:jc w:val="center"/>
        </w:trPr>
        <w:tc>
          <w:tcPr>
            <w:tcW w:w="826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第二十条第（六）项</w:t>
            </w:r>
          </w:p>
        </w:tc>
      </w:tr>
      <w:tr>
        <w:tblPrEx>
          <w:tblCellMar>
            <w:top w:w="0" w:type="dxa"/>
            <w:left w:w="0" w:type="dxa"/>
            <w:bottom w:w="0" w:type="dxa"/>
            <w:right w:w="0" w:type="dxa"/>
          </w:tblCellMar>
        </w:tblPrEx>
        <w:trPr>
          <w:trHeight w:val="597"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信息内容</w:t>
            </w:r>
          </w:p>
        </w:tc>
        <w:tc>
          <w:tcPr>
            <w:tcW w:w="1964"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上一年项目数量</w:t>
            </w:r>
          </w:p>
        </w:tc>
        <w:tc>
          <w:tcPr>
            <w:tcW w:w="171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本年增/减</w:t>
            </w:r>
          </w:p>
        </w:tc>
        <w:tc>
          <w:tcPr>
            <w:tcW w:w="191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处理决定数量</w:t>
            </w:r>
          </w:p>
        </w:tc>
      </w:tr>
      <w:tr>
        <w:tblPrEx>
          <w:tblCellMar>
            <w:top w:w="0" w:type="dxa"/>
            <w:left w:w="0" w:type="dxa"/>
            <w:bottom w:w="0" w:type="dxa"/>
            <w:right w:w="0" w:type="dxa"/>
          </w:tblCellMar>
        </w:tblPrEx>
        <w:trPr>
          <w:trHeight w:val="405"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行政处罚</w:t>
            </w:r>
          </w:p>
        </w:tc>
        <w:tc>
          <w:tcPr>
            <w:tcW w:w="196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171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191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r>
      <w:tr>
        <w:tblPrEx>
          <w:tblCellMar>
            <w:top w:w="0" w:type="dxa"/>
            <w:left w:w="0" w:type="dxa"/>
            <w:bottom w:w="0" w:type="dxa"/>
            <w:right w:w="0" w:type="dxa"/>
          </w:tblCellMar>
        </w:tblPrEx>
        <w:trPr>
          <w:trHeight w:val="385"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行政强制</w:t>
            </w:r>
          </w:p>
        </w:tc>
        <w:tc>
          <w:tcPr>
            <w:tcW w:w="196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171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191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r>
      <w:tr>
        <w:tblPrEx>
          <w:tblCellMar>
            <w:top w:w="0" w:type="dxa"/>
            <w:left w:w="0" w:type="dxa"/>
            <w:bottom w:w="0" w:type="dxa"/>
            <w:right w:w="0" w:type="dxa"/>
          </w:tblCellMar>
        </w:tblPrEx>
        <w:trPr>
          <w:trHeight w:val="446" w:hRule="atLeast"/>
          <w:jc w:val="center"/>
        </w:trPr>
        <w:tc>
          <w:tcPr>
            <w:tcW w:w="826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第二十条第（八）项</w:t>
            </w:r>
          </w:p>
        </w:tc>
      </w:tr>
      <w:tr>
        <w:tblPrEx>
          <w:tblCellMar>
            <w:top w:w="0" w:type="dxa"/>
            <w:left w:w="0" w:type="dxa"/>
            <w:bottom w:w="0" w:type="dxa"/>
            <w:right w:w="0" w:type="dxa"/>
          </w:tblCellMar>
        </w:tblPrEx>
        <w:trPr>
          <w:trHeight w:val="254"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信息内容</w:t>
            </w:r>
          </w:p>
        </w:tc>
        <w:tc>
          <w:tcPr>
            <w:tcW w:w="196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上一年项目数量</w:t>
            </w:r>
          </w:p>
        </w:tc>
        <w:tc>
          <w:tcPr>
            <w:tcW w:w="3625"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本年增/减</w:t>
            </w:r>
          </w:p>
        </w:tc>
      </w:tr>
      <w:tr>
        <w:tblPrEx>
          <w:tblCellMar>
            <w:top w:w="0" w:type="dxa"/>
            <w:left w:w="0" w:type="dxa"/>
            <w:bottom w:w="0" w:type="dxa"/>
            <w:right w:w="0" w:type="dxa"/>
          </w:tblCellMar>
        </w:tblPrEx>
        <w:trPr>
          <w:trHeight w:val="519"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行政事业性收费</w:t>
            </w:r>
          </w:p>
        </w:tc>
        <w:tc>
          <w:tcPr>
            <w:tcW w:w="196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 w:hAnsi="仿宋" w:eastAsia="仿宋" w:cs="仿宋_GB2312"/>
                <w:sz w:val="24"/>
                <w:szCs w:val="24"/>
                <w:lang w:val="en-US" w:eastAsia="zh-CN"/>
              </w:rPr>
            </w:pPr>
            <w:r>
              <w:rPr>
                <w:rFonts w:hint="eastAsia" w:ascii="仿宋" w:hAnsi="仿宋" w:eastAsia="仿宋" w:cs="仿宋_GB2312"/>
                <w:color w:val="000000"/>
                <w:kern w:val="0"/>
                <w:sz w:val="24"/>
                <w:szCs w:val="24"/>
              </w:rPr>
              <w:t>　</w:t>
            </w:r>
            <w:r>
              <w:rPr>
                <w:rFonts w:hint="eastAsia" w:ascii="仿宋" w:hAnsi="仿宋" w:eastAsia="仿宋" w:cs="仿宋_GB2312"/>
                <w:color w:val="000000"/>
                <w:kern w:val="0"/>
                <w:sz w:val="24"/>
                <w:szCs w:val="24"/>
                <w:lang w:val="en-US" w:eastAsia="zh-CN"/>
              </w:rPr>
              <w:t>0</w:t>
            </w:r>
          </w:p>
        </w:tc>
        <w:tc>
          <w:tcPr>
            <w:tcW w:w="3625"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lang w:val="en-US" w:eastAsia="zh-CN"/>
              </w:rPr>
              <w:t>0</w:t>
            </w:r>
            <w:r>
              <w:rPr>
                <w:rFonts w:hint="eastAsia" w:ascii="仿宋" w:hAnsi="仿宋" w:eastAsia="仿宋" w:cs="仿宋_GB2312"/>
                <w:color w:val="000000"/>
                <w:kern w:val="0"/>
                <w:sz w:val="24"/>
                <w:szCs w:val="24"/>
              </w:rPr>
              <w:t> </w:t>
            </w:r>
          </w:p>
        </w:tc>
      </w:tr>
      <w:tr>
        <w:tblPrEx>
          <w:tblCellMar>
            <w:top w:w="0" w:type="dxa"/>
            <w:left w:w="0" w:type="dxa"/>
            <w:bottom w:w="0" w:type="dxa"/>
            <w:right w:w="0" w:type="dxa"/>
          </w:tblCellMar>
        </w:tblPrEx>
        <w:trPr>
          <w:trHeight w:val="448" w:hRule="atLeast"/>
          <w:jc w:val="center"/>
        </w:trPr>
        <w:tc>
          <w:tcPr>
            <w:tcW w:w="826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第二十条第（九）项</w:t>
            </w:r>
          </w:p>
        </w:tc>
      </w:tr>
      <w:tr>
        <w:tblPrEx>
          <w:tblCellMar>
            <w:top w:w="0" w:type="dxa"/>
            <w:left w:w="0" w:type="dxa"/>
            <w:bottom w:w="0" w:type="dxa"/>
            <w:right w:w="0" w:type="dxa"/>
          </w:tblCellMar>
        </w:tblPrEx>
        <w:trPr>
          <w:trHeight w:val="551"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信息内容</w:t>
            </w:r>
          </w:p>
        </w:tc>
        <w:tc>
          <w:tcPr>
            <w:tcW w:w="196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采购项目数量</w:t>
            </w:r>
          </w:p>
        </w:tc>
        <w:tc>
          <w:tcPr>
            <w:tcW w:w="3625"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采购总金额</w:t>
            </w:r>
          </w:p>
        </w:tc>
      </w:tr>
      <w:tr>
        <w:tblPrEx>
          <w:tblCellMar>
            <w:top w:w="0" w:type="dxa"/>
            <w:left w:w="0" w:type="dxa"/>
            <w:bottom w:w="0" w:type="dxa"/>
            <w:right w:w="0" w:type="dxa"/>
          </w:tblCellMar>
        </w:tblPrEx>
        <w:trPr>
          <w:trHeight w:val="508" w:hRule="atLeast"/>
          <w:jc w:val="center"/>
        </w:trPr>
        <w:tc>
          <w:tcPr>
            <w:tcW w:w="267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 w:hAnsi="仿宋" w:eastAsia="仿宋" w:cs="仿宋_GB2312"/>
                <w:sz w:val="24"/>
                <w:szCs w:val="24"/>
              </w:rPr>
            </w:pPr>
            <w:r>
              <w:rPr>
                <w:rFonts w:hint="eastAsia" w:ascii="仿宋" w:hAnsi="仿宋" w:eastAsia="仿宋" w:cs="仿宋_GB2312"/>
                <w:color w:val="000000"/>
                <w:kern w:val="0"/>
                <w:sz w:val="24"/>
                <w:szCs w:val="24"/>
              </w:rPr>
              <w:t>政府集中采购</w:t>
            </w:r>
          </w:p>
        </w:tc>
        <w:tc>
          <w:tcPr>
            <w:tcW w:w="196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 w:hAnsi="仿宋" w:eastAsia="仿宋" w:cs="仿宋_GB2312"/>
                <w:sz w:val="24"/>
                <w:szCs w:val="24"/>
              </w:rPr>
            </w:pPr>
            <w:r>
              <w:rPr>
                <w:rFonts w:hint="eastAsia" w:ascii="仿宋" w:hAnsi="仿宋" w:eastAsia="仿宋" w:cs="仿宋_GB2312"/>
                <w:color w:val="000000"/>
                <w:kern w:val="0"/>
                <w:sz w:val="24"/>
                <w:szCs w:val="24"/>
              </w:rPr>
              <w:t>3</w:t>
            </w:r>
          </w:p>
        </w:tc>
        <w:tc>
          <w:tcPr>
            <w:tcW w:w="3625"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spacing w:line="400" w:lineRule="exact"/>
              <w:jc w:val="center"/>
              <w:rPr>
                <w:rFonts w:ascii="仿宋" w:hAnsi="仿宋" w:eastAsia="仿宋" w:cs="仿宋_GB2312"/>
                <w:sz w:val="24"/>
                <w:szCs w:val="24"/>
              </w:rPr>
            </w:pPr>
            <w:r>
              <w:rPr>
                <w:rFonts w:hint="eastAsia" w:ascii="仿宋" w:hAnsi="仿宋" w:eastAsia="仿宋" w:cs="仿宋_GB2312"/>
                <w:sz w:val="24"/>
                <w:szCs w:val="24"/>
              </w:rPr>
              <w:t>122.88万元</w:t>
            </w:r>
          </w:p>
        </w:tc>
      </w:tr>
    </w:tbl>
    <w:p>
      <w:pPr>
        <w:pStyle w:val="4"/>
        <w:spacing w:before="0" w:beforeAutospacing="0" w:after="240" w:afterAutospacing="0" w:line="432" w:lineRule="atLeast"/>
        <w:ind w:firstLine="42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三、收到和处理政府信息公开申请情况</w:t>
      </w:r>
    </w:p>
    <w:tbl>
      <w:tblPr>
        <w:tblStyle w:val="5"/>
        <w:tblW w:w="888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494"/>
        <w:gridCol w:w="882"/>
        <w:gridCol w:w="3402"/>
        <w:gridCol w:w="616"/>
        <w:gridCol w:w="567"/>
        <w:gridCol w:w="567"/>
        <w:gridCol w:w="518"/>
        <w:gridCol w:w="708"/>
        <w:gridCol w:w="615"/>
        <w:gridCol w:w="5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（本列数据的勾稽关系为：第一项加第二项之和，等于第三项加第四项之和）</w:t>
            </w:r>
          </w:p>
        </w:tc>
        <w:tc>
          <w:tcPr>
            <w:tcW w:w="4110"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616"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自然人</w:t>
            </w:r>
          </w:p>
        </w:tc>
        <w:tc>
          <w:tcPr>
            <w:tcW w:w="297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法人或其他组织</w:t>
            </w:r>
          </w:p>
        </w:tc>
        <w:tc>
          <w:tcPr>
            <w:tcW w:w="51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4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6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商业企业</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科研机构</w:t>
            </w:r>
          </w:p>
        </w:tc>
        <w:tc>
          <w:tcPr>
            <w:tcW w:w="51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社会公益组织</w:t>
            </w:r>
          </w:p>
        </w:tc>
        <w:tc>
          <w:tcPr>
            <w:tcW w:w="70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法律服务机构</w:t>
            </w:r>
          </w:p>
        </w:tc>
        <w:tc>
          <w:tcPr>
            <w:tcW w:w="61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其他</w:t>
            </w:r>
          </w:p>
        </w:tc>
        <w:tc>
          <w:tcPr>
            <w:tcW w:w="51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一.本年新收政府信息公开申请数量</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28" w:hRule="atLeast"/>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二.上年结转政府信息公开申请数量</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0</w:t>
            </w:r>
            <w:r>
              <w:rPr>
                <w:rFonts w:hint="eastAsia" w:ascii="仿宋_GB2312" w:hAnsi="仿宋_GB2312" w:eastAsia="仿宋_GB2312" w:cs="仿宋_GB2312"/>
                <w:kern w:val="0"/>
                <w:sz w:val="24"/>
                <w:szCs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三.本年度办理结果</w:t>
            </w:r>
          </w:p>
        </w:tc>
        <w:tc>
          <w:tcPr>
            <w:tcW w:w="428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（一）予以公开</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0</w:t>
            </w:r>
            <w:r>
              <w:rPr>
                <w:rFonts w:hint="eastAsia" w:ascii="仿宋_GB2312" w:hAnsi="仿宋_GB2312" w:eastAsia="仿宋_GB2312" w:cs="仿宋_GB2312"/>
                <w:kern w:val="0"/>
                <w:sz w:val="24"/>
                <w:szCs w:val="24"/>
              </w:rPr>
              <w:t> </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428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（二）部分公开（区分处理的，只计这一情形，不计其他情形）</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0</w:t>
            </w:r>
            <w:r>
              <w:rPr>
                <w:rFonts w:hint="eastAsia" w:ascii="仿宋_GB2312" w:hAnsi="仿宋_GB2312" w:eastAsia="仿宋_GB2312" w:cs="仿宋_GB2312"/>
                <w:kern w:val="0"/>
                <w:sz w:val="24"/>
                <w:szCs w:val="24"/>
              </w:rPr>
              <w:t> </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0</w:t>
            </w:r>
            <w:r>
              <w:rPr>
                <w:rFonts w:hint="eastAsia" w:ascii="仿宋_GB2312" w:hAnsi="仿宋_GB2312" w:eastAsia="仿宋_GB2312" w:cs="仿宋_GB2312"/>
                <w:kern w:val="0"/>
                <w:sz w:val="24"/>
                <w:szCs w:val="24"/>
              </w:rPr>
              <w:t> </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0</w:t>
            </w:r>
            <w:r>
              <w:rPr>
                <w:rFonts w:hint="eastAsia" w:ascii="仿宋_GB2312" w:hAnsi="仿宋_GB2312" w:eastAsia="仿宋_GB2312" w:cs="仿宋_GB2312"/>
                <w:kern w:val="0"/>
                <w:sz w:val="24"/>
                <w:szCs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0</w:t>
            </w:r>
            <w:r>
              <w:rPr>
                <w:rFonts w:hint="eastAsia" w:ascii="仿宋_GB2312" w:hAnsi="仿宋_GB2312" w:eastAsia="仿宋_GB2312" w:cs="仿宋_GB2312"/>
                <w:kern w:val="0"/>
                <w:sz w:val="24"/>
                <w:szCs w:val="24"/>
              </w:rPr>
              <w:t> </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（三）不予公开</w:t>
            </w: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1.属于国家秘密</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jc w:val="center"/>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2.其他法律行政法规禁止公开</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jc w:val="center"/>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3.危及“三安全一稳定”</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jc w:val="center"/>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4.保护第三方合法权益</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jc w:val="center"/>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5.属于三类内部事务信息</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jc w:val="center"/>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6.属于四类过程性信息</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jc w:val="center"/>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7.属于行政执法案卷</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jc w:val="center"/>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8.属于行政查询事项</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（四）无法提供</w:t>
            </w: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1.本机关不掌握相关政府信息</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2.没有现成信息需要另行制作</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3.补正后申请内容仍不明确</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（五）不予处理</w:t>
            </w: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1.信访举报投诉类申请</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2.重复申请</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3.要求提供公开出版物</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4.无正当理由大量反复申请</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8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34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5.要求行政机关确认或重新出具已获取信息</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428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（六）其他处理</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p>
        </w:tc>
        <w:tc>
          <w:tcPr>
            <w:tcW w:w="428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（七）总计</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四、结转下年度继续办理</w:t>
            </w:r>
          </w:p>
        </w:tc>
        <w:tc>
          <w:tcPr>
            <w:tcW w:w="61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6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c>
          <w:tcPr>
            <w:tcW w:w="519" w:type="dxa"/>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0</w:t>
            </w:r>
          </w:p>
        </w:tc>
      </w:tr>
    </w:tbl>
    <w:p>
      <w:pPr>
        <w:pStyle w:val="4"/>
        <w:spacing w:before="0" w:beforeAutospacing="0" w:after="0" w:afterAutospacing="0" w:line="432" w:lineRule="atLeast"/>
        <w:ind w:firstLine="42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四、政府信息公开行政复议、行政诉讼情况</w:t>
      </w: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pPr>
        <w:pStyle w:val="4"/>
        <w:spacing w:before="0" w:beforeAutospacing="0" w:after="0" w:afterAutospacing="0" w:line="432" w:lineRule="atLeast"/>
        <w:ind w:firstLine="42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五、存在的主要问题及改进情况</w:t>
      </w:r>
    </w:p>
    <w:p>
      <w:pPr>
        <w:pStyle w:val="4"/>
        <w:spacing w:before="0" w:beforeAutospacing="0" w:after="0" w:afterAutospacing="0" w:line="432" w:lineRule="atLeast"/>
        <w:ind w:firstLine="420"/>
        <w:jc w:val="both"/>
        <w:rPr>
          <w:rFonts w:ascii="仿宋_GB2312" w:hAnsi="仿宋_GB2312" w:eastAsia="仿宋_GB2312" w:cs="仿宋_GB2312"/>
          <w:sz w:val="32"/>
          <w:szCs w:val="32"/>
        </w:rPr>
      </w:pPr>
      <w:r>
        <w:rPr>
          <w:rFonts w:hint="eastAsia" w:ascii="仿宋" w:hAnsi="仿宋" w:eastAsia="仿宋"/>
          <w:b/>
          <w:bCs/>
          <w:color w:val="333333"/>
          <w:sz w:val="32"/>
          <w:szCs w:val="32"/>
        </w:rPr>
        <w:t xml:space="preserve"> ㈠工作中存在的主要问题和困难</w:t>
      </w:r>
    </w:p>
    <w:p>
      <w:pPr>
        <w:pStyle w:val="4"/>
        <w:shd w:val="clear" w:color="auto" w:fill="FFFFFF"/>
        <w:spacing w:before="0" w:beforeAutospacing="0" w:after="0" w:afterAutospacing="0" w:line="560" w:lineRule="atLeast"/>
        <w:ind w:firstLine="640"/>
        <w:rPr>
          <w:rFonts w:ascii="仿宋" w:hAnsi="仿宋" w:eastAsia="仿宋"/>
          <w:color w:val="333333"/>
          <w:sz w:val="32"/>
          <w:szCs w:val="32"/>
        </w:rPr>
      </w:pPr>
      <w:r>
        <w:rPr>
          <w:rFonts w:hint="eastAsia" w:ascii="仿宋" w:hAnsi="仿宋" w:eastAsia="仿宋"/>
          <w:color w:val="333333"/>
          <w:sz w:val="32"/>
          <w:szCs w:val="32"/>
        </w:rPr>
        <w:t>2019年，我局的政府信息公开工作从总体来看，运行状况较好，但也存在着有待进一步完善的地方：一是对政府信息公开工作认识有待进一步增强；二是信息公开的内容有待进一步完善；三是信息更新还不够及时。</w:t>
      </w:r>
    </w:p>
    <w:p>
      <w:pPr>
        <w:pStyle w:val="4"/>
        <w:shd w:val="clear" w:color="auto" w:fill="FFFFFF"/>
        <w:spacing w:before="0" w:beforeAutospacing="0" w:after="0" w:afterAutospacing="0" w:line="560" w:lineRule="atLeast"/>
        <w:ind w:firstLine="643"/>
        <w:rPr>
          <w:rFonts w:ascii="仿宋" w:hAnsi="仿宋" w:eastAsia="仿宋"/>
          <w:color w:val="333333"/>
          <w:sz w:val="32"/>
          <w:szCs w:val="32"/>
        </w:rPr>
      </w:pPr>
      <w:r>
        <w:rPr>
          <w:rFonts w:hint="eastAsia" w:ascii="仿宋" w:hAnsi="仿宋" w:eastAsia="仿宋"/>
          <w:b/>
          <w:bCs/>
          <w:color w:val="333333"/>
          <w:sz w:val="32"/>
          <w:szCs w:val="32"/>
        </w:rPr>
        <w:t>㈡解决办法和改进措施</w:t>
      </w:r>
    </w:p>
    <w:p>
      <w:pPr>
        <w:pStyle w:val="4"/>
        <w:shd w:val="clear" w:color="auto" w:fill="FFFFFF"/>
        <w:spacing w:before="0" w:beforeAutospacing="0" w:after="0" w:afterAutospacing="0" w:line="560" w:lineRule="atLeast"/>
        <w:rPr>
          <w:rFonts w:ascii="微软雅黑" w:hAnsi="微软雅黑" w:eastAsia="微软雅黑"/>
          <w:color w:val="333333"/>
          <w:sz w:val="21"/>
          <w:szCs w:val="21"/>
        </w:rPr>
      </w:pPr>
      <w:r>
        <w:rPr>
          <w:rFonts w:hint="eastAsia" w:ascii="仿宋" w:hAnsi="仿宋" w:eastAsia="仿宋"/>
          <w:color w:val="333333"/>
          <w:sz w:val="32"/>
          <w:szCs w:val="32"/>
        </w:rPr>
        <w:t>　　</w:t>
      </w:r>
      <w:r>
        <w:rPr>
          <w:rFonts w:hint="eastAsia" w:ascii="仿宋" w:hAnsi="仿宋" w:eastAsia="仿宋"/>
          <w:color w:val="333333"/>
          <w:sz w:val="32"/>
          <w:szCs w:val="32"/>
        </w:rPr>
        <w:t>针对上述问题，我局将进一步贯彻落实《政府信息公开条例》，继续大力推进政府信息公开工作，重点做好：一是进一步统一思想，提高认识，完善信息公开工作机制，努力形成信息公开工作强大合力；二是认真梳理，逐步扩大信息公开内容。对原有的政府信息公开目录进行补充完善，确保公开信息的完整性和准确性；三是进一步加大政府信息公开力度，把人民群众普遍关心、涉及人民群众切身利益的问题作为重点，依法及时地公开。</w:t>
      </w:r>
    </w:p>
    <w:p>
      <w:pPr>
        <w:pStyle w:val="4"/>
        <w:shd w:val="clear" w:color="auto" w:fill="FFFFFF"/>
        <w:spacing w:before="0" w:beforeAutospacing="0" w:after="0" w:afterAutospacing="0" w:line="560" w:lineRule="atLeast"/>
        <w:rPr>
          <w:rFonts w:ascii="仿宋_GB2312" w:hAnsi="仿宋_GB2312" w:eastAsia="仿宋_GB2312" w:cs="仿宋_GB2312"/>
          <w:sz w:val="32"/>
          <w:szCs w:val="32"/>
        </w:rPr>
      </w:pPr>
      <w:r>
        <w:rPr>
          <w:rFonts w:hint="eastAsia" w:ascii="微软雅黑" w:hAnsi="微软雅黑" w:eastAsia="微软雅黑"/>
          <w:color w:val="333333"/>
          <w:sz w:val="21"/>
          <w:szCs w:val="21"/>
        </w:rPr>
        <w:t>　　　</w:t>
      </w:r>
      <w:r>
        <w:rPr>
          <w:rFonts w:hint="eastAsia" w:ascii="仿宋_GB2312" w:hAnsi="仿宋_GB2312" w:eastAsia="仿宋_GB2312" w:cs="仿宋_GB2312"/>
          <w:b/>
          <w:color w:val="333333"/>
          <w:sz w:val="32"/>
          <w:szCs w:val="32"/>
        </w:rPr>
        <w:t>六、其他需要报告的事项</w:t>
      </w:r>
    </w:p>
    <w:p>
      <w:pPr>
        <w:pStyle w:val="4"/>
        <w:shd w:val="clear" w:color="auto" w:fill="FFFFFF"/>
        <w:spacing w:before="0" w:beforeAutospacing="0" w:after="0" w:afterAutospacing="0" w:line="560" w:lineRule="atLeast"/>
        <w:ind w:firstLine="640"/>
        <w:rPr>
          <w:rFonts w:ascii="仿宋_GB2312" w:hAnsi="微软雅黑" w:eastAsia="仿宋_GB2312"/>
          <w:color w:val="333333"/>
          <w:sz w:val="32"/>
          <w:szCs w:val="32"/>
        </w:rPr>
      </w:pPr>
      <w:r>
        <w:rPr>
          <w:rFonts w:hint="eastAsia" w:ascii="仿宋_GB2312" w:hAnsi="微软雅黑" w:eastAsia="仿宋_GB2312"/>
          <w:color w:val="333333"/>
          <w:sz w:val="32"/>
          <w:szCs w:val="32"/>
        </w:rPr>
        <w:t>本单位主动公开是指向社会公开的政府信息及网上或其他形式公开的政府信息。</w:t>
      </w:r>
    </w:p>
    <w:p>
      <w:pPr>
        <w:pStyle w:val="4"/>
        <w:shd w:val="clear" w:color="auto" w:fill="FFFFFF"/>
        <w:spacing w:before="0" w:beforeAutospacing="0" w:after="0" w:afterAutospacing="0" w:line="560" w:lineRule="atLeast"/>
        <w:ind w:firstLine="640"/>
        <w:rPr>
          <w:rFonts w:ascii="仿宋_GB2312" w:hAnsi="微软雅黑" w:eastAsia="仿宋_GB2312"/>
          <w:color w:val="333333"/>
          <w:sz w:val="32"/>
          <w:szCs w:val="32"/>
        </w:rPr>
      </w:pPr>
    </w:p>
    <w:p>
      <w:pPr>
        <w:pStyle w:val="4"/>
        <w:shd w:val="clear" w:color="auto" w:fill="FFFFFF"/>
        <w:spacing w:before="0" w:beforeAutospacing="0" w:after="0" w:afterAutospacing="0" w:line="560" w:lineRule="atLeast"/>
        <w:ind w:firstLine="640"/>
        <w:rPr>
          <w:rFonts w:ascii="仿宋_GB2312" w:hAnsi="微软雅黑" w:eastAsia="仿宋_GB2312"/>
          <w:color w:val="333333"/>
          <w:sz w:val="32"/>
          <w:szCs w:val="32"/>
        </w:rPr>
      </w:pPr>
    </w:p>
    <w:p>
      <w:pPr>
        <w:pStyle w:val="4"/>
        <w:shd w:val="clear" w:color="auto" w:fill="FFFFFF"/>
        <w:spacing w:before="0" w:beforeAutospacing="0" w:after="0" w:afterAutospacing="0" w:line="560" w:lineRule="atLeast"/>
        <w:ind w:firstLine="640"/>
        <w:rPr>
          <w:rFonts w:ascii="微软雅黑" w:hAnsi="微软雅黑" w:eastAsia="微软雅黑"/>
          <w:color w:val="333333"/>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5219786"/>
      <w:docPartObj>
        <w:docPartGallery w:val="AutoText"/>
      </w:docPartObj>
    </w:sdtPr>
    <w:sdtContent>
      <w:p>
        <w:pPr>
          <w:pStyle w:val="2"/>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97977"/>
    <w:rsid w:val="000B4358"/>
    <w:rsid w:val="00197977"/>
    <w:rsid w:val="001E13E5"/>
    <w:rsid w:val="00221916"/>
    <w:rsid w:val="00354C8C"/>
    <w:rsid w:val="004C222A"/>
    <w:rsid w:val="004E4786"/>
    <w:rsid w:val="00513F30"/>
    <w:rsid w:val="00514C63"/>
    <w:rsid w:val="005943AF"/>
    <w:rsid w:val="005F0DEF"/>
    <w:rsid w:val="0060739E"/>
    <w:rsid w:val="0074479F"/>
    <w:rsid w:val="00762BBA"/>
    <w:rsid w:val="007A3B05"/>
    <w:rsid w:val="007D0516"/>
    <w:rsid w:val="008104A5"/>
    <w:rsid w:val="008967B9"/>
    <w:rsid w:val="008B72DF"/>
    <w:rsid w:val="008D411D"/>
    <w:rsid w:val="0097454F"/>
    <w:rsid w:val="009A7B86"/>
    <w:rsid w:val="009E6880"/>
    <w:rsid w:val="00BF069A"/>
    <w:rsid w:val="00C121B4"/>
    <w:rsid w:val="00C64D6C"/>
    <w:rsid w:val="00D46743"/>
    <w:rsid w:val="00D56A4A"/>
    <w:rsid w:val="00E35942"/>
    <w:rsid w:val="00E948CD"/>
    <w:rsid w:val="00EF66C3"/>
    <w:rsid w:val="00FA44F9"/>
    <w:rsid w:val="26063D23"/>
    <w:rsid w:val="5BA513DF"/>
    <w:rsid w:val="656F0764"/>
    <w:rsid w:val="78250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semiHidden/>
    <w:unhideWhenUsed/>
    <w:uiPriority w:val="99"/>
    <w:rPr>
      <w:color w:val="0000FF"/>
      <w:u w:val="single"/>
    </w:rPr>
  </w:style>
  <w:style w:type="character" w:customStyle="1" w:styleId="8">
    <w:name w:val="页眉 Char"/>
    <w:basedOn w:val="6"/>
    <w:link w:val="3"/>
    <w:semiHidden/>
    <w:uiPriority w:val="99"/>
    <w:rPr>
      <w:sz w:val="18"/>
      <w:szCs w:val="18"/>
    </w:rPr>
  </w:style>
  <w:style w:type="character" w:customStyle="1" w:styleId="9">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Company>
  <Pages>7</Pages>
  <Words>459</Words>
  <Characters>2619</Characters>
  <Lines>21</Lines>
  <Paragraphs>6</Paragraphs>
  <TotalTime>1</TotalTime>
  <ScaleCrop>false</ScaleCrop>
  <LinksUpToDate>false</LinksUpToDate>
  <CharactersWithSpaces>3072</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2020-01-09T06:24:00Z</dcterms:created>
  <dc:creator>Sky</dc:creator>
  <cp:lastModifiedBy>zjn</cp:lastModifiedBy>
  <cp:lastPrinted>2020-01-21T06:05:00Z</cp:lastPrinted>
  <dcterms:modified xsi:type="dcterms:W3CDTF">2020-01-21T06:37:12Z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