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6"/>
        <w:widowControl/>
        <w:spacing w:before="0" w:beforeAutospacing="0" w:after="0" w:afterAutospacing="0" w:line="560" w:lineRule="exact"/>
        <w:jc w:val="center"/>
        <w:rPr>
          <w:rFonts w:ascii="方正小标宋简体" w:hAnsi="仿宋_GB2312" w:eastAsia="方正小标宋简体" w:cs="仿宋_GB2312"/>
          <w:color w:val="333333"/>
          <w:sz w:val="44"/>
          <w:szCs w:val="44"/>
        </w:rPr>
      </w:pPr>
      <w:bookmarkStart w:id="0" w:name="_GoBack"/>
      <w:r>
        <w:rPr>
          <w:rFonts w:hint="eastAsia" w:ascii="方正小标宋简体" w:hAnsi="仿宋_GB2312" w:eastAsia="方正小标宋简体" w:cs="仿宋_GB2312"/>
          <w:color w:val="333333"/>
          <w:sz w:val="44"/>
          <w:szCs w:val="44"/>
        </w:rPr>
        <w:t>西安市阎良区医疗保障局</w:t>
      </w:r>
    </w:p>
    <w:p>
      <w:pPr>
        <w:pStyle w:val="6"/>
        <w:widowControl/>
        <w:spacing w:before="0" w:beforeAutospacing="0" w:after="0" w:afterAutospacing="0" w:line="560" w:lineRule="exact"/>
        <w:jc w:val="center"/>
        <w:rPr>
          <w:rFonts w:ascii="方正小标宋简体" w:hAnsi="仿宋_GB2312" w:eastAsia="方正小标宋简体" w:cs="仿宋_GB2312"/>
          <w:color w:val="333333"/>
          <w:sz w:val="44"/>
          <w:szCs w:val="44"/>
        </w:rPr>
      </w:pPr>
      <w:r>
        <w:rPr>
          <w:rFonts w:hint="eastAsia" w:ascii="方正小标宋简体" w:hAnsi="仿宋_GB2312" w:eastAsia="方正小标宋简体" w:cs="仿宋_GB2312"/>
          <w:color w:val="333333"/>
          <w:sz w:val="44"/>
          <w:szCs w:val="44"/>
        </w:rPr>
        <w:t>2019年政府信息公开工作年度报告</w:t>
      </w:r>
    </w:p>
    <w:bookmarkEnd w:id="0"/>
    <w:p>
      <w:pPr>
        <w:pStyle w:val="6"/>
        <w:widowControl/>
        <w:spacing w:before="0" w:beforeAutospacing="0" w:after="0" w:afterAutospacing="0" w:line="560" w:lineRule="exact"/>
        <w:ind w:firstLine="420"/>
        <w:jc w:val="center"/>
        <w:rPr>
          <w:rFonts w:ascii="方正小标宋简体" w:hAnsi="仿宋_GB2312" w:eastAsia="方正小标宋简体" w:cs="仿宋_GB2312"/>
          <w:color w:val="333333"/>
          <w:sz w:val="44"/>
          <w:szCs w:val="44"/>
        </w:rPr>
      </w:pPr>
    </w:p>
    <w:p>
      <w:pPr>
        <w:pStyle w:val="6"/>
        <w:widowControl/>
        <w:spacing w:before="0" w:beforeAutospacing="0" w:after="0" w:afterAutospacing="0" w:line="560" w:lineRule="exact"/>
        <w:ind w:firstLine="640" w:firstLineChars="200"/>
        <w:rPr>
          <w:rFonts w:hint="eastAsia" w:ascii="黑体" w:hAnsi="黑体" w:eastAsia="黑体" w:cs="仿宋_GB2312"/>
          <w:color w:val="333333"/>
          <w:sz w:val="32"/>
          <w:szCs w:val="32"/>
        </w:rPr>
      </w:pPr>
      <w:r>
        <w:rPr>
          <w:rFonts w:hint="eastAsia" w:ascii="黑体" w:hAnsi="黑体" w:eastAsia="黑体" w:cs="仿宋_GB2312"/>
          <w:color w:val="333333"/>
          <w:sz w:val="32"/>
          <w:szCs w:val="32"/>
        </w:rPr>
        <w:t>一、总体情况</w:t>
      </w:r>
    </w:p>
    <w:p>
      <w:pPr>
        <w:tabs>
          <w:tab w:val="left" w:pos="8460"/>
        </w:tabs>
        <w:spacing w:line="56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color w:val="333333"/>
          <w:sz w:val="32"/>
          <w:szCs w:val="32"/>
        </w:rPr>
        <w:t>根据《中华人民共和国政府信息公开条例》（以下简称《条例》）相关规定，现发布阎良区医疗保障局2019年政府信息公开工作年度报告。本报告包括主动公开政府信息情况、收到和处理政府信息公开申请情况、政府信息公开行政复议、行政诉讼情况、存在主要问题及改进情况、其他需要报告的事项。本报告所列统计数据的期限自2019年3月</w:t>
      </w:r>
      <w:r>
        <w:rPr>
          <w:rFonts w:ascii="仿宋_GB2312" w:eastAsia="仿宋_GB2312"/>
          <w:color w:val="333333"/>
          <w:sz w:val="32"/>
          <w:szCs w:val="32"/>
        </w:rPr>
        <w:t>1</w:t>
      </w:r>
      <w:r>
        <w:rPr>
          <w:rFonts w:hint="eastAsia" w:ascii="仿宋_GB2312" w:eastAsia="仿宋_GB2312"/>
          <w:color w:val="333333"/>
          <w:sz w:val="32"/>
          <w:szCs w:val="32"/>
        </w:rPr>
        <w:t>日起，至2019年12月31日止。</w:t>
      </w:r>
      <w:r>
        <w:rPr>
          <w:rFonts w:hint="eastAsia" w:ascii="仿宋_GB2312" w:eastAsia="仿宋_GB2312"/>
          <w:sz w:val="32"/>
          <w:szCs w:val="32"/>
        </w:rPr>
        <w:t>全年主动公开信息数</w:t>
      </w:r>
      <w:r>
        <w:rPr>
          <w:rFonts w:ascii="仿宋_GB2312" w:eastAsia="仿宋_GB2312"/>
          <w:sz w:val="32"/>
          <w:szCs w:val="32"/>
        </w:rPr>
        <w:t>23</w:t>
      </w:r>
      <w:r>
        <w:rPr>
          <w:rFonts w:hint="eastAsia" w:ascii="仿宋_GB2312" w:eastAsia="仿宋_GB2312"/>
          <w:sz w:val="32"/>
          <w:szCs w:val="32"/>
        </w:rPr>
        <w:t>条，没有收到和处理政府信息公开申请、政府信息公开行政复议、行政诉讼等情况。</w:t>
      </w:r>
    </w:p>
    <w:p>
      <w:pPr>
        <w:pStyle w:val="6"/>
        <w:widowControl/>
        <w:spacing w:before="0" w:beforeAutospacing="0" w:after="240" w:afterAutospacing="0" w:line="432" w:lineRule="atLeast"/>
        <w:ind w:firstLine="640" w:firstLineChars="200"/>
        <w:rPr>
          <w:rFonts w:ascii="黑体" w:hAnsi="黑体" w:eastAsia="黑体" w:cs="仿宋_GB2312"/>
          <w:sz w:val="32"/>
          <w:szCs w:val="32"/>
        </w:rPr>
      </w:pPr>
      <w:r>
        <w:rPr>
          <w:rFonts w:hint="eastAsia" w:ascii="黑体" w:hAnsi="黑体" w:eastAsia="黑体" w:cs="仿宋_GB2312"/>
          <w:color w:val="333333"/>
          <w:sz w:val="32"/>
          <w:szCs w:val="32"/>
        </w:rPr>
        <w:t>二、主动公开政府信息情况</w:t>
      </w:r>
    </w:p>
    <w:tbl>
      <w:tblPr>
        <w:tblStyle w:val="7"/>
        <w:tblW w:w="8140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490"/>
        <w:gridCol w:w="2079"/>
        <w:gridCol w:w="1690"/>
        <w:gridCol w:w="1881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8140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40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第二十条第（一）项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1" w:hRule="atLeast"/>
        </w:trPr>
        <w:tc>
          <w:tcPr>
            <w:tcW w:w="24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40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信息内容</w:t>
            </w:r>
          </w:p>
        </w:tc>
        <w:tc>
          <w:tcPr>
            <w:tcW w:w="207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40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本年新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制作数量</w:t>
            </w:r>
          </w:p>
        </w:tc>
        <w:tc>
          <w:tcPr>
            <w:tcW w:w="169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40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本年新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公开数量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40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对外公开总数量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3" w:hRule="atLeast"/>
        </w:trPr>
        <w:tc>
          <w:tcPr>
            <w:tcW w:w="24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40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规章</w:t>
            </w:r>
          </w:p>
        </w:tc>
        <w:tc>
          <w:tcPr>
            <w:tcW w:w="2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40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16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40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40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1" w:hRule="atLeast"/>
        </w:trPr>
        <w:tc>
          <w:tcPr>
            <w:tcW w:w="24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40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规范性文件</w:t>
            </w:r>
          </w:p>
        </w:tc>
        <w:tc>
          <w:tcPr>
            <w:tcW w:w="2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40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16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40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40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814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40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第二十条第（五）项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37" w:hRule="atLeast"/>
        </w:trPr>
        <w:tc>
          <w:tcPr>
            <w:tcW w:w="24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40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信息内容</w:t>
            </w:r>
          </w:p>
        </w:tc>
        <w:tc>
          <w:tcPr>
            <w:tcW w:w="207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40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上一年项目数量</w:t>
            </w:r>
          </w:p>
        </w:tc>
        <w:tc>
          <w:tcPr>
            <w:tcW w:w="169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40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本年增/减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40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处理决定数量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8" w:hRule="atLeast"/>
        </w:trPr>
        <w:tc>
          <w:tcPr>
            <w:tcW w:w="24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40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行政许可</w:t>
            </w:r>
          </w:p>
        </w:tc>
        <w:tc>
          <w:tcPr>
            <w:tcW w:w="2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40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16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40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40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0" w:hRule="atLeast"/>
        </w:trPr>
        <w:tc>
          <w:tcPr>
            <w:tcW w:w="24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40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其他对外管理服务事项</w:t>
            </w:r>
          </w:p>
        </w:tc>
        <w:tc>
          <w:tcPr>
            <w:tcW w:w="2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40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16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40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40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6" w:hRule="atLeast"/>
        </w:trPr>
        <w:tc>
          <w:tcPr>
            <w:tcW w:w="814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40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第二十条第（六）项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4" w:hRule="atLeast"/>
        </w:trPr>
        <w:tc>
          <w:tcPr>
            <w:tcW w:w="24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40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信息内容</w:t>
            </w:r>
          </w:p>
        </w:tc>
        <w:tc>
          <w:tcPr>
            <w:tcW w:w="207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40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上一年项目数量</w:t>
            </w:r>
          </w:p>
        </w:tc>
        <w:tc>
          <w:tcPr>
            <w:tcW w:w="169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40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本年增/减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40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处理决定数量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0" w:hRule="atLeast"/>
        </w:trPr>
        <w:tc>
          <w:tcPr>
            <w:tcW w:w="24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40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行政处罚</w:t>
            </w:r>
          </w:p>
        </w:tc>
        <w:tc>
          <w:tcPr>
            <w:tcW w:w="2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40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16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40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40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31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9" w:hRule="atLeast"/>
        </w:trPr>
        <w:tc>
          <w:tcPr>
            <w:tcW w:w="24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40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行政强制</w:t>
            </w:r>
          </w:p>
        </w:tc>
        <w:tc>
          <w:tcPr>
            <w:tcW w:w="2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40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16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40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40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814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40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第二十条第（八）项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24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40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信息内容</w:t>
            </w:r>
          </w:p>
        </w:tc>
        <w:tc>
          <w:tcPr>
            <w:tcW w:w="2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40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上一年项目数量</w:t>
            </w:r>
          </w:p>
        </w:tc>
        <w:tc>
          <w:tcPr>
            <w:tcW w:w="3571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40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本年增/减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atLeast"/>
        </w:trPr>
        <w:tc>
          <w:tcPr>
            <w:tcW w:w="24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40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行政事业性收费</w:t>
            </w:r>
          </w:p>
        </w:tc>
        <w:tc>
          <w:tcPr>
            <w:tcW w:w="2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40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3571" w:type="dxa"/>
            <w:gridSpan w:val="2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40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</w:trPr>
        <w:tc>
          <w:tcPr>
            <w:tcW w:w="814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40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第二十条第（九）项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</w:trPr>
        <w:tc>
          <w:tcPr>
            <w:tcW w:w="24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40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信息内容</w:t>
            </w:r>
          </w:p>
        </w:tc>
        <w:tc>
          <w:tcPr>
            <w:tcW w:w="2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40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采购项目数量</w:t>
            </w:r>
          </w:p>
        </w:tc>
        <w:tc>
          <w:tcPr>
            <w:tcW w:w="3571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40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采购总金额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atLeast"/>
        </w:trPr>
        <w:tc>
          <w:tcPr>
            <w:tcW w:w="24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40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政府集中采购</w:t>
            </w:r>
          </w:p>
        </w:tc>
        <w:tc>
          <w:tcPr>
            <w:tcW w:w="2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40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</w:t>
            </w:r>
          </w:p>
        </w:tc>
        <w:tc>
          <w:tcPr>
            <w:tcW w:w="3571" w:type="dxa"/>
            <w:gridSpan w:val="2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</w:t>
            </w:r>
          </w:p>
        </w:tc>
      </w:tr>
    </w:tbl>
    <w:p>
      <w:pPr>
        <w:pStyle w:val="6"/>
        <w:widowControl/>
        <w:spacing w:before="0" w:beforeAutospacing="0" w:after="240" w:afterAutospacing="0" w:line="432" w:lineRule="atLeast"/>
        <w:ind w:firstLine="640" w:firstLineChars="200"/>
        <w:rPr>
          <w:rFonts w:ascii="黑体" w:hAnsi="黑体" w:eastAsia="黑体" w:cs="仿宋_GB2312"/>
          <w:sz w:val="32"/>
          <w:szCs w:val="32"/>
        </w:rPr>
      </w:pPr>
      <w:r>
        <w:rPr>
          <w:rFonts w:hint="eastAsia" w:ascii="黑体" w:hAnsi="黑体" w:eastAsia="黑体" w:cs="仿宋_GB2312"/>
          <w:color w:val="333333"/>
          <w:sz w:val="32"/>
          <w:szCs w:val="32"/>
        </w:rPr>
        <w:t>三、收到和处理政府信息公开申请情况</w:t>
      </w:r>
    </w:p>
    <w:tbl>
      <w:tblPr>
        <w:tblStyle w:val="7"/>
        <w:tblW w:w="9071" w:type="dxa"/>
        <w:tblInd w:w="0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94"/>
        <w:gridCol w:w="855"/>
        <w:gridCol w:w="2130"/>
        <w:gridCol w:w="825"/>
        <w:gridCol w:w="765"/>
        <w:gridCol w:w="765"/>
        <w:gridCol w:w="825"/>
        <w:gridCol w:w="990"/>
        <w:gridCol w:w="720"/>
        <w:gridCol w:w="702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479" w:type="dxa"/>
            <w:gridSpan w:val="3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（本列数据的勾稽关系为：第一项加第二项之和，等于第三项加第四项之和）</w:t>
            </w:r>
          </w:p>
        </w:tc>
        <w:tc>
          <w:tcPr>
            <w:tcW w:w="5592" w:type="dxa"/>
            <w:gridSpan w:val="7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申请人情况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479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825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自然人</w:t>
            </w:r>
          </w:p>
        </w:tc>
        <w:tc>
          <w:tcPr>
            <w:tcW w:w="4065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法人或其他组织</w:t>
            </w:r>
          </w:p>
        </w:tc>
        <w:tc>
          <w:tcPr>
            <w:tcW w:w="702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总计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71" w:hRule="atLeast"/>
        </w:trPr>
        <w:tc>
          <w:tcPr>
            <w:tcW w:w="3479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82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商业企业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科研机构</w:t>
            </w:r>
          </w:p>
        </w:tc>
        <w:tc>
          <w:tcPr>
            <w:tcW w:w="82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社会公益组织</w:t>
            </w:r>
          </w:p>
        </w:tc>
        <w:tc>
          <w:tcPr>
            <w:tcW w:w="99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法律服务机构</w:t>
            </w:r>
          </w:p>
        </w:tc>
        <w:tc>
          <w:tcPr>
            <w:tcW w:w="72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其他</w:t>
            </w:r>
          </w:p>
        </w:tc>
        <w:tc>
          <w:tcPr>
            <w:tcW w:w="702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479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一、本年新收政府信息公开申请数量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479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二、上年结转政府信息公开申请数量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4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三、本年度办理结果</w:t>
            </w:r>
          </w:p>
        </w:tc>
        <w:tc>
          <w:tcPr>
            <w:tcW w:w="298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（一）予以公开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70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4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298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（二）部分公开（区分处理的，只计这一情形，不计其他情形）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4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855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（三）不予公开</w:t>
            </w:r>
          </w:p>
        </w:tc>
        <w:tc>
          <w:tcPr>
            <w:tcW w:w="21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1.属于国家秘密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70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4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2.其他法律行政法规禁止公开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4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3.危及“三安全一稳定”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4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4.保护第三方合法权益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4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5.属于三类内部事务信息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4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6.属于四类过程性信息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4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7.属于行政执法案卷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4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8.属于行政查询事项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4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855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（四）无法提供</w:t>
            </w:r>
          </w:p>
        </w:tc>
        <w:tc>
          <w:tcPr>
            <w:tcW w:w="21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1.本机关不掌握相关政府信息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4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2.没有现成信息需要另行制作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4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3.补正后申请内容仍不明确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4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855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（五）不予处理</w:t>
            </w:r>
          </w:p>
        </w:tc>
        <w:tc>
          <w:tcPr>
            <w:tcW w:w="21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1.信访举报投诉类申请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4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2.重复申请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4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3.要求提供公开出版物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4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4.无正当理由大量反复申请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4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5.要求行政机关确认或重新出具已获取信息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4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298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（六）其他处理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4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298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（七）总计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479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四、结转下年度继续办理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</w:t>
            </w:r>
          </w:p>
        </w:tc>
      </w:tr>
    </w:tbl>
    <w:p>
      <w:pPr>
        <w:pStyle w:val="6"/>
        <w:widowControl/>
        <w:spacing w:before="0" w:beforeAutospacing="0" w:after="0" w:afterAutospacing="0" w:line="432" w:lineRule="atLeast"/>
        <w:ind w:firstLine="640" w:firstLineChars="200"/>
        <w:rPr>
          <w:rFonts w:ascii="黑体" w:hAnsi="黑体" w:eastAsia="黑体" w:cs="仿宋_GB2312"/>
          <w:sz w:val="32"/>
          <w:szCs w:val="32"/>
        </w:rPr>
      </w:pPr>
      <w:r>
        <w:rPr>
          <w:rFonts w:hint="eastAsia" w:ascii="黑体" w:hAnsi="黑体" w:eastAsia="黑体" w:cs="仿宋_GB2312"/>
          <w:color w:val="333333"/>
          <w:sz w:val="32"/>
          <w:szCs w:val="32"/>
        </w:rPr>
        <w:t>四、政府信息公开行政复议、行政诉讼情况</w:t>
      </w:r>
    </w:p>
    <w:tbl>
      <w:tblPr>
        <w:tblStyle w:val="7"/>
        <w:tblW w:w="9071" w:type="dxa"/>
        <w:tblInd w:w="0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04"/>
        <w:gridCol w:w="604"/>
        <w:gridCol w:w="604"/>
        <w:gridCol w:w="604"/>
        <w:gridCol w:w="658"/>
        <w:gridCol w:w="550"/>
        <w:gridCol w:w="605"/>
        <w:gridCol w:w="605"/>
        <w:gridCol w:w="605"/>
        <w:gridCol w:w="605"/>
        <w:gridCol w:w="605"/>
        <w:gridCol w:w="605"/>
        <w:gridCol w:w="605"/>
        <w:gridCol w:w="606"/>
        <w:gridCol w:w="606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074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行政复议</w:t>
            </w:r>
          </w:p>
        </w:tc>
        <w:tc>
          <w:tcPr>
            <w:tcW w:w="5997" w:type="dxa"/>
            <w:gridSpan w:val="10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行政诉讼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04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结果维持</w:t>
            </w:r>
          </w:p>
        </w:tc>
        <w:tc>
          <w:tcPr>
            <w:tcW w:w="604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结果纠正</w:t>
            </w:r>
          </w:p>
        </w:tc>
        <w:tc>
          <w:tcPr>
            <w:tcW w:w="604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其他结果</w:t>
            </w:r>
          </w:p>
        </w:tc>
        <w:tc>
          <w:tcPr>
            <w:tcW w:w="604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尚未审结</w:t>
            </w:r>
          </w:p>
        </w:tc>
        <w:tc>
          <w:tcPr>
            <w:tcW w:w="658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总计</w:t>
            </w:r>
          </w:p>
        </w:tc>
        <w:tc>
          <w:tcPr>
            <w:tcW w:w="2970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未经复议直接起诉</w:t>
            </w:r>
          </w:p>
        </w:tc>
        <w:tc>
          <w:tcPr>
            <w:tcW w:w="3027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复议后起诉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04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60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604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604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658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5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结果维持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结果纠正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其他结果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尚未审结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总计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结果维持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结果纠正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其他结果</w:t>
            </w:r>
          </w:p>
        </w:tc>
        <w:tc>
          <w:tcPr>
            <w:tcW w:w="60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尚未审结</w:t>
            </w:r>
          </w:p>
        </w:tc>
        <w:tc>
          <w:tcPr>
            <w:tcW w:w="60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总计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0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6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6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6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6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5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6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6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</w:t>
            </w:r>
          </w:p>
        </w:tc>
      </w:tr>
    </w:tbl>
    <w:p>
      <w:pPr>
        <w:pStyle w:val="11"/>
        <w:shd w:val="clear" w:color="auto" w:fill="FFFFFF"/>
        <w:spacing w:before="0" w:beforeAutospacing="0" w:after="0" w:afterAutospacing="0" w:line="560" w:lineRule="exact"/>
        <w:ind w:firstLine="640" w:firstLineChars="200"/>
        <w:jc w:val="both"/>
        <w:rPr>
          <w:rFonts w:ascii="黑体" w:hAnsi="黑体" w:eastAsia="黑体"/>
          <w:color w:val="333333"/>
          <w:sz w:val="32"/>
          <w:szCs w:val="32"/>
        </w:rPr>
      </w:pPr>
      <w:r>
        <w:rPr>
          <w:rFonts w:hint="eastAsia" w:ascii="黑体" w:hAnsi="黑体" w:eastAsia="黑体"/>
          <w:color w:val="333333"/>
          <w:sz w:val="32"/>
          <w:szCs w:val="32"/>
        </w:rPr>
        <w:t>五、政府信息公开工作存在的主要问题及改进情况</w:t>
      </w:r>
    </w:p>
    <w:p>
      <w:pPr>
        <w:spacing w:line="560" w:lineRule="exact"/>
        <w:ind w:firstLine="643" w:firstLineChars="200"/>
        <w:rPr>
          <w:rFonts w:ascii="黑体" w:hAnsi="黑体" w:eastAsia="黑体" w:cs="黑体"/>
          <w:sz w:val="32"/>
          <w:szCs w:val="32"/>
        </w:rPr>
      </w:pPr>
      <w:r>
        <w:rPr>
          <w:rFonts w:hint="eastAsia" w:ascii="仿宋_GB2312" w:hAnsi="黑体" w:eastAsia="仿宋_GB2312" w:cs="黑体"/>
          <w:b/>
          <w:sz w:val="32"/>
          <w:szCs w:val="32"/>
        </w:rPr>
        <w:t>存在问题：</w:t>
      </w:r>
      <w:r>
        <w:rPr>
          <w:rFonts w:hint="eastAsia" w:ascii="仿宋_GB2312" w:eastAsia="仿宋_GB2312"/>
          <w:color w:val="333333"/>
          <w:sz w:val="32"/>
          <w:szCs w:val="32"/>
          <w:shd w:val="clear" w:color="auto" w:fill="FFFFFF"/>
        </w:rPr>
        <w:t>一是公开的部分内容不够丰富；二是信息更新还不够及时高效；三是政务公开工作还不够深入。</w:t>
      </w:r>
    </w:p>
    <w:p>
      <w:pPr>
        <w:spacing w:line="560" w:lineRule="exact"/>
        <w:ind w:firstLine="643" w:firstLineChars="200"/>
        <w:rPr>
          <w:rFonts w:ascii="仿宋_GB2312" w:eastAsia="仿宋_GB2312"/>
          <w:color w:val="333333"/>
          <w:sz w:val="32"/>
          <w:szCs w:val="32"/>
          <w:shd w:val="clear" w:color="auto" w:fill="FFFFFF"/>
        </w:rPr>
      </w:pPr>
      <w:r>
        <w:rPr>
          <w:rFonts w:hint="eastAsia" w:ascii="仿宋_GB2312" w:hAnsi="黑体" w:eastAsia="仿宋_GB2312" w:cs="仿宋_GB2312"/>
          <w:b/>
          <w:bCs/>
          <w:sz w:val="32"/>
          <w:szCs w:val="32"/>
        </w:rPr>
        <w:t>改进情况：</w:t>
      </w:r>
      <w:r>
        <w:rPr>
          <w:rFonts w:hint="eastAsia" w:ascii="仿宋_GB2312" w:hAnsi="楷体" w:eastAsia="仿宋_GB2312"/>
          <w:b/>
          <w:color w:val="333333"/>
          <w:sz w:val="32"/>
          <w:szCs w:val="32"/>
          <w:shd w:val="clear" w:color="auto" w:fill="FFFFFF"/>
        </w:rPr>
        <w:t>一是完善管理制度，明确工作任务</w:t>
      </w:r>
      <w:r>
        <w:rPr>
          <w:rFonts w:hint="eastAsia" w:ascii="仿宋_GB2312" w:hAnsi="楷体" w:eastAsia="仿宋_GB2312"/>
          <w:color w:val="333333"/>
          <w:sz w:val="32"/>
          <w:szCs w:val="32"/>
          <w:shd w:val="clear" w:color="auto" w:fill="FFFFFF"/>
        </w:rPr>
        <w:t>。</w:t>
      </w:r>
      <w:r>
        <w:rPr>
          <w:rFonts w:hint="eastAsia" w:ascii="仿宋_GB2312" w:eastAsia="仿宋_GB2312"/>
          <w:color w:val="333333"/>
          <w:sz w:val="32"/>
          <w:szCs w:val="32"/>
          <w:shd w:val="clear" w:color="auto" w:fill="FFFFFF"/>
        </w:rPr>
        <w:t>进一步完善政务公开管理体制，规范部门内部公开，进一步推进政务公开和办事公开工作。进一步完善相关制度机制，使部门信息与政务公开工作得到进一步规范。</w:t>
      </w:r>
      <w:r>
        <w:rPr>
          <w:rFonts w:hint="eastAsia" w:ascii="仿宋_GB2312" w:eastAsia="仿宋_GB2312"/>
          <w:b/>
          <w:bCs/>
          <w:color w:val="333333"/>
          <w:sz w:val="32"/>
          <w:szCs w:val="32"/>
          <w:shd w:val="clear" w:color="auto" w:fill="FFFFFF"/>
        </w:rPr>
        <w:t>二是抓好载体建设，创新公开形式。</w:t>
      </w:r>
      <w:r>
        <w:rPr>
          <w:rFonts w:hint="eastAsia" w:ascii="仿宋_GB2312" w:eastAsia="仿宋_GB2312"/>
          <w:color w:val="333333"/>
          <w:sz w:val="32"/>
          <w:szCs w:val="32"/>
          <w:shd w:val="clear" w:color="auto" w:fill="FFFFFF"/>
        </w:rPr>
        <w:t>认真创新政务公开工作的新形式、新途径、新方法，进一步扩大政务公开的覆盖面，增强政务公开的实效性。结合我局重点工作，向社会公开内容包括主要职责、办事程序、服务承诺、办理业务情况，适时选取热点问题，深化公开内容。</w:t>
      </w:r>
      <w:r>
        <w:rPr>
          <w:rFonts w:hint="eastAsia" w:ascii="仿宋_GB2312" w:eastAsia="仿宋_GB2312"/>
          <w:b/>
          <w:bCs/>
          <w:color w:val="333333"/>
          <w:sz w:val="32"/>
          <w:szCs w:val="32"/>
          <w:shd w:val="clear" w:color="auto" w:fill="FFFFFF"/>
        </w:rPr>
        <w:t>三是细化工作措施，规范工作流程。</w:t>
      </w:r>
      <w:r>
        <w:rPr>
          <w:rFonts w:hint="eastAsia" w:ascii="仿宋_GB2312" w:eastAsia="仿宋_GB2312"/>
          <w:color w:val="333333"/>
          <w:sz w:val="32"/>
          <w:szCs w:val="32"/>
          <w:shd w:val="clear" w:color="auto" w:fill="FFFFFF"/>
        </w:rPr>
        <w:t>进一步整理部门信息，及时提供，定期维护，确保政府信息公开工作有效运作，公众能够方便查询。</w:t>
      </w:r>
    </w:p>
    <w:p>
      <w:pPr>
        <w:pStyle w:val="6"/>
        <w:widowControl/>
        <w:spacing w:before="0" w:beforeAutospacing="0" w:after="0" w:afterAutospacing="0" w:line="432" w:lineRule="atLeast"/>
        <w:ind w:firstLine="420"/>
        <w:rPr>
          <w:rFonts w:ascii="黑体" w:hAnsi="黑体" w:eastAsia="黑体" w:cs="仿宋_GB2312"/>
          <w:sz w:val="32"/>
          <w:szCs w:val="32"/>
        </w:rPr>
      </w:pPr>
      <w:r>
        <w:rPr>
          <w:rFonts w:hint="eastAsia" w:ascii="黑体" w:hAnsi="黑体" w:eastAsia="黑体" w:cs="仿宋_GB2312"/>
          <w:color w:val="333333"/>
          <w:sz w:val="32"/>
          <w:szCs w:val="32"/>
        </w:rPr>
        <w:t>六、其他需要报告的事项</w:t>
      </w:r>
    </w:p>
    <w:p>
      <w:pPr>
        <w:pStyle w:val="11"/>
        <w:shd w:val="clear" w:color="auto" w:fill="FFFFFF"/>
        <w:spacing w:before="0" w:beforeAutospacing="0" w:after="0" w:afterAutospacing="0" w:line="560" w:lineRule="exact"/>
        <w:ind w:firstLine="640"/>
        <w:jc w:val="both"/>
        <w:rPr>
          <w:rFonts w:ascii="仿宋_GB2312" w:eastAsia="仿宋_GB2312"/>
          <w:color w:val="333333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333333"/>
          <w:sz w:val="32"/>
          <w:szCs w:val="32"/>
        </w:rPr>
        <w:t>无</w:t>
      </w:r>
    </w:p>
    <w:p>
      <w:pPr>
        <w:spacing w:line="560" w:lineRule="exact"/>
        <w:rPr>
          <w:rFonts w:ascii="仿宋_GB2312" w:eastAsia="仿宋_GB2312"/>
          <w:sz w:val="32"/>
          <w:szCs w:val="32"/>
        </w:rPr>
      </w:pPr>
    </w:p>
    <w:p>
      <w:pPr>
        <w:pStyle w:val="2"/>
        <w:ind w:firstLine="0" w:firstLineChars="0"/>
        <w:rPr>
          <w:rFonts w:ascii="仿宋_GB2312" w:hAnsi="仿宋_GB2312" w:eastAsia="仿宋_GB2312" w:cs="仿宋_GB2312"/>
          <w:color w:val="000000"/>
          <w:sz w:val="32"/>
          <w:szCs w:val="32"/>
        </w:rPr>
      </w:pPr>
    </w:p>
    <w:p>
      <w:pPr>
        <w:spacing w:line="560" w:lineRule="exact"/>
        <w:rPr>
          <w:rFonts w:ascii="仿宋_GB2312" w:eastAsia="仿宋_GB2312"/>
          <w:sz w:val="32"/>
          <w:szCs w:val="32"/>
        </w:rPr>
      </w:pPr>
    </w:p>
    <w:sectPr>
      <w:footerReference r:id="rId3" w:type="default"/>
      <w:footerReference r:id="rId4" w:type="even"/>
      <w:pgSz w:w="11906" w:h="16838"/>
      <w:pgMar w:top="2098" w:right="1474" w:bottom="1985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简体">
    <w:altName w:val="微软雅黑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043944176"/>
      <w:docPartObj>
        <w:docPartGallery w:val="AutoText"/>
      </w:docPartObj>
    </w:sdtPr>
    <w:sdtEndPr>
      <w:rPr>
        <w:rFonts w:asciiTheme="minorEastAsia" w:hAnsiTheme="minorEastAsia"/>
        <w:sz w:val="28"/>
        <w:szCs w:val="28"/>
      </w:rPr>
    </w:sdtEndPr>
    <w:sdtContent>
      <w:p>
        <w:pPr>
          <w:pStyle w:val="4"/>
          <w:jc w:val="right"/>
          <w:rPr>
            <w:rFonts w:asciiTheme="minorEastAsia" w:hAnsiTheme="minorEastAsia"/>
            <w:sz w:val="28"/>
            <w:szCs w:val="28"/>
          </w:rPr>
        </w:pPr>
        <w:r>
          <w:rPr>
            <w:rFonts w:asciiTheme="minorEastAsia" w:hAnsiTheme="minorEastAsia"/>
            <w:sz w:val="28"/>
            <w:szCs w:val="28"/>
          </w:rPr>
          <w:t>-</w:t>
        </w:r>
        <w:r>
          <w:rPr>
            <w:rFonts w:asciiTheme="minorEastAsia" w:hAnsiTheme="minorEastAsia"/>
            <w:sz w:val="28"/>
            <w:szCs w:val="28"/>
          </w:rPr>
          <w:fldChar w:fldCharType="begin"/>
        </w:r>
        <w:r>
          <w:rPr>
            <w:rFonts w:asciiTheme="minorEastAsia" w:hAnsiTheme="minorEastAsia"/>
            <w:sz w:val="28"/>
            <w:szCs w:val="28"/>
          </w:rPr>
          <w:instrText xml:space="preserve">PAGE   \* MERGEFORMAT</w:instrText>
        </w:r>
        <w:r>
          <w:rPr>
            <w:rFonts w:asciiTheme="minorEastAsia" w:hAnsiTheme="minorEastAsia"/>
            <w:sz w:val="28"/>
            <w:szCs w:val="28"/>
          </w:rPr>
          <w:fldChar w:fldCharType="separate"/>
        </w:r>
        <w:r>
          <w:rPr>
            <w:rFonts w:asciiTheme="minorEastAsia" w:hAnsiTheme="minorEastAsia"/>
            <w:sz w:val="28"/>
            <w:szCs w:val="28"/>
            <w:lang w:val="zh-CN"/>
          </w:rPr>
          <w:t>5</w:t>
        </w:r>
        <w:r>
          <w:rPr>
            <w:rFonts w:asciiTheme="minorEastAsia" w:hAnsiTheme="minorEastAsia"/>
            <w:sz w:val="28"/>
            <w:szCs w:val="28"/>
          </w:rPr>
          <w:fldChar w:fldCharType="end"/>
        </w:r>
        <w:r>
          <w:rPr>
            <w:rFonts w:asciiTheme="minorEastAsia" w:hAnsiTheme="minorEastAsia"/>
            <w:sz w:val="28"/>
            <w:szCs w:val="28"/>
          </w:rPr>
          <w:t>-</w:t>
        </w:r>
      </w:p>
    </w:sdtContent>
  </w:sdt>
  <w:p>
    <w:pPr>
      <w:pStyle w:val="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541703730"/>
      <w:docPartObj>
        <w:docPartGallery w:val="AutoText"/>
      </w:docPartObj>
    </w:sdtPr>
    <w:sdtEndPr>
      <w:rPr>
        <w:rFonts w:asciiTheme="minorEastAsia" w:hAnsiTheme="minorEastAsia"/>
        <w:sz w:val="28"/>
        <w:szCs w:val="28"/>
      </w:rPr>
    </w:sdtEndPr>
    <w:sdtContent>
      <w:p>
        <w:pPr>
          <w:pStyle w:val="4"/>
          <w:rPr>
            <w:rFonts w:asciiTheme="minorEastAsia" w:hAnsiTheme="minorEastAsia"/>
            <w:sz w:val="28"/>
            <w:szCs w:val="28"/>
          </w:rPr>
        </w:pPr>
        <w:r>
          <w:rPr>
            <w:rFonts w:asciiTheme="minorEastAsia" w:hAnsiTheme="minorEastAsia"/>
            <w:sz w:val="28"/>
            <w:szCs w:val="28"/>
          </w:rPr>
          <w:t>-</w:t>
        </w:r>
        <w:r>
          <w:rPr>
            <w:rFonts w:asciiTheme="minorEastAsia" w:hAnsiTheme="minorEastAsia"/>
            <w:sz w:val="28"/>
            <w:szCs w:val="28"/>
          </w:rPr>
          <w:fldChar w:fldCharType="begin"/>
        </w:r>
        <w:r>
          <w:rPr>
            <w:rFonts w:asciiTheme="minorEastAsia" w:hAnsiTheme="minorEastAsia"/>
            <w:sz w:val="28"/>
            <w:szCs w:val="28"/>
          </w:rPr>
          <w:instrText xml:space="preserve">PAGE   \* MERGEFORMAT</w:instrText>
        </w:r>
        <w:r>
          <w:rPr>
            <w:rFonts w:asciiTheme="minorEastAsia" w:hAnsiTheme="minorEastAsia"/>
            <w:sz w:val="28"/>
            <w:szCs w:val="28"/>
          </w:rPr>
          <w:fldChar w:fldCharType="separate"/>
        </w:r>
        <w:r>
          <w:rPr>
            <w:rFonts w:asciiTheme="minorEastAsia" w:hAnsiTheme="minorEastAsia"/>
            <w:sz w:val="28"/>
            <w:szCs w:val="28"/>
            <w:lang w:val="zh-CN"/>
          </w:rPr>
          <w:t>6</w:t>
        </w:r>
        <w:r>
          <w:rPr>
            <w:rFonts w:asciiTheme="minorEastAsia" w:hAnsiTheme="minorEastAsia"/>
            <w:sz w:val="28"/>
            <w:szCs w:val="28"/>
          </w:rPr>
          <w:fldChar w:fldCharType="end"/>
        </w:r>
        <w:r>
          <w:rPr>
            <w:rFonts w:asciiTheme="minorEastAsia" w:hAnsiTheme="minorEastAsia"/>
            <w:sz w:val="28"/>
            <w:szCs w:val="28"/>
          </w:rPr>
          <w:t>-</w:t>
        </w:r>
      </w:p>
    </w:sdtContent>
  </w:sdt>
  <w:p>
    <w:pPr>
      <w:pStyle w:val="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 w:val="1"/>
  <w:bordersDoNotSurroundFooter w:val="1"/>
  <w:documentProtection w:enforcement="0"/>
  <w:defaultTabStop w:val="420"/>
  <w:evenAndOddHeaders w:val="1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97FC7"/>
    <w:rsid w:val="00003591"/>
    <w:rsid w:val="000258D1"/>
    <w:rsid w:val="000B0585"/>
    <w:rsid w:val="00104DE3"/>
    <w:rsid w:val="0017126E"/>
    <w:rsid w:val="00191DF3"/>
    <w:rsid w:val="00230DC6"/>
    <w:rsid w:val="00264BCD"/>
    <w:rsid w:val="003447D6"/>
    <w:rsid w:val="003A2EE4"/>
    <w:rsid w:val="004262D9"/>
    <w:rsid w:val="00490254"/>
    <w:rsid w:val="004C7BDC"/>
    <w:rsid w:val="004F1F25"/>
    <w:rsid w:val="00616503"/>
    <w:rsid w:val="00666AE4"/>
    <w:rsid w:val="006B4C75"/>
    <w:rsid w:val="006D1E66"/>
    <w:rsid w:val="00704BAA"/>
    <w:rsid w:val="00740AAB"/>
    <w:rsid w:val="00740E13"/>
    <w:rsid w:val="007A2966"/>
    <w:rsid w:val="007B456C"/>
    <w:rsid w:val="007D570A"/>
    <w:rsid w:val="007F0731"/>
    <w:rsid w:val="00831037"/>
    <w:rsid w:val="00986DED"/>
    <w:rsid w:val="009C7F68"/>
    <w:rsid w:val="00A30A8F"/>
    <w:rsid w:val="00A751A6"/>
    <w:rsid w:val="00A97FC7"/>
    <w:rsid w:val="00AE5D1E"/>
    <w:rsid w:val="00AF6BAD"/>
    <w:rsid w:val="00B041FC"/>
    <w:rsid w:val="00C1184D"/>
    <w:rsid w:val="00D72389"/>
    <w:rsid w:val="00DD2E14"/>
    <w:rsid w:val="00E03A00"/>
    <w:rsid w:val="00E069A6"/>
    <w:rsid w:val="00E41010"/>
    <w:rsid w:val="00ED58D6"/>
    <w:rsid w:val="1CF612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qFormat="1" w:unhideWhenUsed="0" w:uiPriority="0" w:semiHidden="0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nhideWhenUsed/>
    <w:uiPriority w:val="1"/>
  </w:style>
  <w:style w:type="table" w:default="1" w:styleId="7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ind w:firstLine="420" w:firstLineChars="200"/>
    </w:pPr>
    <w:rPr>
      <w:szCs w:val="24"/>
    </w:rPr>
  </w:style>
  <w:style w:type="paragraph" w:styleId="3">
    <w:name w:val="Balloon Text"/>
    <w:basedOn w:val="1"/>
    <w:link w:val="12"/>
    <w:semiHidden/>
    <w:unhideWhenUsed/>
    <w:uiPriority w:val="99"/>
    <w:rPr>
      <w:sz w:val="18"/>
      <w:szCs w:val="18"/>
    </w:rPr>
  </w:style>
  <w:style w:type="paragraph" w:styleId="4">
    <w:name w:val="footer"/>
    <w:basedOn w:val="1"/>
    <w:link w:val="10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9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qFormat/>
    <w:uiPriority w:val="0"/>
    <w:pPr>
      <w:spacing w:before="100" w:beforeAutospacing="1" w:after="100" w:afterAutospacing="1"/>
      <w:jc w:val="left"/>
    </w:pPr>
    <w:rPr>
      <w:rFonts w:ascii="Times New Roman" w:hAnsi="Times New Roman" w:eastAsia="方正仿宋简体" w:cs="Times New Roman"/>
      <w:kern w:val="0"/>
      <w:sz w:val="24"/>
      <w:szCs w:val="20"/>
    </w:rPr>
  </w:style>
  <w:style w:type="character" w:customStyle="1" w:styleId="9">
    <w:name w:val="页眉 Char"/>
    <w:basedOn w:val="8"/>
    <w:link w:val="5"/>
    <w:uiPriority w:val="99"/>
    <w:rPr>
      <w:sz w:val="18"/>
      <w:szCs w:val="18"/>
    </w:rPr>
  </w:style>
  <w:style w:type="character" w:customStyle="1" w:styleId="10">
    <w:name w:val="页脚 Char"/>
    <w:basedOn w:val="8"/>
    <w:link w:val="4"/>
    <w:qFormat/>
    <w:uiPriority w:val="99"/>
    <w:rPr>
      <w:sz w:val="18"/>
      <w:szCs w:val="18"/>
    </w:rPr>
  </w:style>
  <w:style w:type="paragraph" w:customStyle="1" w:styleId="11">
    <w:name w:val="p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12">
    <w:name w:val="批注框文本 Char"/>
    <w:basedOn w:val="8"/>
    <w:link w:val="3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6</Pages>
  <Words>282</Words>
  <Characters>1611</Characters>
  <Lines>13</Lines>
  <Paragraphs>3</Paragraphs>
  <TotalTime>3</TotalTime>
  <ScaleCrop>false</ScaleCrop>
  <LinksUpToDate>false</LinksUpToDate>
  <CharactersWithSpaces>1890</CharactersWithSpaces>
  <Application>WPS Office_11.1.0.9339_F1E327BC-269C-435d-A152-05C5408002CA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2020-01-20T03:30:00Z</dcterms:created>
  <dc:creator>Administrator</dc:creator>
  <cp:lastModifiedBy>™</cp:lastModifiedBy>
  <cp:lastPrinted>2020-01-20T03:25:00Z</cp:lastPrinted>
  <dcterms:modified xsi:type="dcterms:W3CDTF">2020-01-23T07:38:44Z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2052-11.1.0.9339</vt:lpwstr>
  </property>
</Properties>
</file>